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E6" w:rsidRDefault="003030FA" w:rsidP="0058496B">
      <w:pPr>
        <w:jc w:val="center"/>
        <w:rPr>
          <w:rFonts w:hint="eastAsia"/>
          <w:b/>
          <w:bCs/>
          <w:color w:val="000000"/>
          <w:sz w:val="32"/>
          <w:szCs w:val="32"/>
        </w:rPr>
      </w:pPr>
      <w:r w:rsidRPr="002F1D08">
        <w:rPr>
          <w:rFonts w:hint="eastAsia"/>
          <w:b/>
          <w:bCs/>
          <w:color w:val="000000"/>
          <w:sz w:val="32"/>
          <w:szCs w:val="32"/>
        </w:rPr>
        <w:t>财务</w:t>
      </w:r>
      <w:r w:rsidR="00791558">
        <w:rPr>
          <w:rFonts w:hint="eastAsia"/>
          <w:b/>
          <w:bCs/>
          <w:color w:val="000000"/>
          <w:sz w:val="32"/>
          <w:szCs w:val="32"/>
        </w:rPr>
        <w:t>报表</w:t>
      </w:r>
      <w:r w:rsidRPr="002F1D08">
        <w:rPr>
          <w:rFonts w:hint="eastAsia"/>
          <w:b/>
          <w:bCs/>
          <w:color w:val="000000"/>
          <w:sz w:val="32"/>
          <w:szCs w:val="32"/>
        </w:rPr>
        <w:t>分析</w:t>
      </w:r>
      <w:r w:rsidR="00A76FD3" w:rsidRPr="002F1D08">
        <w:rPr>
          <w:b/>
          <w:bCs/>
          <w:color w:val="000000"/>
          <w:sz w:val="32"/>
          <w:szCs w:val="32"/>
        </w:rPr>
        <w:t>课程</w:t>
      </w:r>
      <w:r w:rsidR="00310565">
        <w:rPr>
          <w:rFonts w:hint="eastAsia"/>
          <w:b/>
          <w:bCs/>
          <w:color w:val="000000"/>
          <w:sz w:val="32"/>
          <w:szCs w:val="32"/>
        </w:rPr>
        <w:t>介绍</w:t>
      </w:r>
    </w:p>
    <w:p w:rsidR="00F038F6" w:rsidRPr="00661B2E" w:rsidRDefault="00A76FD3" w:rsidP="0058496B">
      <w:pPr>
        <w:jc w:val="center"/>
        <w:rPr>
          <w:rFonts w:hint="eastAsia"/>
          <w:b/>
          <w:bCs/>
          <w:color w:val="000000"/>
          <w:sz w:val="24"/>
        </w:rPr>
      </w:pPr>
      <w:r w:rsidRPr="00661B2E">
        <w:rPr>
          <w:b/>
          <w:bCs/>
          <w:color w:val="000000"/>
          <w:sz w:val="24"/>
        </w:rPr>
        <w:t>（</w:t>
      </w:r>
      <w:r w:rsidR="00C106B3" w:rsidRPr="00661B2E">
        <w:rPr>
          <w:b/>
          <w:bCs/>
          <w:color w:val="000000"/>
          <w:sz w:val="24"/>
        </w:rPr>
        <w:t>20</w:t>
      </w:r>
      <w:r w:rsidR="00075E4C" w:rsidRPr="00661B2E">
        <w:rPr>
          <w:rFonts w:hint="eastAsia"/>
          <w:b/>
          <w:bCs/>
          <w:color w:val="000000"/>
          <w:sz w:val="24"/>
        </w:rPr>
        <w:t>1</w:t>
      </w:r>
      <w:r w:rsidR="00933A9F">
        <w:rPr>
          <w:rFonts w:hint="eastAsia"/>
          <w:b/>
          <w:bCs/>
          <w:color w:val="000000"/>
          <w:sz w:val="24"/>
        </w:rPr>
        <w:t>8</w:t>
      </w:r>
      <w:r w:rsidRPr="00661B2E">
        <w:rPr>
          <w:b/>
          <w:bCs/>
          <w:color w:val="000000"/>
          <w:sz w:val="24"/>
        </w:rPr>
        <w:t>年</w:t>
      </w:r>
      <w:r w:rsidR="00B555EB">
        <w:rPr>
          <w:rFonts w:hint="eastAsia"/>
          <w:b/>
          <w:bCs/>
          <w:color w:val="000000"/>
          <w:sz w:val="24"/>
        </w:rPr>
        <w:t>春</w:t>
      </w:r>
      <w:r w:rsidRPr="00661B2E">
        <w:rPr>
          <w:b/>
          <w:bCs/>
          <w:color w:val="000000"/>
          <w:sz w:val="24"/>
        </w:rPr>
        <w:t>季学期）</w:t>
      </w:r>
    </w:p>
    <w:p w:rsidR="008C201B" w:rsidRDefault="008C201B" w:rsidP="000E6830">
      <w:pPr>
        <w:widowControl/>
        <w:spacing w:line="360" w:lineRule="auto"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A76FD3" w:rsidP="00811AC5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授课教师：</w:t>
      </w:r>
      <w:r w:rsidRPr="00E40C75">
        <w:rPr>
          <w:rFonts w:cs="宋体" w:hint="eastAsia"/>
          <w:kern w:val="0"/>
          <w:sz w:val="24"/>
        </w:rPr>
        <w:t>张昕</w:t>
      </w:r>
    </w:p>
    <w:p w:rsidR="00A76FD3" w:rsidRDefault="00A76FD3" w:rsidP="00811AC5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电子信箱：</w:t>
      </w:r>
      <w:hyperlink r:id="rId7" w:history="1">
        <w:r w:rsidR="004A17F5" w:rsidRPr="006A50D7">
          <w:rPr>
            <w:rStyle w:val="a3"/>
            <w:rFonts w:cs="宋体" w:hint="eastAsia"/>
            <w:kern w:val="0"/>
            <w:sz w:val="24"/>
          </w:rPr>
          <w:t>xzhang@nsd.pku.edu.cn</w:t>
        </w:r>
      </w:hyperlink>
    </w:p>
    <w:p w:rsidR="00811AC5" w:rsidRDefault="00086587" w:rsidP="00622E54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先修课程：</w:t>
      </w:r>
      <w:r w:rsidRPr="00086587">
        <w:rPr>
          <w:rFonts w:cs="宋体" w:hint="eastAsia"/>
          <w:kern w:val="0"/>
          <w:sz w:val="24"/>
        </w:rPr>
        <w:t>财务会计</w:t>
      </w:r>
    </w:p>
    <w:p w:rsidR="00371636" w:rsidRDefault="00A76FD3" w:rsidP="00811AC5">
      <w:pPr>
        <w:widowControl/>
        <w:spacing w:line="480" w:lineRule="auto"/>
        <w:jc w:val="left"/>
        <w:rPr>
          <w:rFonts w:ascii="宋体" w:hAnsi="宋体" w:cs="宋体" w:hint="eastAsia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课程简介：</w:t>
      </w:r>
    </w:p>
    <w:p w:rsidR="00A76FD3" w:rsidRPr="00371636" w:rsidRDefault="00FB276C" w:rsidP="00F96D03">
      <w:pPr>
        <w:widowControl/>
        <w:spacing w:line="360" w:lineRule="auto"/>
        <w:ind w:firstLineChars="196" w:firstLine="470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cs="宋体" w:hint="eastAsia"/>
          <w:kern w:val="0"/>
          <w:sz w:val="24"/>
        </w:rPr>
        <w:t>财务报表分析对于企业外部投资者和</w:t>
      </w:r>
      <w:r w:rsidR="00F96D03">
        <w:rPr>
          <w:rFonts w:cs="宋体" w:hint="eastAsia"/>
          <w:kern w:val="0"/>
          <w:sz w:val="24"/>
        </w:rPr>
        <w:t>内部管理</w:t>
      </w:r>
      <w:r>
        <w:rPr>
          <w:rFonts w:cs="宋体" w:hint="eastAsia"/>
          <w:kern w:val="0"/>
          <w:sz w:val="24"/>
        </w:rPr>
        <w:t>者了解企业财务状况与经营成果，制定投资、</w:t>
      </w:r>
      <w:r w:rsidR="00F96D03">
        <w:rPr>
          <w:rFonts w:cs="宋体" w:hint="eastAsia"/>
          <w:kern w:val="0"/>
          <w:sz w:val="24"/>
        </w:rPr>
        <w:t>经营</w:t>
      </w:r>
      <w:r w:rsidR="00F96D03" w:rsidRPr="00E40C75">
        <w:rPr>
          <w:rFonts w:cs="宋体" w:hint="eastAsia"/>
          <w:kern w:val="0"/>
          <w:sz w:val="24"/>
        </w:rPr>
        <w:t>决策</w:t>
      </w:r>
      <w:r w:rsidR="00F96D03">
        <w:rPr>
          <w:rFonts w:cs="宋体" w:hint="eastAsia"/>
          <w:kern w:val="0"/>
          <w:sz w:val="24"/>
        </w:rPr>
        <w:t>具有重要意义</w:t>
      </w:r>
      <w:r w:rsidR="00F96D03" w:rsidRPr="00E40C75">
        <w:rPr>
          <w:rFonts w:cs="宋体" w:hint="eastAsia"/>
          <w:kern w:val="0"/>
          <w:sz w:val="24"/>
        </w:rPr>
        <w:t>，</w:t>
      </w:r>
      <w:r w:rsidR="00F96D03">
        <w:rPr>
          <w:rFonts w:cs="宋体" w:hint="eastAsia"/>
          <w:kern w:val="0"/>
          <w:sz w:val="24"/>
        </w:rPr>
        <w:t>本课程介绍目前通用的财务报表分析</w:t>
      </w:r>
      <w:r>
        <w:rPr>
          <w:rFonts w:cs="宋体" w:hint="eastAsia"/>
          <w:kern w:val="0"/>
          <w:sz w:val="24"/>
        </w:rPr>
        <w:t>分析框架，</w:t>
      </w:r>
      <w:r w:rsidR="00661B2E">
        <w:rPr>
          <w:rFonts w:cs="宋体" w:hint="eastAsia"/>
          <w:kern w:val="0"/>
          <w:sz w:val="24"/>
        </w:rPr>
        <w:t>重点解读报表中的主要项目，讲解</w:t>
      </w:r>
      <w:r>
        <w:rPr>
          <w:rFonts w:cs="宋体" w:hint="eastAsia"/>
          <w:kern w:val="0"/>
          <w:sz w:val="24"/>
        </w:rPr>
        <w:t>常用的分析</w:t>
      </w:r>
      <w:r w:rsidR="00F96D03">
        <w:rPr>
          <w:rFonts w:cs="宋体" w:hint="eastAsia"/>
          <w:kern w:val="0"/>
          <w:sz w:val="24"/>
        </w:rPr>
        <w:t>方法</w:t>
      </w:r>
      <w:r w:rsidR="00D62615">
        <w:rPr>
          <w:rFonts w:cs="宋体" w:hint="eastAsia"/>
          <w:kern w:val="0"/>
          <w:sz w:val="24"/>
        </w:rPr>
        <w:t>与财务比率</w:t>
      </w:r>
      <w:r w:rsidR="00F96D03">
        <w:rPr>
          <w:rFonts w:cs="宋体" w:hint="eastAsia"/>
          <w:kern w:val="0"/>
          <w:sz w:val="24"/>
        </w:rPr>
        <w:t>，旨在提高</w:t>
      </w:r>
      <w:r w:rsidR="008C201B">
        <w:rPr>
          <w:rFonts w:cs="宋体" w:hint="eastAsia"/>
          <w:kern w:val="0"/>
          <w:sz w:val="24"/>
        </w:rPr>
        <w:t>财务</w:t>
      </w:r>
      <w:r>
        <w:rPr>
          <w:rFonts w:cs="宋体" w:hint="eastAsia"/>
          <w:kern w:val="0"/>
          <w:sz w:val="24"/>
        </w:rPr>
        <w:t>报表的</w:t>
      </w:r>
      <w:r w:rsidR="00F96D03">
        <w:rPr>
          <w:rFonts w:cs="宋体" w:hint="eastAsia"/>
          <w:kern w:val="0"/>
          <w:sz w:val="24"/>
        </w:rPr>
        <w:t>分析与</w:t>
      </w:r>
      <w:r>
        <w:rPr>
          <w:rFonts w:cs="宋体" w:hint="eastAsia"/>
          <w:kern w:val="0"/>
          <w:sz w:val="24"/>
        </w:rPr>
        <w:t>判断</w:t>
      </w:r>
      <w:r w:rsidR="00F96D03">
        <w:rPr>
          <w:rFonts w:cs="宋体" w:hint="eastAsia"/>
          <w:kern w:val="0"/>
          <w:sz w:val="24"/>
        </w:rPr>
        <w:t>能力。</w:t>
      </w:r>
    </w:p>
    <w:p w:rsidR="008C201B" w:rsidRDefault="008C201B" w:rsidP="00A76FD3">
      <w:pPr>
        <w:widowControl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课程安排：</w:t>
      </w:r>
    </w:p>
    <w:p w:rsidR="009819CD" w:rsidRDefault="009819CD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财务报表分析基本框架</w:t>
      </w:r>
    </w:p>
    <w:p w:rsidR="006A441A" w:rsidRDefault="009819CD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战略分析</w:t>
      </w:r>
    </w:p>
    <w:p w:rsidR="00811AC5" w:rsidRDefault="00811AC5" w:rsidP="00811AC5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公司治理与关联交易</w:t>
      </w:r>
    </w:p>
    <w:p w:rsidR="006A441A" w:rsidRDefault="009819CD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会计分析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利润表分析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资产负债表分析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现金流量表分析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股东权益变动表分析</w:t>
      </w:r>
    </w:p>
    <w:p w:rsidR="009170FF" w:rsidRPr="0088765F" w:rsidRDefault="00082EAE" w:rsidP="0088765F">
      <w:pPr>
        <w:widowControl/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杜邦分析</w:t>
      </w:r>
      <w:r w:rsidR="00303934">
        <w:rPr>
          <w:rFonts w:cs="宋体" w:hint="eastAsia"/>
          <w:kern w:val="0"/>
          <w:sz w:val="24"/>
        </w:rPr>
        <w:t>与财务风险</w:t>
      </w:r>
      <w:r w:rsidR="000F1953">
        <w:rPr>
          <w:rFonts w:cs="宋体" w:hint="eastAsia"/>
          <w:kern w:val="0"/>
          <w:sz w:val="24"/>
        </w:rPr>
        <w:t>比率</w:t>
      </w:r>
      <w:r w:rsidR="00303934">
        <w:rPr>
          <w:rFonts w:cs="宋体" w:hint="eastAsia"/>
          <w:kern w:val="0"/>
          <w:sz w:val="24"/>
        </w:rPr>
        <w:t>分析</w:t>
      </w:r>
      <w:r w:rsidR="009170FF" w:rsidRPr="0088765F">
        <w:rPr>
          <w:rFonts w:cs="宋体"/>
          <w:kern w:val="0"/>
          <w:sz w:val="24"/>
        </w:rPr>
        <w:t xml:space="preserve"> </w:t>
      </w:r>
    </w:p>
    <w:p w:rsidR="006A441A" w:rsidRDefault="00582AB3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前景分析与资产定价</w:t>
      </w:r>
    </w:p>
    <w:p w:rsidR="008C201B" w:rsidRDefault="008C201B" w:rsidP="00A76FD3">
      <w:pPr>
        <w:widowControl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参考教材：</w:t>
      </w:r>
    </w:p>
    <w:p w:rsidR="002357DB" w:rsidRPr="008034A6" w:rsidRDefault="002357DB" w:rsidP="008034A6">
      <w:pPr>
        <w:widowControl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8034A6">
        <w:rPr>
          <w:rFonts w:ascii="宋体" w:hAnsi="宋体" w:cs="宋体" w:hint="eastAsia"/>
          <w:kern w:val="0"/>
          <w:sz w:val="24"/>
        </w:rPr>
        <w:t>《轻松读懂财务报表》，张昕，北京大学出版社，</w:t>
      </w:r>
      <w:r w:rsidRPr="008034A6">
        <w:rPr>
          <w:rFonts w:ascii="宋体" w:hAnsi="宋体" w:cs="宋体"/>
          <w:kern w:val="0"/>
          <w:sz w:val="24"/>
        </w:rPr>
        <w:t>2014</w:t>
      </w:r>
      <w:r w:rsidRPr="008034A6">
        <w:rPr>
          <w:rFonts w:ascii="宋体" w:hAnsi="宋体" w:cs="宋体" w:hint="eastAsia"/>
          <w:kern w:val="0"/>
          <w:sz w:val="24"/>
        </w:rPr>
        <w:t>年</w:t>
      </w:r>
    </w:p>
    <w:p w:rsidR="002357DB" w:rsidRPr="008034A6" w:rsidRDefault="002357DB" w:rsidP="008034A6">
      <w:pPr>
        <w:widowControl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8034A6">
        <w:rPr>
          <w:rFonts w:ascii="宋体" w:hAnsi="宋体" w:cs="宋体" w:hint="eastAsia"/>
          <w:kern w:val="0"/>
          <w:sz w:val="24"/>
        </w:rPr>
        <w:t>《财务报表分析与运用》， 怀特（美）等著；李志强等译，中信出版社，</w:t>
      </w:r>
      <w:r w:rsidRPr="008034A6">
        <w:rPr>
          <w:rFonts w:ascii="宋体" w:hAnsi="宋体" w:cs="宋体"/>
          <w:kern w:val="0"/>
          <w:sz w:val="24"/>
        </w:rPr>
        <w:t>2008</w:t>
      </w:r>
      <w:r w:rsidRPr="008034A6">
        <w:rPr>
          <w:rFonts w:ascii="宋体" w:hAnsi="宋体" w:cs="宋体" w:hint="eastAsia"/>
          <w:kern w:val="0"/>
          <w:sz w:val="24"/>
        </w:rPr>
        <w:t>年</w:t>
      </w:r>
    </w:p>
    <w:p w:rsidR="002357DB" w:rsidRPr="008034A6" w:rsidRDefault="002357DB" w:rsidP="008034A6">
      <w:pPr>
        <w:widowControl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8034A6">
        <w:rPr>
          <w:rFonts w:ascii="宋体" w:hAnsi="宋体" w:cs="宋体" w:hint="eastAsia"/>
          <w:kern w:val="0"/>
          <w:sz w:val="24"/>
        </w:rPr>
        <w:lastRenderedPageBreak/>
        <w:t xml:space="preserve">《经营分析与评价》 Business Analysis and Valuation, Krishna G. </w:t>
      </w:r>
      <w:r w:rsidRPr="008034A6">
        <w:rPr>
          <w:rFonts w:ascii="宋体" w:hAnsi="宋体" w:cs="宋体"/>
          <w:kern w:val="0"/>
          <w:sz w:val="24"/>
        </w:rPr>
        <w:t xml:space="preserve">Palepu, Paul M. Healy, </w:t>
      </w:r>
      <w:r w:rsidRPr="008034A6">
        <w:rPr>
          <w:rFonts w:ascii="宋体" w:hAnsi="宋体" w:cs="宋体" w:hint="eastAsia"/>
          <w:kern w:val="0"/>
          <w:sz w:val="24"/>
        </w:rPr>
        <w:t>东北财经大学出版社，</w:t>
      </w:r>
      <w:r w:rsidRPr="008034A6">
        <w:rPr>
          <w:rFonts w:ascii="宋体" w:hAnsi="宋体" w:cs="宋体"/>
          <w:kern w:val="0"/>
          <w:sz w:val="24"/>
        </w:rPr>
        <w:t>2008</w:t>
      </w:r>
      <w:r w:rsidRPr="008034A6">
        <w:rPr>
          <w:rFonts w:ascii="宋体" w:hAnsi="宋体" w:cs="宋体" w:hint="eastAsia"/>
          <w:kern w:val="0"/>
          <w:sz w:val="24"/>
        </w:rPr>
        <w:t>年</w:t>
      </w:r>
    </w:p>
    <w:p w:rsidR="008C201B" w:rsidRDefault="008C201B" w:rsidP="00A76FD3">
      <w:pPr>
        <w:widowControl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8C201B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评分</w:t>
      </w:r>
      <w:r w:rsidR="00A76FD3" w:rsidRPr="00E40C75">
        <w:rPr>
          <w:rFonts w:cs="宋体" w:hint="eastAsia"/>
          <w:b/>
          <w:bCs/>
          <w:kern w:val="0"/>
          <w:sz w:val="24"/>
        </w:rPr>
        <w:t>方式：</w:t>
      </w:r>
    </w:p>
    <w:p w:rsidR="00A76FD3" w:rsidRPr="00E40C75" w:rsidRDefault="003E34F8" w:rsidP="008C201B">
      <w:pPr>
        <w:widowControl/>
        <w:spacing w:line="360" w:lineRule="auto"/>
        <w:ind w:leftChars="200" w:left="420"/>
        <w:jc w:val="left"/>
        <w:rPr>
          <w:rFonts w:ascii="宋体" w:hAnsi="宋体"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个人作业</w:t>
      </w:r>
      <w:r w:rsidR="00CB4CD7">
        <w:rPr>
          <w:rFonts w:cs="宋体" w:hint="eastAsia"/>
          <w:kern w:val="0"/>
          <w:sz w:val="24"/>
        </w:rPr>
        <w:t xml:space="preserve">                                 </w:t>
      </w:r>
      <w:r w:rsidR="00CB4CD7">
        <w:rPr>
          <w:rFonts w:cs="宋体" w:hint="eastAsia"/>
          <w:kern w:val="0"/>
          <w:sz w:val="24"/>
        </w:rPr>
        <w:tab/>
      </w:r>
      <w:r w:rsidR="00CB4CD7">
        <w:rPr>
          <w:rFonts w:cs="宋体" w:hint="eastAsia"/>
          <w:kern w:val="0"/>
          <w:sz w:val="24"/>
        </w:rPr>
        <w:tab/>
        <w:t xml:space="preserve"> </w:t>
      </w:r>
      <w:r w:rsidR="00CB4CD7">
        <w:rPr>
          <w:rFonts w:cs="宋体" w:hint="eastAsia"/>
          <w:kern w:val="0"/>
          <w:sz w:val="24"/>
        </w:rPr>
        <w:tab/>
        <w:t xml:space="preserve"> </w:t>
      </w:r>
      <w:r w:rsidR="00CB4CD7">
        <w:rPr>
          <w:rFonts w:cs="宋体" w:hint="eastAsia"/>
          <w:kern w:val="0"/>
          <w:sz w:val="24"/>
        </w:rPr>
        <w:tab/>
      </w:r>
      <w:r w:rsidR="00CB4CD7">
        <w:rPr>
          <w:rFonts w:cs="宋体" w:hint="eastAsia"/>
          <w:kern w:val="0"/>
          <w:sz w:val="24"/>
        </w:rPr>
        <w:tab/>
        <w:t xml:space="preserve"> </w:t>
      </w:r>
      <w:r w:rsidR="00D54148">
        <w:rPr>
          <w:rFonts w:ascii="宋体" w:hAnsi="宋体" w:cs="宋体" w:hint="eastAsia"/>
          <w:kern w:val="0"/>
          <w:sz w:val="24"/>
        </w:rPr>
        <w:t>5</w:t>
      </w:r>
      <w:r w:rsidR="00A76FD3" w:rsidRPr="00E40C75">
        <w:rPr>
          <w:rFonts w:ascii="宋体" w:hAnsi="宋体" w:cs="宋体"/>
          <w:kern w:val="0"/>
          <w:sz w:val="24"/>
        </w:rPr>
        <w:t>%</w:t>
      </w:r>
    </w:p>
    <w:p w:rsidR="005336E6" w:rsidRDefault="003E34F8" w:rsidP="00CB4CD7">
      <w:pPr>
        <w:widowControl/>
        <w:tabs>
          <w:tab w:val="right" w:pos="7514"/>
        </w:tabs>
        <w:spacing w:line="360" w:lineRule="auto"/>
        <w:ind w:leftChars="200" w:left="420"/>
        <w:jc w:val="left"/>
        <w:rPr>
          <w:rFonts w:ascii="宋体" w:hAnsi="宋体"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小组作业</w:t>
      </w:r>
      <w:r w:rsidR="00CB4CD7">
        <w:rPr>
          <w:rFonts w:cs="宋体" w:hint="eastAsia"/>
          <w:kern w:val="0"/>
          <w:sz w:val="24"/>
        </w:rPr>
        <w:t xml:space="preserve">                                  </w:t>
      </w:r>
      <w:r w:rsidR="00CB4CD7">
        <w:rPr>
          <w:rFonts w:cs="宋体" w:hint="eastAsia"/>
          <w:kern w:val="0"/>
          <w:sz w:val="24"/>
        </w:rPr>
        <w:tab/>
      </w:r>
      <w:r w:rsidR="00811AC5">
        <w:rPr>
          <w:rFonts w:ascii="宋体" w:hAnsi="宋体" w:cs="宋体" w:hint="eastAsia"/>
          <w:kern w:val="0"/>
          <w:sz w:val="24"/>
        </w:rPr>
        <w:t>30</w:t>
      </w:r>
      <w:r w:rsidR="00A76FD3" w:rsidRPr="00E40C75">
        <w:rPr>
          <w:rFonts w:ascii="宋体" w:hAnsi="宋体" w:cs="宋体"/>
          <w:kern w:val="0"/>
          <w:sz w:val="24"/>
        </w:rPr>
        <w:t>%</w:t>
      </w:r>
    </w:p>
    <w:p w:rsidR="005336E6" w:rsidRDefault="005336E6" w:rsidP="008C201B">
      <w:pPr>
        <w:widowControl/>
        <w:numPr>
          <w:ilvl w:val="0"/>
          <w:numId w:val="2"/>
        </w:numPr>
        <w:tabs>
          <w:tab w:val="clear" w:pos="840"/>
          <w:tab w:val="num" w:pos="1260"/>
        </w:tabs>
        <w:spacing w:line="360" w:lineRule="auto"/>
        <w:ind w:leftChars="400" w:left="126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小组作业成绩</w:t>
      </w:r>
      <w:r w:rsidR="00CB4CD7">
        <w:rPr>
          <w:rFonts w:ascii="宋体" w:hAnsi="宋体" w:cs="宋体" w:hint="eastAsia"/>
          <w:kern w:val="0"/>
          <w:sz w:val="24"/>
        </w:rPr>
        <w:t xml:space="preserve">                               </w:t>
      </w:r>
      <w:r w:rsidR="008C201B">
        <w:rPr>
          <w:rFonts w:ascii="宋体" w:hAnsi="宋体" w:cs="宋体" w:hint="eastAsia"/>
          <w:kern w:val="0"/>
          <w:sz w:val="24"/>
        </w:rPr>
        <w:t>2</w:t>
      </w:r>
      <w:r w:rsidR="00811AC5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%</w:t>
      </w:r>
    </w:p>
    <w:p w:rsidR="005336E6" w:rsidRDefault="005336E6" w:rsidP="008C201B">
      <w:pPr>
        <w:widowControl/>
        <w:numPr>
          <w:ilvl w:val="0"/>
          <w:numId w:val="2"/>
        </w:numPr>
        <w:tabs>
          <w:tab w:val="clear" w:pos="840"/>
          <w:tab w:val="num" w:pos="1260"/>
        </w:tabs>
        <w:spacing w:line="360" w:lineRule="auto"/>
        <w:ind w:leftChars="400" w:left="126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组员评分</w:t>
      </w:r>
      <w:r w:rsidR="00CB4CD7">
        <w:rPr>
          <w:rFonts w:ascii="宋体" w:hAnsi="宋体" w:cs="宋体" w:hint="eastAsia"/>
          <w:kern w:val="0"/>
          <w:sz w:val="24"/>
        </w:rPr>
        <w:t xml:space="preserve">                                    </w:t>
      </w:r>
      <w:r w:rsidR="008C201B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%</w:t>
      </w:r>
    </w:p>
    <w:p w:rsidR="00292890" w:rsidRPr="00E40C75" w:rsidRDefault="007901FA" w:rsidP="00CB4CD7">
      <w:pPr>
        <w:widowControl/>
        <w:tabs>
          <w:tab w:val="right" w:pos="7514"/>
        </w:tabs>
        <w:spacing w:line="360" w:lineRule="auto"/>
        <w:ind w:leftChars="200" w:left="42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课堂表现</w:t>
      </w:r>
      <w:r w:rsidR="00CB4CD7">
        <w:rPr>
          <w:rFonts w:ascii="宋体" w:hAnsi="宋体" w:cs="宋体" w:hint="eastAsia"/>
          <w:kern w:val="0"/>
          <w:sz w:val="24"/>
        </w:rPr>
        <w:t xml:space="preserve">                                    </w:t>
      </w:r>
      <w:r w:rsidR="00CB4CD7">
        <w:rPr>
          <w:rFonts w:ascii="宋体" w:hAnsi="宋体" w:cs="宋体" w:hint="eastAsia"/>
          <w:kern w:val="0"/>
          <w:sz w:val="24"/>
        </w:rPr>
        <w:tab/>
      </w:r>
      <w:r w:rsidR="00811AC5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%</w:t>
      </w:r>
    </w:p>
    <w:p w:rsidR="00D54148" w:rsidRPr="00D54148" w:rsidRDefault="00A76FD3" w:rsidP="00CB4CD7">
      <w:pPr>
        <w:widowControl/>
        <w:tabs>
          <w:tab w:val="right" w:pos="7513"/>
        </w:tabs>
        <w:spacing w:line="360" w:lineRule="auto"/>
        <w:ind w:leftChars="200" w:left="420"/>
        <w:jc w:val="left"/>
        <w:rPr>
          <w:rFonts w:hint="eastAsia"/>
          <w:sz w:val="24"/>
        </w:rPr>
      </w:pPr>
      <w:r w:rsidRPr="00E40C75">
        <w:rPr>
          <w:rFonts w:cs="宋体" w:hint="eastAsia"/>
          <w:kern w:val="0"/>
          <w:sz w:val="24"/>
        </w:rPr>
        <w:t>期末考试</w:t>
      </w:r>
      <w:r w:rsidR="00CB4CD7">
        <w:rPr>
          <w:rFonts w:cs="宋体" w:hint="eastAsia"/>
          <w:kern w:val="0"/>
          <w:sz w:val="24"/>
        </w:rPr>
        <w:t xml:space="preserve">                                   </w:t>
      </w:r>
      <w:r w:rsidR="00CB4CD7">
        <w:rPr>
          <w:rFonts w:cs="宋体" w:hint="eastAsia"/>
          <w:kern w:val="0"/>
          <w:sz w:val="24"/>
        </w:rPr>
        <w:tab/>
      </w:r>
      <w:r w:rsidR="003E34F8">
        <w:rPr>
          <w:rFonts w:ascii="宋体" w:hAnsi="宋体" w:cs="宋体" w:hint="eastAsia"/>
          <w:kern w:val="0"/>
          <w:sz w:val="24"/>
        </w:rPr>
        <w:t>6</w:t>
      </w:r>
      <w:r w:rsidRPr="00E40C75">
        <w:rPr>
          <w:rFonts w:ascii="宋体" w:hAnsi="宋体" w:cs="宋体"/>
          <w:kern w:val="0"/>
          <w:sz w:val="24"/>
        </w:rPr>
        <w:t>0%</w:t>
      </w:r>
    </w:p>
    <w:sectPr w:rsidR="00D54148" w:rsidRPr="00D541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7B4" w:rsidRDefault="001077B4" w:rsidP="00FB276C">
      <w:r>
        <w:separator/>
      </w:r>
    </w:p>
  </w:endnote>
  <w:endnote w:type="continuationSeparator" w:id="1">
    <w:p w:rsidR="001077B4" w:rsidRDefault="001077B4" w:rsidP="00FB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F6" w:rsidRDefault="001158F6">
    <w:pPr>
      <w:pStyle w:val="a5"/>
      <w:jc w:val="right"/>
    </w:pPr>
    <w:fldSimple w:instr=" PAGE   \* MERGEFORMAT ">
      <w:r w:rsidR="00182A51" w:rsidRPr="00182A51">
        <w:rPr>
          <w:noProof/>
          <w:lang w:val="zh-CN"/>
        </w:rPr>
        <w:t>1</w:t>
      </w:r>
    </w:fldSimple>
  </w:p>
  <w:p w:rsidR="001158F6" w:rsidRDefault="001158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7B4" w:rsidRDefault="001077B4" w:rsidP="00FB276C">
      <w:r>
        <w:separator/>
      </w:r>
    </w:p>
  </w:footnote>
  <w:footnote w:type="continuationSeparator" w:id="1">
    <w:p w:rsidR="001077B4" w:rsidRDefault="001077B4" w:rsidP="00FB2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669"/>
    <w:multiLevelType w:val="hybridMultilevel"/>
    <w:tmpl w:val="3B5A6E10"/>
    <w:lvl w:ilvl="0" w:tplc="B6CE7F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DADD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09A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A4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283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CA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AB4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82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C71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3681B"/>
    <w:multiLevelType w:val="hybridMultilevel"/>
    <w:tmpl w:val="4CF24E8C"/>
    <w:lvl w:ilvl="0" w:tplc="B4AA6C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A65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BA00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6E3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6F0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E8F8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4B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C35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09F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C7533"/>
    <w:multiLevelType w:val="hybridMultilevel"/>
    <w:tmpl w:val="7AF802B0"/>
    <w:lvl w:ilvl="0" w:tplc="77B277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AC9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AE9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E38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8CA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CB5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2DE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C70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26B8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F76F05"/>
    <w:multiLevelType w:val="hybridMultilevel"/>
    <w:tmpl w:val="B8A0678A"/>
    <w:lvl w:ilvl="0" w:tplc="931ACA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01D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281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831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C75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6D5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EF0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6A0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232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720E3B"/>
    <w:multiLevelType w:val="hybridMultilevel"/>
    <w:tmpl w:val="646049D6"/>
    <w:lvl w:ilvl="0" w:tplc="1D3CE3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403A4">
      <w:start w:val="2899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8A7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C7D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DA0B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442B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421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1498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2B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DF3C58"/>
    <w:multiLevelType w:val="hybridMultilevel"/>
    <w:tmpl w:val="7F7403F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7B2B78F8"/>
    <w:multiLevelType w:val="hybridMultilevel"/>
    <w:tmpl w:val="0DFCC8A0"/>
    <w:lvl w:ilvl="0" w:tplc="4DAA08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E52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C65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A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C08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05A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837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C8C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862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806F4"/>
    <w:rsid w:val="000025DA"/>
    <w:rsid w:val="00062548"/>
    <w:rsid w:val="00075E4C"/>
    <w:rsid w:val="000806F4"/>
    <w:rsid w:val="00082EAE"/>
    <w:rsid w:val="00086587"/>
    <w:rsid w:val="00097B8A"/>
    <w:rsid w:val="000B268D"/>
    <w:rsid w:val="000D5A9C"/>
    <w:rsid w:val="000E6830"/>
    <w:rsid w:val="000F1953"/>
    <w:rsid w:val="000F5EF3"/>
    <w:rsid w:val="001077B4"/>
    <w:rsid w:val="001158F6"/>
    <w:rsid w:val="001551E5"/>
    <w:rsid w:val="00182A51"/>
    <w:rsid w:val="00192F1B"/>
    <w:rsid w:val="001E2E3F"/>
    <w:rsid w:val="00200142"/>
    <w:rsid w:val="002104BE"/>
    <w:rsid w:val="002357DB"/>
    <w:rsid w:val="00242483"/>
    <w:rsid w:val="00261E3D"/>
    <w:rsid w:val="002701D5"/>
    <w:rsid w:val="00292890"/>
    <w:rsid w:val="002D39E5"/>
    <w:rsid w:val="002F1D08"/>
    <w:rsid w:val="003030FA"/>
    <w:rsid w:val="00303934"/>
    <w:rsid w:val="00310565"/>
    <w:rsid w:val="003377F5"/>
    <w:rsid w:val="00371636"/>
    <w:rsid w:val="003A7C80"/>
    <w:rsid w:val="003E34F8"/>
    <w:rsid w:val="004235DF"/>
    <w:rsid w:val="004842F4"/>
    <w:rsid w:val="004A17F5"/>
    <w:rsid w:val="004D43FC"/>
    <w:rsid w:val="00521556"/>
    <w:rsid w:val="005336E6"/>
    <w:rsid w:val="00551AD3"/>
    <w:rsid w:val="00582AB3"/>
    <w:rsid w:val="0058496B"/>
    <w:rsid w:val="005E4C6A"/>
    <w:rsid w:val="00622E54"/>
    <w:rsid w:val="00642DDC"/>
    <w:rsid w:val="0064712F"/>
    <w:rsid w:val="00661B2E"/>
    <w:rsid w:val="006A441A"/>
    <w:rsid w:val="007901FA"/>
    <w:rsid w:val="00791558"/>
    <w:rsid w:val="007F5FC9"/>
    <w:rsid w:val="008034A6"/>
    <w:rsid w:val="00804CA1"/>
    <w:rsid w:val="00811AC5"/>
    <w:rsid w:val="00843A4C"/>
    <w:rsid w:val="0087551F"/>
    <w:rsid w:val="00881A26"/>
    <w:rsid w:val="0088765F"/>
    <w:rsid w:val="008A164A"/>
    <w:rsid w:val="008C201B"/>
    <w:rsid w:val="008E3910"/>
    <w:rsid w:val="009170FF"/>
    <w:rsid w:val="00933A9F"/>
    <w:rsid w:val="00940C2B"/>
    <w:rsid w:val="009814DE"/>
    <w:rsid w:val="009819CD"/>
    <w:rsid w:val="00A3343F"/>
    <w:rsid w:val="00A76FD3"/>
    <w:rsid w:val="00AC14AA"/>
    <w:rsid w:val="00AF642D"/>
    <w:rsid w:val="00B37DC9"/>
    <w:rsid w:val="00B519DB"/>
    <w:rsid w:val="00B555EB"/>
    <w:rsid w:val="00B75D9E"/>
    <w:rsid w:val="00B87340"/>
    <w:rsid w:val="00B97DEC"/>
    <w:rsid w:val="00BC624C"/>
    <w:rsid w:val="00BF4811"/>
    <w:rsid w:val="00C1000C"/>
    <w:rsid w:val="00C106B3"/>
    <w:rsid w:val="00C21E33"/>
    <w:rsid w:val="00C456FF"/>
    <w:rsid w:val="00C65A36"/>
    <w:rsid w:val="00C7361C"/>
    <w:rsid w:val="00C77411"/>
    <w:rsid w:val="00C77647"/>
    <w:rsid w:val="00CB292B"/>
    <w:rsid w:val="00CB4CD7"/>
    <w:rsid w:val="00D47B3B"/>
    <w:rsid w:val="00D54148"/>
    <w:rsid w:val="00D55E01"/>
    <w:rsid w:val="00D62615"/>
    <w:rsid w:val="00DA784B"/>
    <w:rsid w:val="00E300ED"/>
    <w:rsid w:val="00E40C75"/>
    <w:rsid w:val="00E570E2"/>
    <w:rsid w:val="00EA3FD0"/>
    <w:rsid w:val="00ED12C9"/>
    <w:rsid w:val="00F038F6"/>
    <w:rsid w:val="00F329AD"/>
    <w:rsid w:val="00F96D03"/>
    <w:rsid w:val="00FB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9819CD"/>
    <w:rPr>
      <w:color w:val="0000FF"/>
      <w:u w:val="single"/>
    </w:rPr>
  </w:style>
  <w:style w:type="paragraph" w:styleId="a4">
    <w:name w:val="header"/>
    <w:basedOn w:val="a"/>
    <w:link w:val="Char"/>
    <w:rsid w:val="00FB2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276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B2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27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9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68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58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950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30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680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zhang@nsd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114</Words>
  <Characters>656</Characters>
  <Application>Microsoft Office Word</Application>
  <DocSecurity>0</DocSecurity>
  <Lines>5</Lines>
  <Paragraphs>1</Paragraphs>
  <ScaleCrop>false</ScaleCrop>
  <Company>SOFT</Company>
  <LinksUpToDate>false</LinksUpToDate>
  <CharactersWithSpaces>769</CharactersWithSpaces>
  <SharedDoc>false</SharedDoc>
  <HLinks>
    <vt:vector size="6" baseType="variant"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mailto:xzhang@nsd.pku.edu.cn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会计学课程教学计划（2009年春季学期）</dc:title>
  <dc:subject/>
  <dc:creator>IBM-T30</dc:creator>
  <cp:keywords/>
  <cp:lastModifiedBy>Lenovo User</cp:lastModifiedBy>
  <cp:revision>3</cp:revision>
  <dcterms:created xsi:type="dcterms:W3CDTF">2018-01-17T05:42:00Z</dcterms:created>
  <dcterms:modified xsi:type="dcterms:W3CDTF">2018-01-17T06:19:00Z</dcterms:modified>
</cp:coreProperties>
</file>