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b/>
          <w:bCs w:val="0"/>
          <w:sz w:val="28"/>
          <w:szCs w:val="28"/>
        </w:rPr>
      </w:pPr>
      <w:r>
        <w:rPr>
          <w:rFonts w:hint="eastAsia" w:ascii="仿宋" w:hAnsi="仿宋" w:eastAsia="仿宋" w:cs="仿宋"/>
          <w:b/>
          <w:bCs w:val="0"/>
          <w:sz w:val="28"/>
          <w:szCs w:val="28"/>
        </w:rPr>
        <w:t>附录A</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文献综述</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本文研究主要贡献于以下几支文献。</w:t>
      </w:r>
    </w:p>
    <w:p>
      <w:pPr>
        <w:keepNext w:val="0"/>
        <w:keepLines w:val="0"/>
        <w:pageBreakBefore w:val="0"/>
        <w:kinsoku/>
        <w:wordWrap/>
        <w:overflowPunct/>
        <w:topLinePunct w:val="0"/>
        <w:bidi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第一支是机器人应用的经济影响的文献。</w:t>
      </w:r>
      <w:r>
        <w:rPr>
          <w:rFonts w:hint="eastAsia" w:ascii="仿宋" w:hAnsi="仿宋" w:eastAsia="仿宋" w:cs="仿宋"/>
          <w:sz w:val="24"/>
          <w:szCs w:val="24"/>
        </w:rPr>
        <w:t>其一，由于工业机器人与制造业中执行常规任务的劳动者存在直接竞争，大量文献关注机器人对劳动力市场的影响（Acemoglu</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Restrepo，2018，2020；Dauth</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，2017）。也有部分文章在使用企业层面的机器人数据后，发现了劳动力需求增加效应（Dixon</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，2020；李磊等，2021）。其二，部分文章关注了机器人应用对企业生产率、产出水平、产品质量等的积极影响（Graetz</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Michaels，2018；Bonfiglioli</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2020；程虹和袁璐雯，2020）。如同文献，本文也强调了机器人替代效应带来的成本节约对企业生产绩效的积极影响，但本文聚焦于成本节约效应带来的企业创新收益，并挖掘了和机器人协同的其他生产要素（其他资本品、高技能劳动者）如何放大机器人对于企业研发创新的价值。诸竹君等（2022）与本文最为相似。该文也研究了机器人使用对企业创新的影响，但本文与他们存在明显区别。</w:t>
      </w:r>
    </w:p>
    <w:p>
      <w:pPr>
        <w:keepNext w:val="0"/>
        <w:keepLines w:val="0"/>
        <w:pageBreakBefore w:val="0"/>
        <w:kinsoku/>
        <w:wordWrap/>
        <w:overflowPunct/>
        <w:topLinePunct w:val="0"/>
        <w:bidi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第二支是进口投入要素对企业创新绩效影响的相关研究。</w:t>
      </w:r>
      <w:r>
        <w:rPr>
          <w:rFonts w:hint="eastAsia" w:ascii="仿宋" w:hAnsi="仿宋" w:eastAsia="仿宋" w:cs="仿宋"/>
          <w:sz w:val="24"/>
          <w:szCs w:val="24"/>
        </w:rPr>
        <w:t>利用微观企业数据，大量文献发现了使用进口投入品会促进企业创新的证据，机制包括：其一，进口学习效应（Damijan</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Kostevc，2015；Grieco</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，2022）。其二，质量效应或种类效应（Goldberg</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，2010；Colantone</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Crinò，2014；</w:t>
      </w:r>
      <w:r>
        <w:rPr>
          <w:rStyle w:val="17"/>
          <w:rFonts w:hint="eastAsia" w:ascii="仿宋" w:hAnsi="仿宋" w:eastAsia="仿宋" w:cs="仿宋"/>
          <w:sz w:val="24"/>
          <w:szCs w:val="24"/>
        </w:rPr>
        <w:t xml:space="preserve"> </w:t>
      </w:r>
      <w:r>
        <w:rPr>
          <w:rFonts w:hint="eastAsia" w:ascii="仿宋" w:hAnsi="仿宋" w:eastAsia="仿宋" w:cs="仿宋"/>
          <w:sz w:val="24"/>
          <w:szCs w:val="24"/>
        </w:rPr>
        <w:t>Chen</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，2017）。其三，成本节约效应放大企业研发创新的预期收益（Bøler</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，2015）。其四，进口投入品使国外技术变得便宜，替代了国内企业的研发（Liu</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Qiu，2016）。此外，大量文献强调了资本品进口对技术扩散和发展中国家技术进步的重要影响（Eaton</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Kortum，2001；Keller，2004）。Mo</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（2021）进一步发现协同和引致效应只存在于R&amp;D和资本品进口之间，而非中间品进口。还有大量文献发现一国进口消费品会对该国生产同类型产品的企业形成进口竞争压力，从而影响企业创新（Bloom（2016）、Liu</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（2021）、Autor</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（2020））。不同于学习效应、质量效应或种类效应等机制，本文和Bøler</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（2015）一样强调了进口投入要素的成本节约效应。但本文的成本节约源自于机器人对低技能劳动者的替代，而Bøler</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（2015）源自投入品进口价格下降（如关税下降）。此外，工业机器人作为一种典型的资本品，本文尤其强调了资本品进口对企业创新的显著意义。</w:t>
      </w:r>
    </w:p>
    <w:p>
      <w:pPr>
        <w:keepNext w:val="0"/>
        <w:keepLines w:val="0"/>
        <w:pageBreakBefore w:val="0"/>
        <w:kinsoku/>
        <w:wordWrap/>
        <w:overflowPunct/>
        <w:topLinePunct w:val="0"/>
        <w:bidi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第三支是资本—技能或技术—技能互补的文献。</w:t>
      </w:r>
      <w:r>
        <w:rPr>
          <w:rFonts w:hint="eastAsia" w:ascii="仿宋" w:hAnsi="仿宋" w:eastAsia="仿宋" w:cs="仿宋"/>
          <w:sz w:val="24"/>
          <w:szCs w:val="24"/>
        </w:rPr>
        <w:t>该支文献强调企业在引进先进的资本或技术后，会补充相应的高技能劳动者（Bresnahan</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，2002；Katz</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Margo，2014；Autor</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，2015）。作为一种“技能偏向型”或“任务偏向型”的技术进步，机器人的使用具有同样特征（Prettner</w:t>
      </w:r>
      <w:r>
        <w:rPr>
          <w:rFonts w:hint="eastAsia" w:ascii="仿宋" w:hAnsi="仿宋" w:eastAsia="仿宋" w:cs="仿宋"/>
          <w:sz w:val="24"/>
          <w:szCs w:val="24"/>
          <w:lang w:val="en-US" w:eastAsia="zh-CN"/>
        </w:rPr>
        <w:t xml:space="preserve"> and </w:t>
      </w:r>
      <w:r>
        <w:rPr>
          <w:rFonts w:hint="eastAsia" w:ascii="仿宋" w:hAnsi="仿宋" w:eastAsia="仿宋" w:cs="仿宋"/>
          <w:sz w:val="24"/>
          <w:szCs w:val="24"/>
        </w:rPr>
        <w:t>Strulik，2020；Dauth</w:t>
      </w:r>
      <w:r>
        <w:rPr>
          <w:rFonts w:hint="eastAsia" w:ascii="仿宋" w:hAnsi="仿宋" w:eastAsia="仿宋" w:cs="仿宋"/>
          <w:sz w:val="24"/>
          <w:szCs w:val="24"/>
          <w:lang w:val="en-US" w:eastAsia="zh-CN"/>
        </w:rPr>
        <w:t xml:space="preserve"> et al.</w:t>
      </w:r>
      <w:r>
        <w:rPr>
          <w:rFonts w:hint="eastAsia" w:ascii="仿宋" w:hAnsi="仿宋" w:eastAsia="仿宋" w:cs="仿宋"/>
          <w:sz w:val="24"/>
          <w:szCs w:val="24"/>
        </w:rPr>
        <w:t>，2017；Humlum，2022；余玲铮等，2021）。本文也强调了工业机器人和高技能劳动者之间的互补性，并创新性地关注了这种互补性对企业创新的价值。</w:t>
      </w: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8"/>
          <w:szCs w:val="28"/>
        </w:rPr>
      </w:pPr>
      <w:r>
        <w:rPr>
          <w:rFonts w:hint="eastAsia" w:ascii="仿宋" w:hAnsi="仿宋" w:eastAsia="仿宋" w:cs="仿宋"/>
          <w:sz w:val="28"/>
          <w:szCs w:val="28"/>
        </w:rPr>
        <w:t>附录B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理论分析</w:t>
      </w:r>
    </w:p>
    <w:p>
      <w:pPr>
        <w:pStyle w:val="27"/>
        <w:keepNext w:val="0"/>
        <w:keepLines w:val="0"/>
        <w:pageBreakBefore w:val="0"/>
        <w:widowControl/>
        <w:numPr>
          <w:ilvl w:val="0"/>
          <w:numId w:val="1"/>
        </w:numPr>
        <w:kinsoku/>
        <w:wordWrap/>
        <w:overflowPunct/>
        <w:topLinePunct w:val="0"/>
        <w:bidi w:val="0"/>
        <w:spacing w:line="360" w:lineRule="auto"/>
        <w:ind w:firstLineChars="0"/>
        <w:jc w:val="left"/>
        <w:rPr>
          <w:rFonts w:hint="eastAsia" w:ascii="仿宋" w:hAnsi="仿宋" w:eastAsia="仿宋" w:cs="仿宋"/>
          <w:b/>
          <w:sz w:val="24"/>
          <w:szCs w:val="24"/>
        </w:rPr>
      </w:pPr>
      <w:r>
        <w:rPr>
          <w:rFonts w:hint="eastAsia" w:ascii="仿宋" w:hAnsi="仿宋" w:eastAsia="仿宋" w:cs="仿宋"/>
          <w:b/>
          <w:sz w:val="24"/>
          <w:szCs w:val="24"/>
        </w:rPr>
        <w:t>中间品厂商的最优研发选择过程如下：</w:t>
      </w:r>
    </w:p>
    <w:p>
      <w:pPr>
        <w:keepNext w:val="0"/>
        <w:keepLines w:val="0"/>
        <w:pageBreakBefore w:val="0"/>
        <w:widowControl/>
        <w:kinsoku/>
        <w:wordWrap/>
        <w:overflowPunct/>
        <w:topLinePunct w:val="0"/>
        <w:bidi w:val="0"/>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其一，求解企业的生产要素需求方程：</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val="en-US" w:eastAsia="zh-CN"/>
        </w:rPr>
      </w:pPr>
      <w:r>
        <w:rPr>
          <w:rFonts w:hint="eastAsia" w:hAnsi="Cambria Math" w:eastAsia="仿宋" w:cs="仿宋"/>
          <w:i w:val="0"/>
          <w:sz w:val="24"/>
          <w:szCs w:val="24"/>
          <w:lang w:val="en-US" w:eastAsia="zh-CN"/>
        </w:rPr>
        <w:t xml:space="preserve">                                       </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 xml:space="preserve">: </m:t>
        </m:r>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1−</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σ</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=W</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1</w:t>
      </w:r>
      <w:r>
        <w:rPr>
          <w:rFonts w:hint="eastAsia" w:ascii="仿宋" w:hAnsi="仿宋" w:eastAsia="仿宋" w:cs="仿宋"/>
          <w:sz w:val="24"/>
          <w:szCs w:val="24"/>
          <w:lang w:val="en-US" w:eastAsia="zh-CN"/>
        </w:rPr>
        <w:t>)</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val="en-US" w:eastAsia="zh-CN"/>
        </w:rPr>
      </w:pPr>
      <w:r>
        <w:rPr>
          <w:rFonts w:hint="eastAsia" w:hAnsi="Cambria Math" w:eastAsia="仿宋" w:cs="仿宋"/>
          <w:i w:val="0"/>
          <w:sz w:val="24"/>
          <w:szCs w:val="24"/>
          <w:lang w:val="en-US" w:eastAsia="zh-CN"/>
        </w:rPr>
        <w:t xml:space="preserve">                                       </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 xml:space="preserve">: </m:t>
        </m:r>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1−</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σ</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W</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H</m:t>
            </m:r>
            <m:ctrlPr>
              <w:rPr>
                <w:rFonts w:hint="eastAsia" w:ascii="Cambria Math" w:hAnsi="Cambria Math" w:eastAsia="仿宋" w:cs="仿宋"/>
                <w:i/>
                <w:sz w:val="24"/>
                <w:szCs w:val="24"/>
              </w:rPr>
            </m:ctrlPr>
          </m:sub>
        </m:sSub>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2</w:t>
      </w:r>
      <w:r>
        <w:rPr>
          <w:rFonts w:hint="eastAsia" w:ascii="仿宋" w:hAnsi="仿宋" w:eastAsia="仿宋" w:cs="仿宋"/>
          <w:sz w:val="24"/>
          <w:szCs w:val="24"/>
          <w:lang w:val="en-US" w:eastAsia="zh-CN"/>
        </w:rPr>
        <w:t>)</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val="en-US" w:eastAsia="zh-CN"/>
        </w:rPr>
      </w:pPr>
      <w:r>
        <w:rPr>
          <w:rFonts w:hint="eastAsia" w:hAnsi="Cambria Math" w:eastAsia="仿宋" w:cs="仿宋"/>
          <w:i w:val="0"/>
          <w:sz w:val="24"/>
          <w:szCs w:val="24"/>
          <w:lang w:val="en-US" w:eastAsia="zh-CN"/>
        </w:rPr>
        <w:t xml:space="preserve">                                       </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A</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 xml:space="preserve">: </m:t>
        </m:r>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1−</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σ</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MPA</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m:t>
        </m:r>
        <m:r>
          <m:rPr/>
          <w:rPr>
            <w:rFonts w:hint="eastAsia" w:ascii="Cambria Math" w:hAnsi="Cambria Math" w:eastAsia="仿宋" w:cs="仿宋"/>
            <w:sz w:val="24"/>
            <w:szCs w:val="24"/>
          </w:rPr>
          <m:t>r</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3</w:t>
      </w:r>
      <w:r>
        <w:rPr>
          <w:rFonts w:hint="eastAsia" w:ascii="仿宋" w:hAnsi="仿宋" w:eastAsia="仿宋" w:cs="仿宋"/>
          <w:sz w:val="24"/>
          <w:szCs w:val="24"/>
          <w:lang w:val="en-US" w:eastAsia="zh-CN"/>
        </w:rPr>
        <w:t>)</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val="en-US" w:eastAsia="zh-CN"/>
        </w:rPr>
      </w:pPr>
      <w:r>
        <w:rPr>
          <w:rFonts w:hint="eastAsia" w:hAnsi="Cambria Math" w:eastAsia="仿宋" w:cs="仿宋"/>
          <w:i w:val="0"/>
          <w:sz w:val="24"/>
          <w:szCs w:val="24"/>
          <w:lang w:val="en-US" w:eastAsia="zh-CN"/>
        </w:rPr>
        <w:t xml:space="preserve">                                       </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 xml:space="preserve">: </m:t>
        </m:r>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1−</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σ</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=R</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4</w:t>
      </w:r>
      <w:r>
        <w:rPr>
          <w:rFonts w:hint="eastAsia" w:ascii="仿宋" w:hAnsi="仿宋" w:eastAsia="仿宋" w:cs="仿宋"/>
          <w:sz w:val="24"/>
          <w:szCs w:val="24"/>
          <w:lang w:val="en-US" w:eastAsia="zh-CN"/>
        </w:rPr>
        <w:t>)</w:t>
      </w: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其中，投入要素的边际产出分别为：</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d>
          <m:dPr>
            <m:ctrlPr>
              <w:rPr>
                <w:rFonts w:hint="eastAsia" w:ascii="Cambria Math" w:hAnsi="Cambria Math" w:eastAsia="仿宋" w:cs="仿宋"/>
                <w:i/>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1−ϑ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r>
          <m:rPr/>
          <w:rPr>
            <w:rFonts w:hint="eastAsia" w:ascii="Cambria Math" w:hAnsi="Cambria Math" w:eastAsia="仿宋" w:cs="仿宋"/>
            <w:sz w:val="24"/>
            <w:szCs w:val="24"/>
          </w:rPr>
          <m:t>γ</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oMath>
      <w:r>
        <w:rPr>
          <w:rFonts w:hint="eastAsia" w:ascii="仿宋" w:hAnsi="仿宋" w:eastAsia="仿宋" w:cs="仿宋"/>
          <w:sz w:val="24"/>
          <w:szCs w:val="24"/>
        </w:rPr>
        <w:t>，</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=β</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oMath>
      <w:r>
        <w:rPr>
          <w:rFonts w:hint="eastAsia" w:ascii="仿宋" w:hAnsi="仿宋" w:eastAsia="仿宋" w:cs="仿宋"/>
          <w:sz w:val="24"/>
          <w:szCs w:val="24"/>
        </w:rPr>
        <w:t>，</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MPA</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γ</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A</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oMath>
      <w:r>
        <w:rPr>
          <w:rFonts w:hint="eastAsia" w:ascii="仿宋" w:hAnsi="仿宋" w:eastAsia="仿宋" w:cs="仿宋"/>
          <w:sz w:val="24"/>
          <w:szCs w:val="24"/>
        </w:rPr>
        <w:t>，</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MPK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m:t>
        </m:r>
        <m:r>
          <m:rPr/>
          <w:rPr>
            <w:rFonts w:hint="eastAsia" w:ascii="Cambria Math" w:hAnsi="Cambria Math" w:eastAsia="仿宋" w:cs="仿宋"/>
            <w:sz w:val="24"/>
            <w:szCs w:val="24"/>
          </w:rPr>
          <m:t>α</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oMath>
      <w:r>
        <w:rPr>
          <w:rFonts w:hint="eastAsia" w:ascii="仿宋" w:hAnsi="仿宋" w:eastAsia="仿宋" w:cs="仿宋"/>
          <w:sz w:val="24"/>
          <w:szCs w:val="24"/>
        </w:rPr>
        <w:t>。</w:t>
      </w: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其二，求解企业总生产成本</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利用</w:t>
      </w:r>
      <w:r>
        <w:rPr>
          <w:rFonts w:hint="eastAsia" w:ascii="仿宋" w:hAnsi="仿宋" w:eastAsia="仿宋" w:cs="仿宋"/>
          <w:sz w:val="24"/>
          <w:szCs w:val="24"/>
          <w:lang w:val="en-US" w:eastAsia="zh-CN"/>
        </w:rPr>
        <w:t>式（B</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 xml:space="preserve">，可得总成本函数为： </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TC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d>
              <m:dPr>
                <m:ctrlPr>
                  <w:rPr>
                    <w:rFonts w:hint="eastAsia" w:ascii="Cambria Math" w:hAnsi="Cambria Math" w:eastAsia="仿宋" w:cs="仿宋"/>
                    <w:i/>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1−ϑ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r>
              <m:rPr/>
              <w:rPr>
                <w:rFonts w:hint="eastAsia" w:ascii="Cambria Math" w:hAnsi="Cambria Math" w:eastAsia="仿宋" w:cs="仿宋"/>
                <w:sz w:val="24"/>
                <w:szCs w:val="24"/>
              </w:rPr>
              <m:t>γ</m:t>
            </m:r>
            <m:ctrlPr>
              <w:rPr>
                <w:rFonts w:hint="eastAsia" w:ascii="Cambria Math" w:hAnsi="Cambria Math" w:eastAsia="仿宋" w:cs="仿宋"/>
                <w:i/>
                <w:sz w:val="24"/>
                <w:szCs w:val="24"/>
              </w:rPr>
            </m:ctrlPr>
          </m:den>
        </m:f>
        <m:r>
          <m:rPr/>
          <w:rPr>
            <w:rFonts w:hint="eastAsia" w:ascii="Cambria Math" w:hAnsi="Cambria Math" w:eastAsia="仿宋" w:cs="仿宋"/>
            <w:sz w:val="24"/>
            <w:szCs w:val="24"/>
          </w:rPr>
          <m:t>W</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w:t>
      </w:r>
    </w:p>
    <w:p>
      <w:pPr>
        <w:keepNext w:val="0"/>
        <w:keepLines w:val="0"/>
        <w:pageBreakBefore w:val="0"/>
        <w:kinsoku/>
        <w:wordWrap/>
        <w:overflowPunct/>
        <w:topLinePunct w:val="0"/>
        <w:bidi w:val="0"/>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其三，求解企业产品定价方程</w:t>
      </w: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利用企业利润函数：</w:t>
      </w:r>
      <m:oMath>
        <m:sSub>
          <m:sSubPr>
            <m:ctrlPr>
              <w:rPr>
                <w:rFonts w:hint="eastAsia" w:ascii="Cambria Math" w:hAnsi="Cambria Math" w:eastAsia="仿宋" w:cs="仿宋"/>
                <w:sz w:val="24"/>
                <w:szCs w:val="24"/>
              </w:rPr>
            </m:ctrlPr>
          </m:sSubPr>
          <m:e>
            <m:r>
              <m:rPr>
                <m:sty m:val="p"/>
              </m:rPr>
              <w:rPr>
                <w:rFonts w:hint="eastAsia" w:ascii="Cambria Math" w:hAnsi="Cambria Math" w:eastAsia="仿宋" w:cs="仿宋"/>
                <w:sz w:val="24"/>
                <w:szCs w:val="24"/>
              </w:rPr>
              <m:t>Π</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TC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−g</m:t>
        </m:r>
        <m:d>
          <m:dPr>
            <m:ctrlPr>
              <w:rPr>
                <w:rFonts w:hint="eastAsia" w:ascii="Cambria Math" w:hAnsi="Cambria Math" w:eastAsia="仿宋" w:cs="仿宋"/>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oMath>
      <w:r>
        <w:rPr>
          <w:rFonts w:hint="eastAsia" w:ascii="仿宋" w:hAnsi="仿宋" w:eastAsia="仿宋" w:cs="仿宋"/>
          <w:sz w:val="24"/>
          <w:szCs w:val="24"/>
        </w:rPr>
        <w:t>，代入产品需求（</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m:t>
        </m:r>
        <m:sSup>
          <m:sSupPr>
            <m:ctrlPr>
              <w:rPr>
                <w:rFonts w:hint="eastAsia" w:ascii="Cambria Math" w:hAnsi="Cambria Math" w:eastAsia="仿宋" w:cs="仿宋"/>
                <w:sz w:val="24"/>
                <w:szCs w:val="24"/>
              </w:rPr>
            </m:ctrlPr>
          </m:sSupPr>
          <m:e>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ctrlPr>
              <w:rPr>
                <w:rFonts w:hint="eastAsia" w:ascii="Cambria Math" w:hAnsi="Cambria Math" w:eastAsia="仿宋" w:cs="仿宋"/>
                <w:sz w:val="24"/>
                <w:szCs w:val="24"/>
              </w:rPr>
            </m:ctrlPr>
          </m:e>
          <m:sup>
            <m:r>
              <m:rPr/>
              <w:rPr>
                <w:rFonts w:hint="eastAsia" w:ascii="Cambria Math" w:hAnsi="Cambria Math" w:eastAsia="仿宋" w:cs="仿宋"/>
                <w:sz w:val="24"/>
                <w:szCs w:val="24"/>
              </w:rPr>
              <m:t>−σ</m:t>
            </m:r>
            <m:ctrlPr>
              <w:rPr>
                <w:rFonts w:hint="eastAsia" w:ascii="Cambria Math" w:hAnsi="Cambria Math" w:eastAsia="仿宋" w:cs="仿宋"/>
                <w:sz w:val="24"/>
                <w:szCs w:val="24"/>
              </w:rPr>
            </m:ctrlPr>
          </m:sup>
        </m:sSup>
        <m:r>
          <m:rPr>
            <m:sty m:val="p"/>
          </m:rPr>
          <w:rPr>
            <w:rFonts w:hint="eastAsia" w:ascii="Cambria Math" w:hAnsi="Cambria Math" w:eastAsia="仿宋" w:cs="仿宋"/>
            <w:sz w:val="24"/>
            <w:szCs w:val="24"/>
          </w:rPr>
          <m:t>X</m:t>
        </m:r>
      </m:oMath>
      <w:r>
        <w:rPr>
          <w:rFonts w:hint="eastAsia" w:ascii="仿宋" w:hAnsi="仿宋" w:eastAsia="仿宋" w:cs="仿宋"/>
          <w:sz w:val="24"/>
          <w:szCs w:val="24"/>
        </w:rPr>
        <w:t>）、最优产出（</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φ</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sz w:val="24"/>
                <w:szCs w:val="24"/>
              </w:rPr>
            </m:ctrlPr>
          </m:e>
          <m: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）、总成本函数（</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TC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m:sty m:val="p"/>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d>
              <m:dPr>
                <m:ctrlPr>
                  <w:rPr>
                    <w:rFonts w:hint="eastAsia" w:ascii="Cambria Math" w:hAnsi="Cambria Math" w:eastAsia="仿宋" w:cs="仿宋"/>
                    <w:i/>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1−ϑ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r>
              <m:rPr/>
              <w:rPr>
                <w:rFonts w:hint="eastAsia" w:ascii="Cambria Math" w:hAnsi="Cambria Math" w:eastAsia="仿宋" w:cs="仿宋"/>
                <w:sz w:val="24"/>
                <w:szCs w:val="24"/>
              </w:rPr>
              <m:t>γ</m:t>
            </m:r>
            <m:ctrlPr>
              <w:rPr>
                <w:rFonts w:hint="eastAsia" w:ascii="Cambria Math" w:hAnsi="Cambria Math" w:eastAsia="仿宋" w:cs="仿宋"/>
                <w:i/>
                <w:sz w:val="24"/>
                <w:szCs w:val="24"/>
              </w:rPr>
            </m:ctrlPr>
          </m:den>
        </m:f>
        <m:r>
          <m:rPr/>
          <w:rPr>
            <w:rFonts w:hint="eastAsia" w:ascii="Cambria Math" w:hAnsi="Cambria Math" w:eastAsia="仿宋" w:cs="仿宋"/>
            <w:sz w:val="24"/>
            <w:szCs w:val="24"/>
          </w:rPr>
          <m:t>W</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L</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），并对产品价格（</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）求一阶偏导，可得定价：</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rPr>
      </w:pPr>
      <m:oMath>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r>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σ</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σ−1</m:t>
            </m:r>
            <m:ctrlPr>
              <w:rPr>
                <w:rFonts w:hint="eastAsia" w:ascii="Cambria Math" w:hAnsi="Cambria Math" w:eastAsia="仿宋" w:cs="仿宋"/>
                <w:i/>
                <w:sz w:val="24"/>
                <w:szCs w:val="24"/>
              </w:rPr>
            </m:ctrlPr>
          </m:den>
        </m:f>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p</m:t>
            </m:r>
            <m:ctrlPr>
              <w:rPr>
                <w:rFonts w:hint="eastAsia" w:ascii="Cambria Math" w:hAnsi="Cambria Math" w:eastAsia="仿宋" w:cs="仿宋"/>
                <w:i/>
                <w:sz w:val="24"/>
                <w:szCs w:val="24"/>
              </w:rPr>
            </m:ctrlPr>
          </m:sub>
        </m:sSub>
      </m:oMath>
      <w:r>
        <w:rPr>
          <w:rFonts w:hint="eastAsia" w:ascii="仿宋" w:hAnsi="仿宋" w:eastAsia="仿宋" w:cs="仿宋"/>
          <w:sz w:val="24"/>
          <w:szCs w:val="24"/>
        </w:rPr>
        <w:t>，其中</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p</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MC</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φ</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oMath>
      <w:r>
        <w:rPr>
          <w:rFonts w:hint="eastAsia" w:ascii="仿宋" w:hAnsi="仿宋" w:eastAsia="仿宋" w:cs="仿宋"/>
          <w:sz w:val="24"/>
          <w:szCs w:val="24"/>
        </w:rPr>
        <w:t>，</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MC</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d>
              <m:dPr>
                <m:ctrlPr>
                  <w:rPr>
                    <w:rFonts w:hint="eastAsia" w:ascii="Cambria Math" w:hAnsi="Cambria Math" w:eastAsia="仿宋" w:cs="仿宋"/>
                    <w:i/>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1−ϑ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r>
              <m:rPr/>
              <w:rPr>
                <w:rFonts w:hint="eastAsia" w:ascii="Cambria Math" w:hAnsi="Cambria Math" w:eastAsia="仿宋" w:cs="仿宋"/>
                <w:sz w:val="24"/>
                <w:szCs w:val="24"/>
              </w:rPr>
              <m:t>γ</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sz w:val="24"/>
                    <w:szCs w:val="24"/>
                  </w:rPr>
                </m:ctrlPr>
              </m:e>
              <m: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r>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γ</m:t>
            </m:r>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R</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r>
                  <m:rPr/>
                  <w:rPr>
                    <w:rFonts w:hint="eastAsia" w:ascii="Cambria Math" w:hAnsi="Cambria Math" w:eastAsia="仿宋" w:cs="仿宋"/>
                    <w:sz w:val="24"/>
                    <w:szCs w:val="24"/>
                  </w:rPr>
                  <m:t>α</m:t>
                </m:r>
                <m:ctrlPr>
                  <w:rPr>
                    <w:rFonts w:hint="eastAsia" w:ascii="Cambria Math" w:hAnsi="Cambria Math" w:eastAsia="仿宋" w:cs="仿宋"/>
                    <w:i/>
                    <w:sz w:val="24"/>
                    <w:szCs w:val="24"/>
                  </w:rPr>
                </m:ctrlPr>
              </m:sup>
            </m:sSup>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W</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H</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r>
                  <m:rPr/>
                  <w:rPr>
                    <w:rFonts w:hint="eastAsia" w:ascii="Cambria Math" w:hAnsi="Cambria Math" w:eastAsia="仿宋" w:cs="仿宋"/>
                    <w:sz w:val="24"/>
                    <w:szCs w:val="24"/>
                  </w:rPr>
                  <m:t>β</m:t>
                </m:r>
                <m:ctrlPr>
                  <w:rPr>
                    <w:rFonts w:hint="eastAsia" w:ascii="Cambria Math" w:hAnsi="Cambria Math" w:eastAsia="仿宋" w:cs="仿宋"/>
                    <w:i/>
                    <w:sz w:val="24"/>
                    <w:szCs w:val="24"/>
                  </w:rPr>
                </m:ctrlPr>
              </m:sup>
            </m:sSup>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r</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γ</m:t>
                </m:r>
                <m:ctrlPr>
                  <w:rPr>
                    <w:rFonts w:hint="eastAsia" w:ascii="Cambria Math" w:hAnsi="Cambria Math" w:eastAsia="仿宋" w:cs="仿宋"/>
                    <w:i/>
                    <w:sz w:val="24"/>
                    <w:szCs w:val="24"/>
                  </w:rPr>
                </m:ctrlPr>
              </m:sup>
            </m:sSup>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α</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γ</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r>
                  <m:rPr/>
                  <w:rPr>
                    <w:rFonts w:hint="eastAsia" w:ascii="Cambria Math" w:hAnsi="Cambria Math" w:eastAsia="仿宋" w:cs="仿宋"/>
                    <w:sz w:val="24"/>
                    <w:szCs w:val="24"/>
                  </w:rPr>
                  <m:t>α</m:t>
                </m:r>
                <m:ctrlPr>
                  <w:rPr>
                    <w:rFonts w:hint="eastAsia" w:ascii="Cambria Math" w:hAnsi="Cambria Math" w:eastAsia="仿宋" w:cs="仿宋"/>
                    <w:i/>
                    <w:sz w:val="24"/>
                    <w:szCs w:val="24"/>
                  </w:rPr>
                </m:ctrlPr>
              </m:sup>
            </m:sSup>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β</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γ</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r>
                  <m:rPr/>
                  <w:rPr>
                    <w:rFonts w:hint="eastAsia" w:ascii="Cambria Math" w:hAnsi="Cambria Math" w:eastAsia="仿宋" w:cs="仿宋"/>
                    <w:sz w:val="24"/>
                    <w:szCs w:val="24"/>
                  </w:rPr>
                  <m:t>β</m:t>
                </m:r>
                <m:ctrlPr>
                  <w:rPr>
                    <w:rFonts w:hint="eastAsia" w:ascii="Cambria Math" w:hAnsi="Cambria Math" w:eastAsia="仿宋" w:cs="仿宋"/>
                    <w:i/>
                    <w:sz w:val="24"/>
                    <w:szCs w:val="24"/>
                  </w:rPr>
                </m:ctrlPr>
              </m:sup>
            </m:sSup>
            <m:ctrlPr>
              <w:rPr>
                <w:rFonts w:hint="eastAsia" w:ascii="Cambria Math" w:hAnsi="Cambria Math" w:eastAsia="仿宋" w:cs="仿宋"/>
                <w:i/>
                <w:sz w:val="24"/>
                <w:szCs w:val="24"/>
              </w:rPr>
            </m:ctrlPr>
          </m:den>
        </m:f>
      </m:oMath>
    </w:p>
    <w:p>
      <w:pPr>
        <w:keepNext w:val="0"/>
        <w:keepLines w:val="0"/>
        <w:pageBreakBefore w:val="0"/>
        <w:kinsoku/>
        <w:wordWrap/>
        <w:overflowPunct/>
        <w:topLinePunct w:val="0"/>
        <w:bidi w:val="0"/>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其四，求解企业最优创新水平</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利用企业利润函数，对企业研发（</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）求一阶偏导，可得企业研发（</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）一阶条件</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val="en-US" w:eastAsia="zh-CN"/>
        </w:rPr>
      </w:pPr>
      <w:r>
        <w:rPr>
          <w:rFonts w:hint="eastAsia" w:hAnsi="Cambria Math" w:eastAsia="仿宋" w:cs="仿宋"/>
          <w:i w:val="0"/>
          <w:sz w:val="24"/>
          <w:szCs w:val="24"/>
          <w:lang w:val="en-US" w:eastAsia="zh-CN"/>
        </w:rPr>
        <w:t xml:space="preserve">                                             </w:t>
      </w:r>
      <m:oMath>
        <m:r>
          <m:rPr/>
          <w:rPr>
            <w:rFonts w:hint="eastAsia" w:ascii="Cambria Math" w:hAnsi="Cambria Math" w:eastAsia="仿宋" w:cs="仿宋"/>
            <w:sz w:val="24"/>
            <w:szCs w:val="24"/>
          </w:rPr>
          <m:t>−</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MC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p</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sSup>
          <m:sSupPr>
            <m:ctrlPr>
              <w:rPr>
                <w:rFonts w:hint="eastAsia" w:ascii="Cambria Math" w:hAnsi="Cambria Math" w:eastAsia="仿宋" w:cs="仿宋"/>
                <w:sz w:val="24"/>
                <w:szCs w:val="24"/>
              </w:rPr>
            </m:ctrlPr>
          </m:sSupPr>
          <m:e>
            <m:sSub>
              <m:sSubPr>
                <m:ctrlPr>
                  <w:rPr>
                    <w:rFonts w:hint="eastAsia" w:ascii="Cambria Math" w:hAnsi="Cambria Math" w:eastAsia="仿宋" w:cs="仿宋"/>
                    <w:sz w:val="24"/>
                    <w:szCs w:val="24"/>
                  </w:rPr>
                </m:ctrlPr>
              </m:sSubPr>
              <m:e>
                <m:r>
                  <m:rPr/>
                  <w:rPr>
                    <w:rFonts w:hint="eastAsia" w:ascii="Cambria Math" w:hAnsi="Cambria Math" w:eastAsia="仿宋" w:cs="仿宋"/>
                    <w:sz w:val="24"/>
                    <w:szCs w:val="24"/>
                  </w:rPr>
                  <m:t>p</m:t>
                </m:r>
                <m:ctrlPr>
                  <w:rPr>
                    <w:rFonts w:hint="eastAsia" w:ascii="Cambria Math" w:hAnsi="Cambria Math" w:eastAsia="仿宋" w:cs="仿宋"/>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ctrlPr>
              <w:rPr>
                <w:rFonts w:hint="eastAsia" w:ascii="Cambria Math" w:hAnsi="Cambria Math" w:eastAsia="仿宋" w:cs="仿宋"/>
                <w:sz w:val="24"/>
                <w:szCs w:val="24"/>
              </w:rPr>
            </m:ctrlPr>
          </m:e>
          <m:sup>
            <m:r>
              <m:rPr/>
              <w:rPr>
                <w:rFonts w:hint="eastAsia" w:ascii="Cambria Math" w:hAnsi="Cambria Math" w:eastAsia="仿宋" w:cs="仿宋"/>
                <w:sz w:val="24"/>
                <w:szCs w:val="24"/>
              </w:rPr>
              <m:t>−σ</m:t>
            </m:r>
            <m:ctrlPr>
              <w:rPr>
                <w:rFonts w:hint="eastAsia" w:ascii="Cambria Math" w:hAnsi="Cambria Math" w:eastAsia="仿宋" w:cs="仿宋"/>
                <w:sz w:val="24"/>
                <w:szCs w:val="24"/>
              </w:rPr>
            </m:ctrlPr>
          </m:sup>
        </m:sSup>
        <m:r>
          <m:rPr>
            <m:sty m:val="p"/>
          </m:rPr>
          <w:rPr>
            <w:rFonts w:hint="eastAsia" w:ascii="Cambria Math" w:hAnsi="Cambria Math" w:eastAsia="仿宋" w:cs="仿宋"/>
            <w:sz w:val="24"/>
            <w:szCs w:val="24"/>
          </w:rPr>
          <m:t>X−</m:t>
        </m:r>
        <m:sSup>
          <m:sSupPr>
            <m:ctrlPr>
              <w:rPr>
                <w:rFonts w:hint="eastAsia" w:ascii="Cambria Math" w:hAnsi="Cambria Math" w:eastAsia="仿宋" w:cs="仿宋"/>
                <w:sz w:val="24"/>
                <w:szCs w:val="24"/>
              </w:rPr>
            </m:ctrlPr>
          </m:sSupPr>
          <m:e>
            <m:r>
              <m:rPr>
                <m:sty m:val="p"/>
              </m:rPr>
              <w:rPr>
                <w:rFonts w:hint="eastAsia" w:ascii="Cambria Math" w:hAnsi="Cambria Math" w:eastAsia="仿宋" w:cs="仿宋"/>
                <w:sz w:val="24"/>
                <w:szCs w:val="24"/>
              </w:rPr>
              <m:t>g</m:t>
            </m:r>
            <m:ctrlPr>
              <w:rPr>
                <w:rFonts w:hint="eastAsia" w:ascii="Cambria Math" w:hAnsi="Cambria Math" w:eastAsia="仿宋" w:cs="仿宋"/>
                <w:sz w:val="24"/>
                <w:szCs w:val="24"/>
              </w:rPr>
            </m:ctrlPr>
          </m:e>
          <m:sup>
            <m:r>
              <m:rPr/>
              <w:rPr>
                <w:rFonts w:hint="eastAsia" w:ascii="Cambria Math" w:hAnsi="Cambria Math" w:eastAsia="仿宋" w:cs="仿宋"/>
                <w:sz w:val="24"/>
                <w:szCs w:val="24"/>
              </w:rPr>
              <m:t>'</m:t>
            </m:r>
            <m:ctrlPr>
              <w:rPr>
                <w:rFonts w:hint="eastAsia" w:ascii="Cambria Math" w:hAnsi="Cambria Math" w:eastAsia="仿宋" w:cs="仿宋"/>
                <w:sz w:val="24"/>
                <w:szCs w:val="24"/>
              </w:rPr>
            </m:ctrlPr>
          </m:sup>
        </m:sSup>
        <m:d>
          <m:dPr>
            <m:ctrlPr>
              <w:rPr>
                <w:rFonts w:hint="eastAsia" w:ascii="Cambria Math" w:hAnsi="Cambria Math" w:eastAsia="仿宋" w:cs="仿宋"/>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d>
        <m:r>
          <m:rPr/>
          <w:rPr>
            <w:rFonts w:hint="eastAsia" w:ascii="Cambria Math" w:hAnsi="Cambria Math" w:eastAsia="仿宋" w:cs="仿宋"/>
            <w:sz w:val="24"/>
            <w:szCs w:val="24"/>
          </w:rPr>
          <m:t>=0</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根据创新的一阶条件（</w:t>
      </w:r>
      <w:r>
        <w:rPr>
          <w:rFonts w:hint="eastAsia" w:ascii="仿宋" w:hAnsi="仿宋" w:eastAsia="仿宋" w:cs="仿宋"/>
          <w:sz w:val="24"/>
          <w:szCs w:val="24"/>
          <w:lang w:val="en-US" w:eastAsia="zh-CN"/>
        </w:rPr>
        <w:t>B</w:t>
      </w:r>
      <w:r>
        <w:rPr>
          <w:rFonts w:hint="eastAsia" w:ascii="仿宋" w:hAnsi="仿宋" w:eastAsia="仿宋" w:cs="仿宋"/>
          <w:sz w:val="24"/>
          <w:szCs w:val="24"/>
        </w:rPr>
        <w:t>5），可得如下一阶偏导式：</w:t>
      </w:r>
    </w:p>
    <w:p>
      <w:pPr>
        <w:keepNext w:val="0"/>
        <w:keepLines w:val="0"/>
        <w:pageBreakBefore w:val="0"/>
        <w:kinsoku/>
        <w:wordWrap/>
        <w:overflowPunct/>
        <w:topLinePunct w:val="0"/>
        <w:bidi w:val="0"/>
        <w:spacing w:line="360" w:lineRule="auto"/>
        <w:jc w:val="center"/>
        <w:rPr>
          <w:rFonts w:hint="eastAsia" w:ascii="仿宋" w:hAnsi="仿宋" w:eastAsia="仿宋" w:cs="仿宋"/>
          <w:sz w:val="24"/>
          <w:szCs w:val="24"/>
          <w:lang w:eastAsia="zh-CN"/>
        </w:rPr>
      </w:pPr>
      <w:r>
        <w:rPr>
          <w:rFonts w:hint="eastAsia" w:hAnsi="Cambria Math" w:eastAsia="仿宋" w:cs="仿宋"/>
          <w:i w:val="0"/>
          <w:sz w:val="24"/>
          <w:szCs w:val="24"/>
          <w:lang w:val="en-US" w:eastAsia="zh-CN"/>
        </w:rPr>
        <w:t xml:space="preserve">                                     </w:t>
      </w:r>
      <m:oMath>
        <m:f>
          <m:fPr>
            <m:ctrlPr>
              <w:rPr>
                <w:rFonts w:hint="eastAsia" w:ascii="Cambria Math" w:hAnsi="Cambria Math" w:eastAsia="仿宋" w:cs="仿宋"/>
                <w:sz w:val="24"/>
                <w:szCs w:val="24"/>
              </w:rPr>
            </m:ctrlPr>
          </m:fPr>
          <m:num>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num>
          <m:den>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ϑ</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den>
        </m:f>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d>
          <m:dPr>
            <m:begChr m:val="["/>
            <m:endChr m:val="]"/>
            <m:ctrlPr>
              <w:rPr>
                <w:rFonts w:hint="eastAsia" w:ascii="Cambria Math" w:hAnsi="Cambria Math" w:eastAsia="仿宋" w:cs="仿宋"/>
                <w:i/>
                <w:sz w:val="24"/>
                <w:szCs w:val="24"/>
              </w:rPr>
            </m:ctrlPr>
          </m:dPr>
          <m:e>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σ−1</m:t>
                </m:r>
                <m:ctrlPr>
                  <w:rPr>
                    <w:rFonts w:hint="eastAsia" w:ascii="Cambria Math" w:hAnsi="Cambria Math" w:eastAsia="仿宋" w:cs="仿宋"/>
                    <w:i/>
                    <w:sz w:val="24"/>
                    <w:szCs w:val="24"/>
                  </w:rPr>
                </m:ctrlPr>
              </m:e>
            </m:d>
            <m:r>
              <m:rPr/>
              <w:rPr>
                <w:rFonts w:hint="eastAsia" w:ascii="Cambria Math" w:hAnsi="Cambria Math" w:eastAsia="仿宋" w:cs="仿宋"/>
                <w:sz w:val="24"/>
                <w:szCs w:val="24"/>
              </w:rPr>
              <m:t>γln</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W</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r</m:t>
                </m:r>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sSup>
          <m:sSupPr>
            <m:ctrlPr>
              <w:rPr>
                <w:rFonts w:hint="eastAsia" w:ascii="Cambria Math" w:hAnsi="Cambria Math" w:eastAsia="仿宋" w:cs="仿宋"/>
                <w:i/>
                <w:sz w:val="24"/>
                <w:szCs w:val="24"/>
              </w:rPr>
            </m:ctrlPr>
          </m:sSupPr>
          <m:e>
            <m:d>
              <m:dPr>
                <m:begChr m:val="["/>
                <m:endChr m:val="]"/>
                <m:ctrlPr>
                  <w:rPr>
                    <w:rFonts w:hint="eastAsia" w:ascii="Cambria Math" w:hAnsi="Cambria Math" w:eastAsia="仿宋" w:cs="仿宋"/>
                    <w:i/>
                    <w:sz w:val="24"/>
                    <w:szCs w:val="24"/>
                  </w:rPr>
                </m:ctrlPr>
              </m:dPr>
              <m:e>
                <m:r>
                  <m:rPr/>
                  <w:rPr>
                    <w:rFonts w:hint="eastAsia" w:ascii="Cambria Math" w:hAnsi="Cambria Math" w:eastAsia="仿宋" w:cs="仿宋"/>
                    <w:sz w:val="24"/>
                    <w:szCs w:val="24"/>
                  </w:rPr>
                  <m:t>1−</m:t>
                </m:r>
                <m:f>
                  <m:fPr>
                    <m:ctrlPr>
                      <w:rPr>
                        <w:rFonts w:hint="eastAsia" w:ascii="Cambria Math" w:hAnsi="Cambria Math" w:eastAsia="仿宋" w:cs="仿宋"/>
                        <w:i/>
                        <w:sz w:val="24"/>
                        <w:szCs w:val="24"/>
                      </w:rPr>
                    </m:ctrlPr>
                  </m:fPr>
                  <m:num>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σ−1</m:t>
                    </m:r>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p>
        </m:sSup>
        <m:r>
          <m:rPr/>
          <w:rPr>
            <w:rFonts w:hint="eastAsia" w:ascii="Cambria Math" w:hAnsi="Cambria Math" w:eastAsia="仿宋" w:cs="仿宋"/>
            <w:sz w:val="24"/>
            <w:szCs w:val="24"/>
          </w:rPr>
          <m:t xml:space="preserve">   </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b/>
          <w:sz w:val="24"/>
          <w:szCs w:val="24"/>
        </w:rPr>
        <w:t>2. 高技能劳动者（</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b/>
          <w:sz w:val="24"/>
          <w:szCs w:val="24"/>
        </w:rPr>
        <w:t>）对自动化促进创新的放大效应推导：</w:t>
      </w:r>
    </w:p>
    <w:p>
      <w:pPr>
        <w:keepNext w:val="0"/>
        <w:keepLines w:val="0"/>
        <w:pageBreakBefore w:val="0"/>
        <w:kinsoku/>
        <w:wordWrap/>
        <w:overflowPunct/>
        <w:topLinePunct w:val="0"/>
        <w:bidi w:val="0"/>
        <w:spacing w:line="360" w:lineRule="auto"/>
        <w:ind w:firstLine="480" w:firstLineChars="200"/>
        <w:jc w:val="center"/>
        <w:rPr>
          <w:rFonts w:hint="eastAsia" w:ascii="仿宋" w:hAnsi="仿宋" w:eastAsia="仿宋" w:cs="仿宋"/>
          <w:sz w:val="24"/>
          <w:szCs w:val="24"/>
          <w:lang w:eastAsia="zh-CN"/>
        </w:rPr>
      </w:pPr>
      <w:r>
        <w:rPr>
          <w:rFonts w:hint="eastAsia" w:hAnsi="Cambria Math" w:eastAsia="仿宋" w:cs="仿宋"/>
          <w:i w:val="0"/>
          <w:sz w:val="24"/>
          <w:szCs w:val="24"/>
          <w:lang w:val="en-US" w:eastAsia="zh-CN"/>
        </w:rPr>
        <w:t xml:space="preserve">                                  </w:t>
      </w:r>
      <m:oMath>
        <m:f>
          <m:fPr>
            <m:ctrlPr>
              <w:rPr>
                <w:rFonts w:hint="eastAsia" w:ascii="Cambria Math" w:hAnsi="Cambria Math" w:eastAsia="仿宋" w:cs="仿宋"/>
                <w:sz w:val="24"/>
                <w:szCs w:val="24"/>
              </w:rPr>
            </m:ctrlPr>
          </m:fPr>
          <m:num>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num>
          <m:den>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den>
        </m:f>
        <m:r>
          <m:rPr/>
          <w:rPr>
            <w:rFonts w:hint="eastAsia" w:ascii="Cambria Math" w:hAnsi="Cambria Math" w:eastAsia="仿宋" w:cs="仿宋"/>
            <w:sz w:val="24"/>
            <w:szCs w:val="24"/>
          </w:rPr>
          <m:t>=</m:t>
        </m:r>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W</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H</m:t>
                    </m:r>
                    <m:ctrlPr>
                      <w:rPr>
                        <w:rFonts w:hint="eastAsia" w:ascii="Cambria Math" w:hAnsi="Cambria Math" w:eastAsia="仿宋" w:cs="仿宋"/>
                        <w:i/>
                        <w:sz w:val="24"/>
                        <w:szCs w:val="24"/>
                      </w:rPr>
                    </m:ctrlPr>
                  </m:sub>
                </m:sSub>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 xml:space="preserve"> </m:t>
                </m:r>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β</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sup>
        </m:s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sSup>
          <m:sSupPr>
            <m:ctrlPr>
              <w:rPr>
                <w:rFonts w:hint="eastAsia" w:ascii="Cambria Math" w:hAnsi="Cambria Math" w:eastAsia="仿宋" w:cs="仿宋"/>
                <w:i/>
                <w:sz w:val="24"/>
                <w:szCs w:val="24"/>
              </w:rPr>
            </m:ctrlPr>
          </m:sSup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H</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p>
        </m:sSup>
        <m:r>
          <m:rPr/>
          <w:rPr>
            <w:rFonts w:hint="eastAsia" w:ascii="Cambria Math" w:hAnsi="Cambria Math" w:eastAsia="仿宋" w:cs="仿宋"/>
            <w:sz w:val="24"/>
            <w:szCs w:val="24"/>
          </w:rPr>
          <m:t>&gt;0</m:t>
        </m:r>
      </m:oMath>
      <w:r>
        <w:rPr>
          <w:rFonts w:hint="eastAsia" w:ascii="仿宋" w:hAnsi="仿宋" w:eastAsia="仿宋" w:cs="仿宋"/>
          <w:sz w:val="24"/>
          <w:szCs w:val="24"/>
        </w:rPr>
        <w:t xml:space="preserve"> </w:t>
      </w:r>
      <m:oMath>
        <m:r>
          <m:rPr/>
          <w:rPr>
            <w:rFonts w:hint="eastAsia" w:ascii="Cambria Math" w:hAnsi="Cambria Math" w:eastAsia="仿宋" w:cs="仿宋"/>
            <w:sz w:val="24"/>
            <w:szCs w:val="24"/>
          </w:rPr>
          <m:t xml:space="preserve">   </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b/>
          <w:sz w:val="24"/>
          <w:szCs w:val="24"/>
        </w:rPr>
        <w:t>3. 其他资本品（</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b/>
          <w:sz w:val="24"/>
          <w:szCs w:val="24"/>
        </w:rPr>
        <w:t>）对自动化促进创新的放大效应推导：</w:t>
      </w:r>
    </w:p>
    <w:p>
      <w:pPr>
        <w:keepNext w:val="0"/>
        <w:keepLines w:val="0"/>
        <w:pageBreakBefore w:val="0"/>
        <w:kinsoku/>
        <w:wordWrap/>
        <w:overflowPunct/>
        <w:topLinePunct w:val="0"/>
        <w:bidi w:val="0"/>
        <w:spacing w:line="360" w:lineRule="auto"/>
        <w:ind w:firstLine="480" w:firstLineChars="200"/>
        <w:jc w:val="center"/>
        <w:rPr>
          <w:rFonts w:hint="eastAsia" w:ascii="仿宋" w:hAnsi="仿宋" w:eastAsia="仿宋" w:cs="仿宋"/>
          <w:sz w:val="24"/>
          <w:szCs w:val="24"/>
          <w:lang w:eastAsia="zh-CN"/>
        </w:rPr>
      </w:pPr>
      <w:r>
        <w:rPr>
          <w:rFonts w:hint="eastAsia" w:hAnsi="Cambria Math" w:eastAsia="仿宋" w:cs="仿宋"/>
          <w:i w:val="0"/>
          <w:sz w:val="24"/>
          <w:szCs w:val="24"/>
          <w:lang w:val="en-US" w:eastAsia="zh-CN"/>
        </w:rPr>
        <w:t xml:space="preserve">                                     </w:t>
      </w:r>
      <m:oMath>
        <m:f>
          <m:fPr>
            <m:ctrlPr>
              <w:rPr>
                <w:rFonts w:hint="eastAsia" w:ascii="Cambria Math" w:hAnsi="Cambria Math" w:eastAsia="仿宋" w:cs="仿宋"/>
                <w:sz w:val="24"/>
                <w:szCs w:val="24"/>
              </w:rPr>
            </m:ctrlPr>
          </m:fPr>
          <m:num>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I</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num>
          <m:den>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sz w:val="24"/>
                <w:szCs w:val="24"/>
              </w:rPr>
            </m:ctrlPr>
          </m:den>
        </m:f>
        <m:r>
          <m:rPr/>
          <w:rPr>
            <w:rFonts w:hint="eastAsia" w:ascii="Cambria Math" w:hAnsi="Cambria Math" w:eastAsia="仿宋" w:cs="仿宋"/>
            <w:sz w:val="24"/>
            <w:szCs w:val="24"/>
          </w:rPr>
          <m:t>=</m:t>
        </m:r>
        <m:sSup>
          <m:sSupPr>
            <m:ctrlPr>
              <w:rPr>
                <w:rFonts w:hint="eastAsia" w:ascii="Cambria Math" w:hAnsi="Cambria Math" w:eastAsia="仿宋" w:cs="仿宋"/>
                <w:i/>
                <w:sz w:val="24"/>
                <w:szCs w:val="24"/>
              </w:rPr>
            </m:ctrlPr>
          </m:sSupPr>
          <m:e>
            <m:d>
              <m:dPr>
                <m:ctrlPr>
                  <w:rPr>
                    <w:rFonts w:hint="eastAsia" w:ascii="Cambria Math" w:hAnsi="Cambria Math" w:eastAsia="仿宋" w:cs="仿宋"/>
                    <w:i/>
                    <w:sz w:val="24"/>
                    <w:szCs w:val="24"/>
                  </w:rPr>
                </m:ctrlPr>
              </m:dPr>
              <m:e>
                <m:r>
                  <m:rPr/>
                  <w:rPr>
                    <w:rFonts w:hint="eastAsia" w:ascii="Cambria Math" w:hAnsi="Cambria Math" w:eastAsia="仿宋" w:cs="仿宋"/>
                    <w:sz w:val="24"/>
                    <w:szCs w:val="24"/>
                  </w:rPr>
                  <m:t>R</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b>
                </m:sSub>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r>
                      <m:rPr/>
                      <w:rPr>
                        <w:rFonts w:hint="eastAsia" w:ascii="Cambria Math" w:hAnsi="Cambria Math" w:eastAsia="仿宋" w:cs="仿宋"/>
                        <w:sz w:val="24"/>
                        <w:szCs w:val="24"/>
                      </w:rPr>
                      <m:t>α</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C</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e>
            </m:d>
            <m:ctrlPr>
              <w:rPr>
                <w:rFonts w:hint="eastAsia" w:ascii="Cambria Math" w:hAnsi="Cambria Math" w:eastAsia="仿宋" w:cs="仿宋"/>
                <w:i/>
                <w:sz w:val="24"/>
                <w:szCs w:val="24"/>
              </w:rPr>
            </m:ctrlPr>
          </m:e>
          <m: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ctrlPr>
              <w:rPr>
                <w:rFonts w:hint="eastAsia" w:ascii="Cambria Math" w:hAnsi="Cambria Math" w:eastAsia="仿宋" w:cs="仿宋"/>
                <w:i/>
                <w:sz w:val="24"/>
                <w:szCs w:val="24"/>
              </w:rPr>
            </m:ctrlPr>
          </m:sup>
        </m:s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sSup>
          <m:sSupPr>
            <m:ctrlPr>
              <w:rPr>
                <w:rFonts w:hint="eastAsia" w:ascii="Cambria Math" w:hAnsi="Cambria Math" w:eastAsia="仿宋" w:cs="仿宋"/>
                <w:i/>
                <w:sz w:val="24"/>
                <w:szCs w:val="24"/>
              </w:rPr>
            </m:ctrlPr>
          </m:sSupPr>
          <m:e>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K</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e>
          <m:sup>
            <m:f>
              <m:fPr>
                <m:ctrlPr>
                  <w:rPr>
                    <w:rFonts w:hint="eastAsia" w:ascii="Cambria Math" w:hAnsi="Cambria Math" w:eastAsia="仿宋" w:cs="仿宋"/>
                    <w:i/>
                    <w:sz w:val="24"/>
                    <w:szCs w:val="24"/>
                  </w:rPr>
                </m:ctrlPr>
              </m:fPr>
              <m:num>
                <m:r>
                  <m:rPr/>
                  <w:rPr>
                    <w:rFonts w:hint="eastAsia" w:ascii="Cambria Math" w:hAnsi="Cambria Math" w:eastAsia="仿宋" w:cs="仿宋"/>
                    <w:sz w:val="24"/>
                    <w:szCs w:val="24"/>
                  </w:rPr>
                  <m:t>1</m:t>
                </m:r>
                <m:ctrlPr>
                  <w:rPr>
                    <w:rFonts w:hint="eastAsia" w:ascii="Cambria Math" w:hAnsi="Cambria Math" w:eastAsia="仿宋" w:cs="仿宋"/>
                    <w:i/>
                    <w:sz w:val="24"/>
                    <w:szCs w:val="24"/>
                  </w:rPr>
                </m:ctrlPr>
              </m:num>
              <m:den>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ctrlPr>
                  <w:rPr>
                    <w:rFonts w:hint="eastAsia" w:ascii="Cambria Math" w:hAnsi="Cambria Math" w:eastAsia="仿宋" w:cs="仿宋"/>
                    <w:i/>
                    <w:sz w:val="24"/>
                    <w:szCs w:val="24"/>
                  </w:rPr>
                </m:ctrlPr>
              </m:den>
            </m:f>
            <m:r>
              <m:rPr/>
              <w:rPr>
                <w:rFonts w:hint="eastAsia" w:ascii="Cambria Math" w:hAnsi="Cambria Math" w:eastAsia="仿宋" w:cs="仿宋"/>
                <w:sz w:val="24"/>
                <w:szCs w:val="24"/>
              </w:rPr>
              <m:t>−1</m:t>
            </m:r>
            <m:ctrlPr>
              <w:rPr>
                <w:rFonts w:hint="eastAsia" w:ascii="Cambria Math" w:hAnsi="Cambria Math" w:eastAsia="仿宋" w:cs="仿宋"/>
                <w:i/>
                <w:sz w:val="24"/>
                <w:szCs w:val="24"/>
              </w:rPr>
            </m:ctrlPr>
          </m:sup>
        </m:sSup>
        <m:r>
          <m:rPr>
            <m:sty m:val="p"/>
          </m:rPr>
          <w:rPr>
            <w:rFonts w:hint="eastAsia" w:ascii="Cambria Math" w:hAnsi="Cambria Math" w:eastAsia="仿宋" w:cs="仿宋"/>
            <w:sz w:val="24"/>
            <w:szCs w:val="24"/>
          </w:rPr>
          <m:t>&gt;</m:t>
        </m:r>
        <m:r>
          <m:rPr/>
          <w:rPr>
            <w:rFonts w:hint="eastAsia" w:ascii="Cambria Math" w:hAnsi="Cambria Math" w:eastAsia="仿宋" w:cs="仿宋"/>
            <w:sz w:val="24"/>
            <w:szCs w:val="24"/>
          </w:rPr>
          <m:t xml:space="preserve">0   </m:t>
        </m:r>
      </m:oMath>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b/>
          <w:sz w:val="24"/>
          <w:szCs w:val="24"/>
        </w:rPr>
        <w:t>4. 企业初始生产率（</w:t>
      </w:r>
      <m:oMath>
        <m:acc>
          <m:accPr>
            <m:chr m:val="̅"/>
            <m:ctrlPr>
              <w:rPr>
                <w:rFonts w:hint="eastAsia" w:ascii="Cambria Math" w:hAnsi="Cambria Math" w:eastAsia="仿宋" w:cs="仿宋"/>
                <w:b/>
                <w:i/>
                <w:sz w:val="24"/>
                <w:szCs w:val="24"/>
              </w:rPr>
            </m:ctrlPr>
          </m:accPr>
          <m:e>
            <m:sSub>
              <m:sSubPr>
                <m:ctrlPr>
                  <w:rPr>
                    <w:rFonts w:hint="eastAsia" w:ascii="Cambria Math" w:hAnsi="Cambria Math" w:eastAsia="仿宋" w:cs="仿宋"/>
                    <w:b/>
                    <w:i/>
                    <w:sz w:val="24"/>
                    <w:szCs w:val="24"/>
                  </w:rPr>
                </m:ctrlPr>
              </m:sSubPr>
              <m:e>
                <m:r>
                  <m:rPr>
                    <m:sty m:val="bi"/>
                  </m:rPr>
                  <w:rPr>
                    <w:rFonts w:hint="eastAsia" w:ascii="Cambria Math" w:hAnsi="Cambria Math" w:eastAsia="仿宋" w:cs="仿宋"/>
                    <w:sz w:val="24"/>
                    <w:szCs w:val="24"/>
                  </w:rPr>
                  <m:t>φ</m:t>
                </m:r>
                <m:ctrlPr>
                  <w:rPr>
                    <w:rFonts w:hint="eastAsia" w:ascii="Cambria Math" w:hAnsi="Cambria Math" w:eastAsia="仿宋" w:cs="仿宋"/>
                    <w:b/>
                    <w:i/>
                    <w:sz w:val="24"/>
                    <w:szCs w:val="24"/>
                  </w:rPr>
                </m:ctrlPr>
              </m:e>
              <m:sub>
                <m:r>
                  <m:rPr>
                    <m:sty m:val="bi"/>
                  </m:rPr>
                  <w:rPr>
                    <w:rFonts w:hint="eastAsia" w:ascii="Cambria Math" w:hAnsi="Cambria Math" w:eastAsia="仿宋" w:cs="仿宋"/>
                    <w:sz w:val="24"/>
                    <w:szCs w:val="24"/>
                  </w:rPr>
                  <m:t>i</m:t>
                </m:r>
                <m:ctrlPr>
                  <w:rPr>
                    <w:rFonts w:hint="eastAsia" w:ascii="Cambria Math" w:hAnsi="Cambria Math" w:eastAsia="仿宋" w:cs="仿宋"/>
                    <w:b/>
                    <w:i/>
                    <w:sz w:val="24"/>
                    <w:szCs w:val="24"/>
                  </w:rPr>
                </m:ctrlPr>
              </m:sub>
            </m:sSub>
            <m:ctrlPr>
              <w:rPr>
                <w:rFonts w:hint="eastAsia" w:ascii="Cambria Math" w:hAnsi="Cambria Math" w:eastAsia="仿宋" w:cs="仿宋"/>
                <w:b/>
                <w:i/>
                <w:sz w:val="24"/>
                <w:szCs w:val="24"/>
              </w:rPr>
            </m:ctrlPr>
          </m:e>
        </m:acc>
      </m:oMath>
      <w:r>
        <w:rPr>
          <w:rFonts w:hint="eastAsia" w:ascii="仿宋" w:hAnsi="仿宋" w:eastAsia="仿宋" w:cs="仿宋"/>
          <w:b/>
          <w:sz w:val="24"/>
          <w:szCs w:val="24"/>
        </w:rPr>
        <w:t>）在自动化促进企业创新中的价值：</w:t>
      </w:r>
    </w:p>
    <w:p>
      <w:pPr>
        <w:keepNext w:val="0"/>
        <w:keepLines w:val="0"/>
        <w:pageBreakBefore w:val="0"/>
        <w:kinsoku/>
        <w:wordWrap/>
        <w:overflowPunct/>
        <w:topLinePunct w:val="0"/>
        <w:bidi w:val="0"/>
        <w:spacing w:line="360" w:lineRule="auto"/>
        <w:jc w:val="right"/>
        <w:rPr>
          <w:rFonts w:hint="eastAsia" w:ascii="仿宋" w:hAnsi="仿宋" w:eastAsia="仿宋" w:cs="仿宋"/>
          <w:sz w:val="24"/>
          <w:szCs w:val="24"/>
          <w:lang w:eastAsia="zh-CN"/>
        </w:rPr>
      </w:pPr>
      <m:oMathPara>
        <m:oMathParaPr>
          <m:jc m:val="center"/>
        </m:oMathParaPr>
        <m:oMath>
          <m:f>
            <m:fPr>
              <m:ctrlPr>
                <w:rPr>
                  <w:rFonts w:hint="eastAsia" w:ascii="Cambria Math" w:hAnsi="Cambria Math" w:eastAsia="仿宋" w:cs="仿宋"/>
                  <w:sz w:val="21"/>
                  <w:szCs w:val="21"/>
                </w:rPr>
              </m:ctrlPr>
            </m:fPr>
            <m:num>
              <m:r>
                <m:rPr/>
                <w:rPr>
                  <w:rFonts w:hint="eastAsia" w:ascii="Cambria Math" w:hAnsi="Cambria Math" w:eastAsia="仿宋" w:cs="仿宋"/>
                  <w:sz w:val="21"/>
                  <w:szCs w:val="21"/>
                </w:rPr>
                <m:t>∂</m:t>
              </m:r>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I</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sz w:val="21"/>
                      <w:szCs w:val="21"/>
                    </w:rPr>
                  </m:ctrlPr>
                </m:sub>
              </m:sSub>
              <m:ctrlPr>
                <w:rPr>
                  <w:rFonts w:hint="eastAsia" w:ascii="Cambria Math" w:hAnsi="Cambria Math" w:eastAsia="仿宋" w:cs="仿宋"/>
                  <w:sz w:val="21"/>
                  <w:szCs w:val="21"/>
                </w:rPr>
              </m:ctrlPr>
            </m:num>
            <m:den>
              <m:r>
                <m:rPr/>
                <w:rPr>
                  <w:rFonts w:hint="eastAsia" w:ascii="Cambria Math" w:hAnsi="Cambria Math" w:eastAsia="仿宋" w:cs="仿宋"/>
                  <w:sz w:val="21"/>
                  <w:szCs w:val="21"/>
                </w:rPr>
                <m:t>∂</m:t>
              </m:r>
              <m:acc>
                <m:accPr>
                  <m:chr m:val="̅"/>
                  <m:ctrlPr>
                    <w:rPr>
                      <w:rFonts w:hint="eastAsia" w:ascii="Cambria Math" w:hAnsi="Cambria Math" w:eastAsia="仿宋" w:cs="仿宋"/>
                      <w:i/>
                      <w:sz w:val="21"/>
                      <w:szCs w:val="21"/>
                    </w:rPr>
                  </m:ctrlPr>
                </m:accPr>
                <m:e>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φ</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e>
              </m:acc>
              <m:ctrlPr>
                <w:rPr>
                  <w:rFonts w:hint="eastAsia" w:ascii="Cambria Math" w:hAnsi="Cambria Math" w:eastAsia="仿宋" w:cs="仿宋"/>
                  <w:sz w:val="21"/>
                  <w:szCs w:val="21"/>
                </w:rPr>
              </m:ctrlPr>
            </m:den>
          </m:f>
          <m:r>
            <m:rPr/>
            <w:rPr>
              <w:rFonts w:hint="eastAsia" w:ascii="Cambria Math" w:hAnsi="Cambria Math" w:eastAsia="仿宋" w:cs="仿宋"/>
              <w:sz w:val="21"/>
              <w:szCs w:val="21"/>
            </w:rPr>
            <m:t>=</m:t>
          </m:r>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C</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den>
                  </m:f>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σ−2</m:t>
                      </m:r>
                      <m:ctrlPr>
                        <w:rPr>
                          <w:rFonts w:hint="eastAsia" w:ascii="Cambria Math" w:hAnsi="Cambria Math" w:eastAsia="仿宋" w:cs="仿宋"/>
                          <w:i/>
                          <w:sz w:val="21"/>
                          <w:szCs w:val="21"/>
                        </w:rPr>
                      </m:ctrlPr>
                    </m:sup>
                  </m:sSup>
                  <m:r>
                    <m:rPr/>
                    <w:rPr>
                      <w:rFonts w:hint="eastAsia" w:ascii="Cambria Math" w:hAnsi="Cambria Math" w:eastAsia="仿宋" w:cs="仿宋"/>
                      <w:sz w:val="21"/>
                      <w:szCs w:val="21"/>
                    </w:rPr>
                    <m:t>X</m:t>
                  </m:r>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1−</m:t>
                          </m:r>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σ</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σ</m:t>
                      </m:r>
                      <m:ctrlPr>
                        <w:rPr>
                          <w:rFonts w:hint="eastAsia" w:ascii="Cambria Math" w:hAnsi="Cambria Math" w:eastAsia="仿宋" w:cs="仿宋"/>
                          <w:i/>
                          <w:sz w:val="21"/>
                          <w:szCs w:val="21"/>
                        </w:rPr>
                      </m:ctrlPr>
                    </m:sup>
                  </m:sSup>
                  <m:sSup>
                    <m:sSupPr>
                      <m:ctrlPr>
                        <w:rPr>
                          <w:rFonts w:hint="eastAsia" w:ascii="Cambria Math" w:hAnsi="Cambria Math" w:eastAsia="仿宋" w:cs="仿宋"/>
                          <w:i/>
                          <w:sz w:val="21"/>
                          <w:szCs w:val="21"/>
                        </w:rPr>
                      </m:ctrlPr>
                    </m:sSupPr>
                    <m:e>
                      <m:d>
                        <m:dPr>
                          <m:begChr m:val="["/>
                          <m:endChr m:val="]"/>
                          <m:ctrlPr>
                            <w:rPr>
                              <w:rFonts w:hint="eastAsia" w:ascii="Cambria Math" w:hAnsi="Cambria Math" w:eastAsia="仿宋" w:cs="仿宋"/>
                              <w:i/>
                              <w:sz w:val="21"/>
                              <w:szCs w:val="21"/>
                            </w:rPr>
                          </m:ctrlPr>
                        </m:dPr>
                        <m:e>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W</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R</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α</m:t>
                              </m:r>
                              <m:ctrlPr>
                                <w:rPr>
                                  <w:rFonts w:hint="eastAsia" w:ascii="Cambria Math" w:hAnsi="Cambria Math" w:eastAsia="仿宋" w:cs="仿宋"/>
                                  <w:i/>
                                  <w:sz w:val="21"/>
                                  <w:szCs w:val="21"/>
                                </w:rPr>
                              </m:ctrlPr>
                            </m:sup>
                          </m:sSup>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W</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W</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H</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β</m:t>
                              </m:r>
                              <m:ctrlPr>
                                <w:rPr>
                                  <w:rFonts w:hint="eastAsia" w:ascii="Cambria Math" w:hAnsi="Cambria Math" w:eastAsia="仿宋" w:cs="仿宋"/>
                                  <w:i/>
                                  <w:sz w:val="21"/>
                                  <w:szCs w:val="21"/>
                                </w:rPr>
                              </m:ctrlPr>
                            </m:sup>
                          </m:sSup>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α</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γ</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α</m:t>
                              </m:r>
                              <m:ctrlPr>
                                <w:rPr>
                                  <w:rFonts w:hint="eastAsia" w:ascii="Cambria Math" w:hAnsi="Cambria Math" w:eastAsia="仿宋" w:cs="仿宋"/>
                                  <w:i/>
                                  <w:sz w:val="21"/>
                                  <w:szCs w:val="21"/>
                                </w:rPr>
                              </m:ctrlPr>
                            </m:sup>
                          </m:sSup>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β</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γ</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β</m:t>
                              </m:r>
                              <m:ctrlPr>
                                <w:rPr>
                                  <w:rFonts w:hint="eastAsia" w:ascii="Cambria Math" w:hAnsi="Cambria Math" w:eastAsia="仿宋" w:cs="仿宋"/>
                                  <w:i/>
                                  <w:sz w:val="21"/>
                                  <w:szCs w:val="21"/>
                                </w:rPr>
                              </m:ctrlPr>
                            </m:sup>
                          </m:sSup>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γ</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W</m:t>
                              </m:r>
                              <m:ctrlPr>
                                <w:rPr>
                                  <w:rFonts w:hint="eastAsia" w:ascii="Cambria Math" w:hAnsi="Cambria Math" w:eastAsia="仿宋" w:cs="仿宋"/>
                                  <w:i/>
                                  <w:sz w:val="21"/>
                                  <w:szCs w:val="21"/>
                                </w:rPr>
                              </m:ctrlPr>
                            </m:den>
                          </m:f>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d</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sSup>
                            <m:sSupPr>
                              <m:ctrlPr>
                                <w:rPr>
                                  <w:rFonts w:hint="eastAsia" w:ascii="Cambria Math" w:hAnsi="Cambria Math" w:eastAsia="仿宋" w:cs="仿宋"/>
                                  <w:i/>
                                  <w:sz w:val="21"/>
                                  <w:szCs w:val="21"/>
                                </w:rPr>
                              </m:ctrlPr>
                            </m:sSupPr>
                            <m:e>
                              <m:d>
                                <m:dPr>
                                  <m:ctrlPr>
                                    <w:rPr>
                                      <w:rFonts w:hint="eastAsia" w:ascii="Cambria Math" w:hAnsi="Cambria Math" w:eastAsia="仿宋" w:cs="仿宋"/>
                                      <w:i/>
                                      <w:sz w:val="21"/>
                                      <w:szCs w:val="21"/>
                                    </w:rPr>
                                  </m:ctrlPr>
                                </m:dPr>
                                <m:e>
                                  <m:f>
                                    <m:fPr>
                                      <m:ctrlPr>
                                        <w:rPr>
                                          <w:rFonts w:hint="eastAsia" w:ascii="Cambria Math" w:hAnsi="Cambria Math" w:eastAsia="仿宋" w:cs="仿宋"/>
                                          <w:i/>
                                          <w:sz w:val="21"/>
                                          <w:szCs w:val="21"/>
                                        </w:rPr>
                                      </m:ctrlPr>
                                    </m:fPr>
                                    <m:num>
                                      <m:r>
                                        <m:rPr/>
                                        <w:rPr>
                                          <w:rFonts w:hint="eastAsia" w:ascii="Cambria Math" w:hAnsi="Cambria Math" w:eastAsia="仿宋" w:cs="仿宋"/>
                                          <w:sz w:val="21"/>
                                          <w:szCs w:val="21"/>
                                        </w:rPr>
                                        <m:t>W</m:t>
                                      </m:r>
                                      <m:ctrlPr>
                                        <w:rPr>
                                          <w:rFonts w:hint="eastAsia" w:ascii="Cambria Math" w:hAnsi="Cambria Math" w:eastAsia="仿宋" w:cs="仿宋"/>
                                          <w:i/>
                                          <w:sz w:val="21"/>
                                          <w:szCs w:val="21"/>
                                        </w:rPr>
                                      </m:ctrlPr>
                                    </m:num>
                                    <m:den>
                                      <m:r>
                                        <m:rPr/>
                                        <w:rPr>
                                          <w:rFonts w:hint="eastAsia" w:ascii="Cambria Math" w:hAnsi="Cambria Math" w:eastAsia="仿宋" w:cs="仿宋"/>
                                          <w:sz w:val="21"/>
                                          <w:szCs w:val="21"/>
                                        </w:rPr>
                                        <m:t>r</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γ</m:t>
                              </m:r>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ϑ</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sup>
                          </m:sSup>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sup>
                  </m:sSup>
                  <m:ctrlPr>
                    <w:rPr>
                      <w:rFonts w:hint="eastAsia" w:ascii="Cambria Math" w:hAnsi="Cambria Math" w:eastAsia="仿宋" w:cs="仿宋"/>
                      <w:i/>
                      <w:sz w:val="21"/>
                      <w:szCs w:val="21"/>
                    </w:rPr>
                  </m:ctrlPr>
                </m:e>
              </m:d>
              <m:ctrlPr>
                <w:rPr>
                  <w:rFonts w:hint="eastAsia" w:ascii="Cambria Math" w:hAnsi="Cambria Math" w:eastAsia="仿宋" w:cs="仿宋"/>
                  <w:i/>
                  <w:sz w:val="21"/>
                  <w:szCs w:val="21"/>
                </w:rPr>
              </m:ctrlPr>
            </m:e>
            <m:sup>
              <m:f>
                <m:fPr>
                  <m:ctrlPr>
                    <w:rPr>
                      <w:rFonts w:hint="eastAsia" w:ascii="Cambria Math" w:hAnsi="Cambria Math" w:eastAsia="仿宋" w:cs="仿宋"/>
                      <w:i/>
                      <w:sz w:val="21"/>
                      <w:szCs w:val="21"/>
                    </w:rPr>
                  </m:ctrlPr>
                </m:fPr>
                <m:num>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e>
                  </m:d>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den>
              </m:f>
              <m:ctrlPr>
                <w:rPr>
                  <w:rFonts w:hint="eastAsia" w:ascii="Cambria Math" w:hAnsi="Cambria Math" w:eastAsia="仿宋" w:cs="仿宋"/>
                  <w:i/>
                  <w:sz w:val="21"/>
                  <w:szCs w:val="21"/>
                </w:rPr>
              </m:ctrlPr>
            </m:sup>
          </m:sSup>
          <m:r>
            <m:rPr/>
            <w:rPr>
              <w:rFonts w:hint="eastAsia" w:ascii="Cambria Math" w:hAnsi="Cambria Math" w:eastAsia="仿宋" w:cs="仿宋"/>
              <w:sz w:val="21"/>
              <w:szCs w:val="21"/>
            </w:rPr>
            <m:t>ϕ</m:t>
          </m:r>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e>
          </m:d>
          <m:f>
            <m:fPr>
              <m:ctrlPr>
                <w:rPr>
                  <w:rFonts w:hint="eastAsia" w:ascii="Cambria Math" w:hAnsi="Cambria Math" w:eastAsia="仿宋" w:cs="仿宋"/>
                  <w:i/>
                  <w:sz w:val="21"/>
                  <w:szCs w:val="21"/>
                </w:rPr>
              </m:ctrlPr>
            </m:fPr>
            <m:num>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e>
              </m:d>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den>
          </m:f>
          <m:sSup>
            <m:sSupPr>
              <m:ctrlPr>
                <w:rPr>
                  <w:rFonts w:hint="eastAsia" w:ascii="Cambria Math" w:hAnsi="Cambria Math" w:eastAsia="仿宋" w:cs="仿宋"/>
                  <w:i/>
                  <w:sz w:val="21"/>
                  <w:szCs w:val="21"/>
                </w:rPr>
              </m:ctrlPr>
            </m:sSupPr>
            <m:e>
              <m:acc>
                <m:accPr>
                  <m:chr m:val="̅"/>
                  <m:ctrlPr>
                    <w:rPr>
                      <w:rFonts w:hint="eastAsia" w:ascii="Cambria Math" w:hAnsi="Cambria Math" w:eastAsia="仿宋" w:cs="仿宋"/>
                      <w:i/>
                      <w:sz w:val="21"/>
                      <w:szCs w:val="21"/>
                    </w:rPr>
                  </m:ctrlPr>
                </m:accPr>
                <m:e>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φ</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sz w:val="21"/>
                          <w:szCs w:val="21"/>
                        </w:rPr>
                      </m:ctrlPr>
                    </m:sub>
                  </m:sSub>
                  <m:ctrlPr>
                    <w:rPr>
                      <w:rFonts w:hint="eastAsia" w:ascii="Cambria Math" w:hAnsi="Cambria Math" w:eastAsia="仿宋" w:cs="仿宋"/>
                      <w:i/>
                      <w:sz w:val="21"/>
                      <w:szCs w:val="21"/>
                    </w:rPr>
                  </m:ctrlPr>
                </m:e>
              </m:acc>
              <m:ctrlPr>
                <w:rPr>
                  <w:rFonts w:hint="eastAsia" w:ascii="Cambria Math" w:hAnsi="Cambria Math" w:eastAsia="仿宋" w:cs="仿宋"/>
                  <w:i/>
                  <w:sz w:val="21"/>
                  <w:szCs w:val="21"/>
                </w:rPr>
              </m:ctrlPr>
            </m:e>
            <m:sup>
              <m:r>
                <m:rPr/>
                <w:rPr>
                  <w:rFonts w:hint="eastAsia" w:ascii="Cambria Math" w:hAnsi="Cambria Math" w:eastAsia="仿宋" w:cs="仿宋"/>
                  <w:sz w:val="21"/>
                  <w:szCs w:val="21"/>
                </w:rPr>
                <m:t>ϕ</m:t>
              </m:r>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e>
              </m:d>
              <m:f>
                <m:fPr>
                  <m:ctrlPr>
                    <w:rPr>
                      <w:rFonts w:hint="eastAsia" w:ascii="Cambria Math" w:hAnsi="Cambria Math" w:eastAsia="仿宋" w:cs="仿宋"/>
                      <w:i/>
                      <w:sz w:val="21"/>
                      <w:szCs w:val="21"/>
                    </w:rPr>
                  </m:ctrlPr>
                </m:fPr>
                <m:num>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d>
                    <m:dPr>
                      <m:ctrlPr>
                        <w:rPr>
                          <w:rFonts w:hint="eastAsia" w:ascii="Cambria Math" w:hAnsi="Cambria Math" w:eastAsia="仿宋" w:cs="仿宋"/>
                          <w:i/>
                          <w:sz w:val="21"/>
                          <w:szCs w:val="21"/>
                        </w:rPr>
                      </m:ctrlPr>
                    </m:dPr>
                    <m:e>
                      <m:r>
                        <m:rPr/>
                        <w:rPr>
                          <w:rFonts w:hint="eastAsia" w:ascii="Cambria Math" w:hAnsi="Cambria Math" w:eastAsia="仿宋" w:cs="仿宋"/>
                          <w:sz w:val="21"/>
                          <w:szCs w:val="21"/>
                        </w:rPr>
                        <m:t>σ−1</m:t>
                      </m:r>
                      <m:ctrlPr>
                        <w:rPr>
                          <w:rFonts w:hint="eastAsia" w:ascii="Cambria Math" w:hAnsi="Cambria Math" w:eastAsia="仿宋" w:cs="仿宋"/>
                          <w:i/>
                          <w:sz w:val="21"/>
                          <w:szCs w:val="21"/>
                        </w:rPr>
                      </m:ctrlPr>
                    </m:e>
                  </m:d>
                  <m:r>
                    <m:rPr/>
                    <w:rPr>
                      <w:rFonts w:hint="eastAsia" w:ascii="Cambria Math" w:hAnsi="Cambria Math" w:eastAsia="仿宋" w:cs="仿宋"/>
                      <w:sz w:val="21"/>
                      <w:szCs w:val="21"/>
                    </w:rPr>
                    <m:t>−1</m:t>
                  </m:r>
                  <m:ctrlPr>
                    <w:rPr>
                      <w:rFonts w:hint="eastAsia" w:ascii="Cambria Math" w:hAnsi="Cambria Math" w:eastAsia="仿宋" w:cs="仿宋"/>
                      <w:i/>
                      <w:sz w:val="21"/>
                      <w:szCs w:val="21"/>
                    </w:rPr>
                  </m:ctrlPr>
                </m:num>
                <m:den>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δ</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den>
              </m:f>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p>
          </m:sSup>
        </m:oMath>
      </m:oMathPara>
      <w:r>
        <w:rPr>
          <w:rFonts w:hint="eastAsia" w:ascii="Cambria Math" w:hAnsi="Cambria Math" w:eastAsia="仿宋" w:cs="仿宋"/>
          <w:i/>
          <w:sz w:val="21"/>
          <w:szCs w:val="21"/>
        </w:rPr>
        <w:br w:type="textWrapping"/>
      </w:r>
      <w:r>
        <w:rPr>
          <w:rFonts w:hint="eastAsia" w:hAnsi="Cambria Math" w:eastAsia="仿宋" w:cs="仿宋"/>
          <w:i w:val="0"/>
          <w:sz w:val="21"/>
          <w:szCs w:val="21"/>
          <w:lang w:val="en-US" w:eastAsia="zh-CN"/>
        </w:rPr>
        <w:t xml:space="preserve">                           </w:t>
      </w:r>
      <w:r>
        <w:rPr>
          <w:rFonts w:hint="eastAsia" w:ascii="仿宋" w:hAnsi="仿宋" w:eastAsia="仿宋" w:cs="仿宋"/>
          <w:sz w:val="24"/>
          <w:szCs w:val="24"/>
          <w:lang w:val="en-US" w:eastAsia="zh-CN"/>
        </w:rPr>
        <w:t>（B</w:t>
      </w:r>
      <w:r>
        <w:rPr>
          <w:rFonts w:hint="eastAsia" w:ascii="仿宋" w:hAnsi="仿宋" w:eastAsia="仿宋" w:cs="仿宋"/>
          <w:sz w:val="24"/>
          <w:szCs w:val="24"/>
        </w:rPr>
        <w:t>9</w:t>
      </w:r>
      <w:r>
        <w:rPr>
          <w:rFonts w:hint="eastAsia" w:ascii="仿宋" w:hAnsi="仿宋" w:eastAsia="仿宋" w:cs="仿宋"/>
          <w:sz w:val="24"/>
          <w:szCs w:val="24"/>
          <w:lang w:eastAsia="zh-CN"/>
        </w:rPr>
        <w:t>）</w:t>
      </w:r>
    </w:p>
    <w:p>
      <w:pPr>
        <w:keepNext w:val="0"/>
        <w:keepLines w:val="0"/>
        <w:pageBreakBefore w:val="0"/>
        <w:kinsoku/>
        <w:wordWrap/>
        <w:overflowPunct/>
        <w:topLinePunct w:val="0"/>
        <w:bidi w:val="0"/>
        <w:spacing w:line="360" w:lineRule="auto"/>
        <w:jc w:val="center"/>
        <w:rPr>
          <w:rFonts w:hint="default" w:ascii="仿宋" w:hAnsi="仿宋" w:eastAsia="仿宋" w:cs="仿宋"/>
          <w:sz w:val="24"/>
          <w:szCs w:val="24"/>
          <w:lang w:val="en-US" w:eastAsia="zh-CN"/>
        </w:rPr>
      </w:pP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kern w:val="0"/>
          <w:sz w:val="24"/>
          <w:szCs w:val="24"/>
        </w:rPr>
      </w:pP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p>
    <w:p>
      <w:pPr>
        <w:keepNext w:val="0"/>
        <w:keepLines w:val="0"/>
        <w:pageBreakBefore w:val="0"/>
        <w:kinsoku/>
        <w:wordWrap/>
        <w:overflowPunct/>
        <w:topLinePunct w:val="0"/>
        <w:bidi w:val="0"/>
        <w:spacing w:line="360" w:lineRule="auto"/>
        <w:rPr>
          <w:rFonts w:hint="eastAsia" w:ascii="仿宋" w:hAnsi="仿宋" w:eastAsia="仿宋" w:cs="仿宋"/>
          <w:b/>
          <w:sz w:val="24"/>
          <w:szCs w:val="24"/>
        </w:rPr>
      </w:pPr>
    </w:p>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8"/>
          <w:szCs w:val="28"/>
        </w:rPr>
      </w:pPr>
      <w:r>
        <w:rPr>
          <w:rFonts w:hint="eastAsia" w:ascii="仿宋" w:hAnsi="仿宋" w:eastAsia="仿宋" w:cs="仿宋"/>
          <w:sz w:val="28"/>
          <w:szCs w:val="28"/>
        </w:rPr>
        <w:t>附录C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实证分析</w:t>
      </w:r>
    </w:p>
    <w:p>
      <w:pPr>
        <w:rPr>
          <w:rFonts w:hint="eastAsia"/>
        </w:rPr>
      </w:pPr>
    </w:p>
    <w:tbl>
      <w:tblPr>
        <w:tblStyle w:val="1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75" w:type="dxa"/>
          <w:bottom w:w="0" w:type="dxa"/>
          <w:right w:w="75" w:type="dxa"/>
        </w:tblCellMar>
      </w:tblPr>
      <w:tblGrid>
        <w:gridCol w:w="1851"/>
        <w:gridCol w:w="2903"/>
        <w:gridCol w:w="885"/>
        <w:gridCol w:w="801"/>
        <w:gridCol w:w="801"/>
        <w:gridCol w:w="801"/>
        <w:gridCol w:w="996"/>
        <w:gridCol w:w="1014"/>
        <w:gridCol w:w="1014"/>
        <w:gridCol w:w="1014"/>
        <w:gridCol w:w="1014"/>
        <w:gridCol w:w="10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tblHeader/>
          <w:jc w:val="center"/>
        </w:trPr>
        <w:tc>
          <w:tcPr>
            <w:tcW w:w="5000" w:type="pct"/>
            <w:gridSpan w:val="12"/>
            <w:tcBorders>
              <w:top w:val="nil"/>
            </w:tcBorders>
          </w:tcPr>
          <w:p>
            <w:pPr>
              <w:pStyle w:val="2"/>
              <w:keepNext w:val="0"/>
              <w:keepLines w:val="0"/>
              <w:pageBreakBefore w:val="0"/>
              <w:kinsoku/>
              <w:wordWrap/>
              <w:overflowPunct/>
              <w:topLinePunct w:val="0"/>
              <w:bidi w:val="0"/>
              <w:spacing w:before="312" w:after="156" w:line="360" w:lineRule="auto"/>
              <w:jc w:val="center"/>
              <w:rPr>
                <w:rFonts w:hint="eastAsia" w:ascii="仿宋" w:hAnsi="仿宋" w:eastAsia="仿宋" w:cs="仿宋"/>
                <w:sz w:val="24"/>
                <w:szCs w:val="24"/>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1  描述性统计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tblHeader/>
          <w:jc w:val="center"/>
        </w:trPr>
        <w:tc>
          <w:tcPr>
            <w:tcW w:w="5000" w:type="pct"/>
            <w:gridSpan w:val="12"/>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b/>
                <w:sz w:val="21"/>
                <w:szCs w:val="21"/>
              </w:rPr>
              <w:t>面板1：变量的描述性统计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tblHeader/>
          <w:jc w:val="center"/>
        </w:trPr>
        <w:tc>
          <w:tcPr>
            <w:tcW w:w="657"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b/>
                <w:sz w:val="21"/>
                <w:szCs w:val="21"/>
              </w:rPr>
            </w:pPr>
          </w:p>
        </w:tc>
        <w:tc>
          <w:tcPr>
            <w:tcW w:w="103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解释</w:t>
            </w:r>
          </w:p>
        </w:tc>
        <w:tc>
          <w:tcPr>
            <w:tcW w:w="30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均值</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标准差</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最小值</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最大值</w:t>
            </w:r>
          </w:p>
        </w:tc>
        <w:tc>
          <w:tcPr>
            <w:tcW w:w="35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观测数</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10分位数</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25分位数</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50分位数</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75分位数</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90分位数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b/>
                <w:sz w:val="21"/>
                <w:szCs w:val="21"/>
                <w:u w:val="single"/>
              </w:rPr>
            </w:pPr>
            <w:r>
              <w:rPr>
                <w:rFonts w:hint="eastAsia" w:ascii="仿宋" w:hAnsi="仿宋" w:eastAsia="仿宋" w:cs="仿宋"/>
                <w:b/>
                <w:sz w:val="21"/>
                <w:szCs w:val="21"/>
                <w:u w:val="single"/>
              </w:rPr>
              <w:t>创新变量</w:t>
            </w:r>
          </w:p>
        </w:tc>
        <w:tc>
          <w:tcPr>
            <w:tcW w:w="103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04"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153" w:type="pct"/>
            <w:gridSpan w:val="6"/>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专利数量</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申请专利申请数量对数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0.0924</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0.446</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8.650</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发明专利</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发明专利申请数量对数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0.0140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0.147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8.453</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实用新型专利</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实用新型专利申请数量对数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0.0657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0.357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7.192</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外观专利</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外观专利申请数量对数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0.0290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0.261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7.465</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R&amp;D</w:t>
            </w:r>
          </w:p>
        </w:tc>
        <w:tc>
          <w:tcPr>
            <w:tcW w:w="103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R&amp;D研发支出额对数</w:t>
            </w:r>
          </w:p>
        </w:tc>
        <w:tc>
          <w:tcPr>
            <w:tcW w:w="30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0.604</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1.883</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15.78</w:t>
            </w:r>
          </w:p>
        </w:tc>
        <w:tc>
          <w:tcPr>
            <w:tcW w:w="35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8.01E+05</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2.398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sz w:val="21"/>
                <w:szCs w:val="21"/>
              </w:rPr>
            </w:pPr>
            <w:r>
              <w:rPr>
                <w:rFonts w:hint="eastAsia" w:ascii="仿宋" w:hAnsi="仿宋" w:eastAsia="仿宋" w:cs="仿宋"/>
                <w:b/>
                <w:sz w:val="21"/>
                <w:szCs w:val="21"/>
                <w:u w:val="single"/>
              </w:rPr>
              <w:t>机器人变量</w:t>
            </w:r>
          </w:p>
        </w:tc>
        <w:tc>
          <w:tcPr>
            <w:tcW w:w="103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sz w:val="21"/>
                <w:szCs w:val="21"/>
              </w:rPr>
            </w:pPr>
          </w:p>
        </w:tc>
        <w:tc>
          <w:tcPr>
            <w:tcW w:w="304"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153" w:type="pct"/>
            <w:gridSpan w:val="6"/>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机器人存量</w:t>
            </w:r>
          </w:p>
        </w:tc>
        <w:tc>
          <w:tcPr>
            <w:tcW w:w="103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累计进口机器人金额对数</w:t>
            </w:r>
          </w:p>
        </w:tc>
        <w:tc>
          <w:tcPr>
            <w:tcW w:w="30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0.0449</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0.727</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18.81</w:t>
            </w:r>
          </w:p>
        </w:tc>
        <w:tc>
          <w:tcPr>
            <w:tcW w:w="35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机器人存量哑变量</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累计进口机器人取1，否则取0</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0.00391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0.0624</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sz w:val="21"/>
                <w:szCs w:val="21"/>
              </w:rPr>
            </w:pPr>
            <w:r>
              <w:rPr>
                <w:rFonts w:hint="eastAsia" w:ascii="仿宋" w:hAnsi="仿宋" w:eastAsia="仿宋" w:cs="仿宋"/>
                <w:b/>
                <w:sz w:val="21"/>
                <w:szCs w:val="21"/>
                <w:u w:val="single"/>
              </w:rPr>
              <w:t>工具变量</w:t>
            </w:r>
          </w:p>
        </w:tc>
        <w:tc>
          <w:tcPr>
            <w:tcW w:w="103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04"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54"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60"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60"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60"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60"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360" w:type="pct"/>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关税IV</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关税工具变量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0.0958</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1.140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21.86</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2.20E+06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美国机器人IV</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美国机器人工具变量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1.047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4.488</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32.35</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2.20E+06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金砖机器人IV</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金砖国家机器人工具变量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0.892</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3.791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29.86</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2.20E+06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亚洲机器人IV</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亚洲四地机器人工具变量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1.147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4.675</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33.56</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2.20E+06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Borders>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sz w:val="21"/>
                <w:szCs w:val="21"/>
              </w:rPr>
            </w:pPr>
            <w:r>
              <w:rPr>
                <w:rFonts w:hint="eastAsia" w:ascii="仿宋" w:hAnsi="仿宋" w:eastAsia="仿宋" w:cs="仿宋"/>
                <w:b/>
                <w:sz w:val="21"/>
                <w:szCs w:val="21"/>
                <w:u w:val="single"/>
              </w:rPr>
              <w:t>其他变量</w:t>
            </w:r>
          </w:p>
        </w:tc>
        <w:tc>
          <w:tcPr>
            <w:tcW w:w="103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center"/>
              <w:rPr>
                <w:rFonts w:hint="eastAsia" w:ascii="仿宋" w:hAnsi="仿宋" w:eastAsia="仿宋" w:cs="仿宋"/>
                <w:sz w:val="21"/>
                <w:szCs w:val="21"/>
              </w:rPr>
            </w:pPr>
          </w:p>
        </w:tc>
        <w:tc>
          <w:tcPr>
            <w:tcW w:w="304"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c>
          <w:tcPr>
            <w:tcW w:w="2438" w:type="pct"/>
            <w:gridSpan w:val="7"/>
            <w:tcBorders>
              <w:lef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总资产</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总资产对数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10.03</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1.457</w:t>
            </w:r>
          </w:p>
        </w:tc>
        <w:tc>
          <w:tcPr>
            <w:tcW w:w="285" w:type="pct"/>
          </w:tcPr>
          <w:p>
            <w:pPr>
              <w:keepNext w:val="0"/>
              <w:keepLines w:val="0"/>
              <w:pageBreakBefore w:val="0"/>
              <w:tabs>
                <w:tab w:val="left" w:pos="559"/>
              </w:tabs>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4.710</w:t>
            </w:r>
            <w:r>
              <w:rPr>
                <w:rFonts w:hint="eastAsia" w:ascii="仿宋" w:hAnsi="仿宋" w:eastAsia="仿宋" w:cs="仿宋"/>
                <w:sz w:val="21"/>
                <w:szCs w:val="21"/>
                <w:lang w:eastAsia="zh-CN"/>
              </w:rPr>
              <w:tab/>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19.43</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8.319</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8.993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9.878</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10.89</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财务杠杆</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企业债务比总资产</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0.546</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0.279</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1.641</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0.151</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0.337</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0.559</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0.756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0.889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资本利润率</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息税前利润比所有者权益</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0.273</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0.598</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-2.710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6.608</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-0.027</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0.024</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0.123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0.333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成本率</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总成本比销售额</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0.850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0.117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1.166</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0.706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0.875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0.926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0.963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劳动力资本比</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劳动力数量比总资产</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0.0101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0.0121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0.105</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0.001</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0.012</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其他资本品</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进口其他资本品金额对数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0.818</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3.054</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22.92</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贸易参与度</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企业进出口额比销售额</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14.92</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42.14</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330.7</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55.76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TFP（LP）</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全要素生产率对数形式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6.158</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1.195</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-4.402</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14.24</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2.14E+06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4.825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5.437</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6.132</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6.898</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7.649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高学历劳动力规模</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本科及以上职工数的对数形式</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1.031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1.250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9.910</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2.35E+05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0.693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1.792</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2.833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产出品关税</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行业产出品平均进口关税</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10.75</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6.361</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63</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2.89E+06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6.88</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9.202</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14.41</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18.75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投入品关税</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行业投入品平均进口关税</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8.324</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3.207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2.323</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35.82</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2.89E+06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5.713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6.55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7.284</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9.126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13.48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HHI</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赫芬达尔—赫希曼指数</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0.0150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0.0277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0.0005</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0.001</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0.007</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0.016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0.034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57"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行业贸易参与度</w:t>
            </w:r>
          </w:p>
        </w:tc>
        <w:tc>
          <w:tcPr>
            <w:tcW w:w="103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行业进出口额比总销售额</w:t>
            </w:r>
          </w:p>
        </w:tc>
        <w:tc>
          <w:tcPr>
            <w:tcW w:w="30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20.77</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20.56</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0</w:t>
            </w:r>
          </w:p>
        </w:tc>
        <w:tc>
          <w:tcPr>
            <w:tcW w:w="285"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224.0</w:t>
            </w:r>
          </w:p>
        </w:tc>
        <w:tc>
          <w:tcPr>
            <w:tcW w:w="354"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2.99E+06</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2.465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7.332</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14.75</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28.03</w:t>
            </w:r>
          </w:p>
        </w:tc>
        <w:tc>
          <w:tcPr>
            <w:tcW w:w="360" w:type="pct"/>
          </w:tcPr>
          <w:p>
            <w:pPr>
              <w:keepNext w:val="0"/>
              <w:keepLines w:val="0"/>
              <w:pageBreakBefore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45.37</w:t>
            </w:r>
          </w:p>
        </w:tc>
      </w:tr>
    </w:tbl>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rPr>
      </w:pPr>
    </w:p>
    <w:p>
      <w:pPr>
        <w:keepNext w:val="0"/>
        <w:keepLines w:val="0"/>
        <w:pageBreakBefore w:val="0"/>
        <w:kinsoku/>
        <w:wordWrap/>
        <w:overflowPunct/>
        <w:topLinePunct w:val="0"/>
        <w:bidi w:val="0"/>
        <w:spacing w:line="360" w:lineRule="auto"/>
        <w:ind w:firstLine="442" w:firstLineChars="200"/>
        <w:jc w:val="center"/>
        <w:rPr>
          <w:rFonts w:hint="default" w:ascii="仿宋" w:hAnsi="仿宋" w:eastAsia="仿宋" w:cs="仿宋"/>
          <w:sz w:val="24"/>
          <w:szCs w:val="24"/>
          <w:lang w:val="en-US" w:eastAsia="zh-CN"/>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1  描述性统计</w:t>
      </w:r>
      <w:r>
        <w:rPr>
          <w:rFonts w:hint="eastAsia" w:ascii="仿宋" w:hAnsi="仿宋" w:eastAsia="仿宋" w:cs="仿宋"/>
          <w:b/>
          <w:bCs/>
          <w:sz w:val="22"/>
          <w:szCs w:val="22"/>
          <w:lang w:val="en-US" w:eastAsia="zh-CN"/>
        </w:rPr>
        <w:t>(续）</w:t>
      </w:r>
    </w:p>
    <w:tbl>
      <w:tblPr>
        <w:tblStyle w:val="12"/>
        <w:tblW w:w="5002" w:type="pct"/>
        <w:tblInd w:w="0" w:type="dxa"/>
        <w:tblLayout w:type="autofit"/>
        <w:tblCellMar>
          <w:top w:w="0" w:type="dxa"/>
          <w:left w:w="108" w:type="dxa"/>
          <w:bottom w:w="0" w:type="dxa"/>
          <w:right w:w="108" w:type="dxa"/>
        </w:tblCellMar>
      </w:tblPr>
      <w:tblGrid>
        <w:gridCol w:w="3035"/>
        <w:gridCol w:w="1029"/>
        <w:gridCol w:w="1029"/>
        <w:gridCol w:w="1029"/>
        <w:gridCol w:w="1029"/>
        <w:gridCol w:w="1029"/>
        <w:gridCol w:w="1029"/>
        <w:gridCol w:w="1029"/>
        <w:gridCol w:w="1029"/>
        <w:gridCol w:w="1030"/>
        <w:gridCol w:w="940"/>
        <w:gridCol w:w="943"/>
      </w:tblGrid>
      <w:tr>
        <w:tblPrEx>
          <w:tblCellMar>
            <w:top w:w="0" w:type="dxa"/>
            <w:left w:w="108" w:type="dxa"/>
            <w:bottom w:w="0" w:type="dxa"/>
            <w:right w:w="108" w:type="dxa"/>
          </w:tblCellMar>
        </w:tblPrEx>
        <w:tc>
          <w:tcPr>
            <w:tcW w:w="5000" w:type="pct"/>
            <w:gridSpan w:val="12"/>
            <w:tcBorders>
              <w:top w:val="single" w:color="auto" w:sz="4" w:space="0"/>
              <w:left w:val="nil"/>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b/>
                <w:kern w:val="0"/>
                <w:sz w:val="21"/>
                <w:szCs w:val="21"/>
              </w:rPr>
              <w:t>面板2：主要变量的相关系数</w:t>
            </w:r>
          </w:p>
        </w:tc>
      </w:tr>
      <w:tr>
        <w:tblPrEx>
          <w:tblCellMar>
            <w:top w:w="0" w:type="dxa"/>
            <w:left w:w="108" w:type="dxa"/>
            <w:bottom w:w="0" w:type="dxa"/>
            <w:right w:w="108" w:type="dxa"/>
          </w:tblCellMar>
        </w:tblPrEx>
        <w:tc>
          <w:tcPr>
            <w:tcW w:w="1070" w:type="pct"/>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b/>
                <w:kern w:val="0"/>
                <w:sz w:val="21"/>
                <w:szCs w:val="21"/>
              </w:rPr>
            </w:pPr>
          </w:p>
        </w:tc>
        <w:tc>
          <w:tcPr>
            <w:tcW w:w="363" w:type="pct"/>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(1)</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(2)</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(3)</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(4)</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(5)</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(6)</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(7)</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(8)</w:t>
            </w:r>
          </w:p>
        </w:tc>
        <w:tc>
          <w:tcPr>
            <w:tcW w:w="363"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(9)</w:t>
            </w:r>
          </w:p>
        </w:tc>
        <w:tc>
          <w:tcPr>
            <w:tcW w:w="331"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(10)</w:t>
            </w:r>
          </w:p>
        </w:tc>
        <w:tc>
          <w:tcPr>
            <w:tcW w:w="3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sz w:val="21"/>
                <w:szCs w:val="21"/>
              </w:rPr>
              <w:t>(11)</w:t>
            </w:r>
          </w:p>
        </w:tc>
      </w:tr>
      <w:tr>
        <w:tblPrEx>
          <w:tblCellMar>
            <w:top w:w="0" w:type="dxa"/>
            <w:left w:w="108" w:type="dxa"/>
            <w:bottom w:w="0" w:type="dxa"/>
            <w:right w:w="108" w:type="dxa"/>
          </w:tblCellMar>
        </w:tblPrEx>
        <w:trPr>
          <w:gridAfter w:val="10"/>
          <w:wAfter w:w="3567"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(1) 专利数量（ln）</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9"/>
          <w:wAfter w:w="3204"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(2) 机器人存量（ln）</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8"/>
          <w:wAfter w:w="2841"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(3) </w:t>
            </w:r>
            <w:r>
              <w:rPr>
                <w:rFonts w:hint="eastAsia" w:ascii="仿宋" w:hAnsi="仿宋" w:eastAsia="仿宋" w:cs="仿宋"/>
                <w:sz w:val="21"/>
                <w:szCs w:val="21"/>
              </w:rPr>
              <w:t>总资产（ln）</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0.236</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0.110</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7"/>
          <w:wAfter w:w="2478"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(4)</w:t>
            </w:r>
            <w:r>
              <w:rPr>
                <w:rFonts w:hint="eastAsia" w:ascii="仿宋" w:hAnsi="仿宋" w:eastAsia="仿宋" w:cs="仿宋"/>
                <w:sz w:val="21"/>
                <w:szCs w:val="21"/>
              </w:rPr>
              <w:t xml:space="preserve"> 劳动力资本比</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-0.088</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-0.033</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-0.498</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6"/>
          <w:wAfter w:w="2115"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(5) </w:t>
            </w:r>
            <w:r>
              <w:rPr>
                <w:rFonts w:hint="eastAsia" w:ascii="仿宋" w:hAnsi="仿宋" w:eastAsia="仿宋" w:cs="仿宋"/>
                <w:sz w:val="21"/>
                <w:szCs w:val="21"/>
              </w:rPr>
              <w:t>财务杠杆</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0.029</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-0.027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5"/>
          <w:wAfter w:w="1752"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(6)</w:t>
            </w:r>
            <w:r>
              <w:rPr>
                <w:rFonts w:hint="eastAsia" w:ascii="仿宋" w:hAnsi="仿宋" w:eastAsia="仿宋" w:cs="仿宋"/>
                <w:sz w:val="21"/>
                <w:szCs w:val="21"/>
              </w:rPr>
              <w:t xml:space="preserve"> 资本利润率</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-0.014</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-0.087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0.122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4"/>
          <w:wAfter w:w="1389"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(7) </w:t>
            </w:r>
            <w:r>
              <w:rPr>
                <w:rFonts w:hint="eastAsia" w:ascii="仿宋" w:hAnsi="仿宋" w:eastAsia="仿宋" w:cs="仿宋"/>
                <w:sz w:val="21"/>
                <w:szCs w:val="21"/>
              </w:rPr>
              <w:t>其他资本品（ln）</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0.115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0.207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0.293</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-0.107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-0.032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-0.055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3"/>
          <w:wAfter w:w="1026"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(8) 产出品关税</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-0.018</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-0.106</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0.143</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-0.014</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0.005</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-0.049</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2"/>
          <w:wAfter w:w="663"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(9) 投入品关税</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-0.047</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-0.018</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-0.091</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0.134</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-0.016</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-0.030</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0.649</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rPr>
          <w:gridAfter w:val="1"/>
          <w:wAfter w:w="332" w:type="pct"/>
        </w:trPr>
        <w:tc>
          <w:tcPr>
            <w:tcW w:w="1070" w:type="pct"/>
            <w:tcBorders>
              <w:top w:val="nil"/>
              <w:left w:val="nil"/>
              <w:bottom w:val="nil"/>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(10) HHI指数</w:t>
            </w:r>
          </w:p>
        </w:tc>
        <w:tc>
          <w:tcPr>
            <w:tcW w:w="363" w:type="pct"/>
            <w:tcBorders>
              <w:top w:val="nil"/>
              <w:left w:val="single" w:color="auto" w:sz="4" w:space="0"/>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0.041</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0.010</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0.046</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-0.052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0.016</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-0.021</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0.062</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-0.011</w:t>
            </w:r>
          </w:p>
        </w:tc>
        <w:tc>
          <w:tcPr>
            <w:tcW w:w="363"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0.039</w:t>
            </w:r>
          </w:p>
        </w:tc>
        <w:tc>
          <w:tcPr>
            <w:tcW w:w="33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r>
        <w:tblPrEx>
          <w:tblCellMar>
            <w:top w:w="0" w:type="dxa"/>
            <w:left w:w="108" w:type="dxa"/>
            <w:bottom w:w="0" w:type="dxa"/>
            <w:right w:w="108" w:type="dxa"/>
          </w:tblCellMar>
        </w:tblPrEx>
        <w:tc>
          <w:tcPr>
            <w:tcW w:w="1070" w:type="pct"/>
            <w:tcBorders>
              <w:top w:val="nil"/>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(11) 行业贸易参与度</w:t>
            </w:r>
          </w:p>
        </w:tc>
        <w:tc>
          <w:tcPr>
            <w:tcW w:w="363" w:type="pct"/>
            <w:tcBorders>
              <w:top w:val="nil"/>
              <w:left w:val="single" w:color="auto" w:sz="4" w:space="0"/>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0.054</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0.078</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-0.017</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0.099</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0.028</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-0.049</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0.222</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-0.050</w:t>
            </w:r>
          </w:p>
        </w:tc>
        <w:tc>
          <w:tcPr>
            <w:tcW w:w="36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-0.001</w:t>
            </w:r>
          </w:p>
        </w:tc>
        <w:tc>
          <w:tcPr>
            <w:tcW w:w="331"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0.090</w:t>
            </w:r>
          </w:p>
        </w:tc>
        <w:tc>
          <w:tcPr>
            <w:tcW w:w="3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1.000</w:t>
            </w:r>
          </w:p>
        </w:tc>
      </w:tr>
    </w:tbl>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仿宋" w:hAnsi="仿宋" w:eastAsia="仿宋" w:cs="仿宋"/>
          <w:kern w:val="0"/>
          <w:sz w:val="18"/>
          <w:szCs w:val="18"/>
        </w:rPr>
      </w:pPr>
      <w:r>
        <w:rPr>
          <w:rFonts w:hint="eastAsia" w:ascii="仿宋" w:hAnsi="仿宋" w:eastAsia="仿宋" w:cs="仿宋"/>
          <w:kern w:val="0"/>
          <w:sz w:val="18"/>
          <w:szCs w:val="18"/>
        </w:rPr>
        <w:t>注：面板1和面板2中，1. 使用</w:t>
      </w:r>
      <w:r>
        <w:rPr>
          <w:rFonts w:hint="eastAsia" w:ascii="仿宋" w:hAnsi="仿宋" w:eastAsia="仿宋" w:cs="仿宋"/>
          <w:sz w:val="18"/>
          <w:szCs w:val="18"/>
        </w:rPr>
        <w:t xml:space="preserve">ln（1+ </w:t>
      </w:r>
      <w:r>
        <w:rPr>
          <w:rFonts w:hint="eastAsia" w:ascii="仿宋" w:hAnsi="仿宋" w:eastAsia="仿宋" w:cs="仿宋"/>
          <w:i/>
          <w:iCs/>
          <w:sz w:val="18"/>
          <w:szCs w:val="18"/>
        </w:rPr>
        <w:t>x</w:t>
      </w:r>
      <w:r>
        <w:rPr>
          <w:rFonts w:hint="eastAsia" w:ascii="仿宋" w:hAnsi="仿宋" w:eastAsia="仿宋" w:cs="仿宋"/>
          <w:sz w:val="18"/>
          <w:szCs w:val="18"/>
        </w:rPr>
        <w:t>）</w:t>
      </w:r>
      <w:r>
        <w:rPr>
          <w:rFonts w:hint="eastAsia" w:ascii="仿宋" w:hAnsi="仿宋" w:eastAsia="仿宋" w:cs="仿宋"/>
          <w:kern w:val="0"/>
          <w:sz w:val="18"/>
          <w:szCs w:val="18"/>
        </w:rPr>
        <w:t>衡量变量的对数形式。2. 部分变量存在极端异常值，全文对成本率、杠杆率、贸易参与度、劳动力资本比、资本利润率进行0.5%截尾处理，而其他变量如关税、各类规模（取对数）及行业统计量基本不存在极端值现象，故不做截尾处理。3.</w:t>
      </w:r>
      <w:r>
        <w:rPr>
          <w:rFonts w:hint="eastAsia" w:ascii="仿宋" w:hAnsi="仿宋" w:eastAsia="仿宋" w:cs="仿宋"/>
          <w:snapToGrid w:val="0"/>
          <w:kern w:val="0"/>
          <w:sz w:val="18"/>
          <w:szCs w:val="18"/>
        </w:rPr>
        <w:t xml:space="preserve"> </w:t>
      </w:r>
      <w:r>
        <w:rPr>
          <w:rFonts w:hint="eastAsia" w:ascii="仿宋" w:hAnsi="仿宋" w:eastAsia="仿宋" w:cs="仿宋"/>
          <w:kern w:val="0"/>
          <w:sz w:val="18"/>
          <w:szCs w:val="18"/>
        </w:rPr>
        <w:t>金砖国家包括：巴西、南非、印度、俄罗斯，亚洲地区包括韩国、新加披、中国台湾、中国香港。面板2汇报了本文基准回归中各主要变量之间的相关系数。其中，机器人存量与一些企业经营变量存在一定的相关关系，例如，机器人存量与企业总资产的相关系数为0.11，与其他资本品进口额的相关系数为0.207，因此本文利用滞后企业变量作为控制变量的设定具有合理性。另外，控制变量之间并不存在明显的强相关关系，因此实证回归中不存在严重的多重共线性。</w:t>
      </w:r>
    </w:p>
    <w:p>
      <w:pPr>
        <w:pStyle w:val="3"/>
        <w:keepNext w:val="0"/>
        <w:keepLines w:val="0"/>
        <w:pageBreakBefore w:val="0"/>
        <w:kinsoku/>
        <w:wordWrap/>
        <w:overflowPunct/>
        <w:topLinePunct w:val="0"/>
        <w:bidi w:val="0"/>
        <w:spacing w:line="360" w:lineRule="auto"/>
        <w:rPr>
          <w:rFonts w:hint="eastAsia" w:ascii="仿宋" w:hAnsi="仿宋" w:eastAsia="仿宋" w:cs="仿宋"/>
          <w:sz w:val="18"/>
          <w:szCs w:val="18"/>
        </w:rPr>
        <w:sectPr>
          <w:headerReference r:id="rId3" w:type="default"/>
          <w:footerReference r:id="rId4" w:type="default"/>
          <w:pgSz w:w="16838" w:h="11906" w:orient="landscape"/>
          <w:pgMar w:top="1440" w:right="1440" w:bottom="1440" w:left="1440" w:header="851" w:footer="992" w:gutter="0"/>
          <w:cols w:space="425" w:num="1"/>
          <w:docGrid w:type="lines" w:linePitch="312" w:charSpace="0"/>
        </w:sectPr>
      </w:pPr>
    </w:p>
    <w:tbl>
      <w:tblPr>
        <w:tblStyle w:val="12"/>
        <w:tblW w:w="5000" w:type="pct"/>
        <w:tblInd w:w="0" w:type="dxa"/>
        <w:tblLayout w:type="autofit"/>
        <w:tblCellMar>
          <w:top w:w="0" w:type="dxa"/>
          <w:left w:w="108" w:type="dxa"/>
          <w:bottom w:w="0" w:type="dxa"/>
          <w:right w:w="108" w:type="dxa"/>
        </w:tblCellMar>
      </w:tblPr>
      <w:tblGrid>
        <w:gridCol w:w="2366"/>
        <w:gridCol w:w="1410"/>
        <w:gridCol w:w="1410"/>
        <w:gridCol w:w="1349"/>
        <w:gridCol w:w="1349"/>
        <w:gridCol w:w="1358"/>
      </w:tblGrid>
      <w:tr>
        <w:tblPrEx>
          <w:tblCellMar>
            <w:top w:w="0" w:type="dxa"/>
            <w:left w:w="108" w:type="dxa"/>
            <w:bottom w:w="0" w:type="dxa"/>
            <w:right w:w="108" w:type="dxa"/>
          </w:tblCellMar>
        </w:tblPrEx>
        <w:trPr>
          <w:trHeight w:val="260" w:hRule="atLeast"/>
          <w:tblHeader/>
        </w:trPr>
        <w:tc>
          <w:tcPr>
            <w:tcW w:w="5000" w:type="pct"/>
            <w:gridSpan w:val="6"/>
            <w:tcBorders>
              <w:left w:val="nil"/>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2  计数模型、专利的其他对数形式变换的检验结果</w:t>
            </w:r>
          </w:p>
        </w:tc>
      </w:tr>
      <w:tr>
        <w:tblPrEx>
          <w:tblCellMar>
            <w:top w:w="0" w:type="dxa"/>
            <w:left w:w="108" w:type="dxa"/>
            <w:bottom w:w="0" w:type="dxa"/>
            <w:right w:w="108" w:type="dxa"/>
          </w:tblCellMar>
        </w:tblPrEx>
        <w:trPr>
          <w:trHeight w:val="260" w:hRule="atLeast"/>
          <w:tblHeader/>
        </w:trPr>
        <w:tc>
          <w:tcPr>
            <w:tcW w:w="1280" w:type="pct"/>
            <w:tcBorders>
              <w:top w:val="single" w:color="000000" w:sz="4" w:space="0"/>
              <w:left w:val="nil"/>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被解释变量</w:t>
            </w:r>
          </w:p>
        </w:tc>
        <w:tc>
          <w:tcPr>
            <w:tcW w:w="3719" w:type="pct"/>
            <w:gridSpan w:val="5"/>
            <w:tcBorders>
              <w:top w:val="single" w:color="000000" w:sz="4" w:space="0"/>
              <w:left w:val="single" w:color="000000" w:sz="4" w:space="0"/>
              <w:bottom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专利数量</w:t>
            </w:r>
            <w:r>
              <w:rPr>
                <w:rFonts w:hint="eastAsia" w:ascii="仿宋" w:hAnsi="仿宋" w:eastAsia="仿宋" w:cs="仿宋"/>
                <w:kern w:val="0"/>
                <w:sz w:val="21"/>
                <w:szCs w:val="21"/>
              </w:rPr>
              <w:t>（ln）</w:t>
            </w:r>
          </w:p>
        </w:tc>
      </w:tr>
      <w:tr>
        <w:tblPrEx>
          <w:tblCellMar>
            <w:top w:w="0" w:type="dxa"/>
            <w:left w:w="108" w:type="dxa"/>
            <w:bottom w:w="0" w:type="dxa"/>
            <w:right w:w="108" w:type="dxa"/>
          </w:tblCellMar>
        </w:tblPrEx>
        <w:trPr>
          <w:trHeight w:val="260" w:hRule="atLeast"/>
          <w:tblHeader/>
        </w:trPr>
        <w:tc>
          <w:tcPr>
            <w:tcW w:w="1280" w:type="pct"/>
            <w:tcBorders>
              <w:top w:val="single" w:color="000000" w:sz="4" w:space="0"/>
              <w:left w:val="nil"/>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稳健性类型</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负二项回归</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负二项回归</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对数变换1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对数变换2</w:t>
            </w:r>
          </w:p>
        </w:tc>
        <w:tc>
          <w:tcPr>
            <w:tcW w:w="730"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对数变换3</w:t>
            </w:r>
          </w:p>
        </w:tc>
      </w:tr>
      <w:tr>
        <w:tblPrEx>
          <w:tblCellMar>
            <w:top w:w="0" w:type="dxa"/>
            <w:left w:w="108" w:type="dxa"/>
            <w:bottom w:w="0" w:type="dxa"/>
            <w:right w:w="108" w:type="dxa"/>
          </w:tblCellMar>
        </w:tblPrEx>
        <w:trPr>
          <w:trHeight w:val="260" w:hRule="atLeast"/>
          <w:tblHeader/>
        </w:trPr>
        <w:tc>
          <w:tcPr>
            <w:tcW w:w="1280" w:type="pct"/>
            <w:tcBorders>
              <w:top w:val="single" w:color="000000" w:sz="4" w:space="0"/>
              <w:left w:val="nil"/>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解释变量</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7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r>
      <w:tr>
        <w:tblPrEx>
          <w:tblCellMar>
            <w:top w:w="0" w:type="dxa"/>
            <w:left w:w="108" w:type="dxa"/>
            <w:bottom w:w="0" w:type="dxa"/>
            <w:right w:w="108" w:type="dxa"/>
          </w:tblCellMar>
        </w:tblPrEx>
        <w:trPr>
          <w:trHeight w:val="260" w:hRule="atLeast"/>
        </w:trPr>
        <w:tc>
          <w:tcPr>
            <w:tcW w:w="1280" w:type="pct"/>
            <w:tcBorders>
              <w:top w:val="single" w:color="000000" w:sz="4" w:space="0"/>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机器人存量（ln）</w:t>
            </w:r>
          </w:p>
        </w:tc>
        <w:tc>
          <w:tcPr>
            <w:tcW w:w="763" w:type="pct"/>
            <w:tcBorders>
              <w:top w:val="single" w:color="000000" w:sz="4" w:space="0"/>
              <w:left w:val="single" w:color="000000" w:sz="4" w:space="0"/>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0.0347***</w:t>
            </w:r>
          </w:p>
        </w:tc>
        <w:tc>
          <w:tcPr>
            <w:tcW w:w="763" w:type="pct"/>
            <w:tcBorders>
              <w:top w:val="single" w:color="000000" w:sz="4" w:space="0"/>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0.0058*</w:t>
            </w:r>
          </w:p>
        </w:tc>
        <w:tc>
          <w:tcPr>
            <w:tcW w:w="730" w:type="pct"/>
            <w:tcBorders>
              <w:top w:val="single" w:color="000000" w:sz="4" w:space="0"/>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0.3036***</w:t>
            </w:r>
          </w:p>
        </w:tc>
        <w:tc>
          <w:tcPr>
            <w:tcW w:w="730" w:type="pct"/>
            <w:tcBorders>
              <w:top w:val="single" w:color="000000" w:sz="4" w:space="0"/>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0.0314***</w:t>
            </w:r>
          </w:p>
        </w:tc>
        <w:tc>
          <w:tcPr>
            <w:tcW w:w="730" w:type="pct"/>
            <w:tcBorders>
              <w:top w:val="single" w:color="000000" w:sz="4" w:space="0"/>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0.0431***</w:t>
            </w:r>
          </w:p>
        </w:tc>
      </w:tr>
      <w:tr>
        <w:tblPrEx>
          <w:tblCellMar>
            <w:top w:w="0" w:type="dxa"/>
            <w:left w:w="108" w:type="dxa"/>
            <w:bottom w:w="0" w:type="dxa"/>
            <w:right w:w="108" w:type="dxa"/>
          </w:tblCellMar>
        </w:tblPrEx>
        <w:trPr>
          <w:trHeight w:val="260" w:hRule="atLeast"/>
        </w:trPr>
        <w:tc>
          <w:tcPr>
            <w:tcW w:w="1280" w:type="pct"/>
            <w:tcBorders>
              <w:top w:val="nil"/>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763" w:type="pct"/>
            <w:tcBorders>
              <w:top w:val="nil"/>
              <w:left w:val="single" w:color="000000" w:sz="4" w:space="0"/>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(12.47)</w:t>
            </w:r>
          </w:p>
        </w:tc>
        <w:tc>
          <w:tcPr>
            <w:tcW w:w="763"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(1.93)</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(3.88)</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(7.95)</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(7.42)</w:t>
            </w:r>
          </w:p>
        </w:tc>
      </w:tr>
      <w:tr>
        <w:tblPrEx>
          <w:tblCellMar>
            <w:top w:w="0" w:type="dxa"/>
            <w:left w:w="108" w:type="dxa"/>
            <w:bottom w:w="0" w:type="dxa"/>
            <w:right w:w="108" w:type="dxa"/>
          </w:tblCellMar>
        </w:tblPrEx>
        <w:trPr>
          <w:trHeight w:val="260" w:hRule="atLeast"/>
        </w:trPr>
        <w:tc>
          <w:tcPr>
            <w:tcW w:w="1280" w:type="pct"/>
            <w:tcBorders>
              <w:top w:val="nil"/>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企业及行业控制变量</w:t>
            </w:r>
          </w:p>
        </w:tc>
        <w:tc>
          <w:tcPr>
            <w:tcW w:w="763" w:type="pct"/>
            <w:tcBorders>
              <w:top w:val="nil"/>
              <w:left w:val="single" w:color="000000" w:sz="4" w:space="0"/>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763"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r>
      <w:tr>
        <w:tblPrEx>
          <w:tblCellMar>
            <w:top w:w="0" w:type="dxa"/>
            <w:left w:w="108" w:type="dxa"/>
            <w:bottom w:w="0" w:type="dxa"/>
            <w:right w:w="108" w:type="dxa"/>
          </w:tblCellMar>
        </w:tblPrEx>
        <w:trPr>
          <w:trHeight w:val="260" w:hRule="atLeast"/>
        </w:trPr>
        <w:tc>
          <w:tcPr>
            <w:tcW w:w="1280" w:type="pct"/>
            <w:tcBorders>
              <w:top w:val="nil"/>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观测值</w:t>
            </w:r>
          </w:p>
        </w:tc>
        <w:tc>
          <w:tcPr>
            <w:tcW w:w="763" w:type="pct"/>
            <w:tcBorders>
              <w:top w:val="nil"/>
              <w:left w:val="single" w:color="000000" w:sz="4" w:space="0"/>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494,316</w:t>
            </w:r>
          </w:p>
        </w:tc>
        <w:tc>
          <w:tcPr>
            <w:tcW w:w="763"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371,171</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90,108</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2,050,024</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2,050,024</w:t>
            </w:r>
          </w:p>
        </w:tc>
      </w:tr>
      <w:tr>
        <w:tblPrEx>
          <w:tblCellMar>
            <w:top w:w="0" w:type="dxa"/>
            <w:left w:w="108" w:type="dxa"/>
            <w:bottom w:w="0" w:type="dxa"/>
            <w:right w:w="108" w:type="dxa"/>
          </w:tblCellMar>
        </w:tblPrEx>
        <w:trPr>
          <w:trHeight w:val="260" w:hRule="atLeast"/>
        </w:trPr>
        <w:tc>
          <w:tcPr>
            <w:tcW w:w="1280" w:type="pct"/>
            <w:tcBorders>
              <w:top w:val="nil"/>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固定效应</w:t>
            </w:r>
          </w:p>
        </w:tc>
        <w:tc>
          <w:tcPr>
            <w:tcW w:w="763" w:type="pct"/>
            <w:tcBorders>
              <w:top w:val="nil"/>
              <w:left w:val="single" w:color="000000" w:sz="4" w:space="0"/>
              <w:bottom w:val="nil"/>
              <w:right w:val="nil"/>
            </w:tcBorders>
            <w:shd w:val="clear" w:color="auto" w:fill="auto"/>
            <w:noWrap/>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763" w:type="pct"/>
            <w:tcBorders>
              <w:top w:val="nil"/>
              <w:left w:val="nil"/>
              <w:bottom w:val="nil"/>
              <w:right w:val="nil"/>
            </w:tcBorders>
            <w:shd w:val="clear" w:color="auto" w:fill="auto"/>
            <w:noWrap/>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730" w:type="pct"/>
            <w:tcBorders>
              <w:top w:val="nil"/>
              <w:left w:val="nil"/>
              <w:bottom w:val="nil"/>
              <w:right w:val="nil"/>
            </w:tcBorders>
            <w:shd w:val="clear" w:color="auto" w:fill="auto"/>
            <w:noWrap/>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730" w:type="pct"/>
            <w:tcBorders>
              <w:top w:val="nil"/>
              <w:left w:val="nil"/>
              <w:bottom w:val="nil"/>
              <w:right w:val="nil"/>
            </w:tcBorders>
            <w:shd w:val="clear" w:color="auto" w:fill="auto"/>
            <w:noWrap/>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730" w:type="pct"/>
            <w:tcBorders>
              <w:top w:val="nil"/>
              <w:left w:val="nil"/>
              <w:bottom w:val="nil"/>
              <w:right w:val="nil"/>
            </w:tcBorders>
            <w:shd w:val="clear" w:color="auto" w:fill="auto"/>
            <w:noWrap/>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r>
      <w:tr>
        <w:tblPrEx>
          <w:tblCellMar>
            <w:top w:w="0" w:type="dxa"/>
            <w:left w:w="108" w:type="dxa"/>
            <w:bottom w:w="0" w:type="dxa"/>
            <w:right w:w="108" w:type="dxa"/>
          </w:tblCellMar>
        </w:tblPrEx>
        <w:trPr>
          <w:trHeight w:val="260" w:hRule="atLeast"/>
        </w:trPr>
        <w:tc>
          <w:tcPr>
            <w:tcW w:w="1280" w:type="pct"/>
            <w:tcBorders>
              <w:top w:val="nil"/>
              <w:left w:val="nil"/>
              <w:bottom w:val="nil"/>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i/>
                <w:iCs/>
                <w:sz w:val="21"/>
                <w:szCs w:val="21"/>
              </w:rPr>
              <w:t>F</w:t>
            </w:r>
            <w:r>
              <w:rPr>
                <w:rFonts w:hint="eastAsia" w:ascii="仿宋" w:hAnsi="仿宋" w:eastAsia="仿宋" w:cs="仿宋"/>
                <w:sz w:val="21"/>
                <w:szCs w:val="21"/>
              </w:rPr>
              <w:t>统计值</w:t>
            </w:r>
          </w:p>
        </w:tc>
        <w:tc>
          <w:tcPr>
            <w:tcW w:w="763" w:type="pct"/>
            <w:tcBorders>
              <w:top w:val="nil"/>
              <w:left w:val="single" w:color="000000" w:sz="4" w:space="0"/>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763"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23.46</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458.7</w:t>
            </w:r>
          </w:p>
        </w:tc>
        <w:tc>
          <w:tcPr>
            <w:tcW w:w="730" w:type="pct"/>
            <w:tcBorders>
              <w:top w:val="nil"/>
              <w:left w:val="nil"/>
              <w:bottom w:val="nil"/>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451.4</w:t>
            </w:r>
          </w:p>
        </w:tc>
      </w:tr>
      <w:tr>
        <w:tblPrEx>
          <w:tblCellMar>
            <w:top w:w="0" w:type="dxa"/>
            <w:left w:w="108" w:type="dxa"/>
            <w:bottom w:w="0" w:type="dxa"/>
            <w:right w:w="108" w:type="dxa"/>
          </w:tblCellMar>
        </w:tblPrEx>
        <w:trPr>
          <w:trHeight w:val="260" w:hRule="atLeast"/>
        </w:trPr>
        <w:tc>
          <w:tcPr>
            <w:tcW w:w="1280" w:type="pct"/>
            <w:tcBorders>
              <w:top w:val="nil"/>
              <w:left w:val="nil"/>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组内</w:t>
            </w:r>
            <w:r>
              <w:rPr>
                <w:rFonts w:hint="eastAsia" w:ascii="仿宋" w:hAnsi="仿宋" w:eastAsia="仿宋" w:cs="仿宋"/>
                <w:i/>
                <w:iCs/>
                <w:sz w:val="21"/>
                <w:szCs w:val="21"/>
              </w:rPr>
              <w:t>R</w:t>
            </w:r>
            <w:r>
              <w:rPr>
                <w:rFonts w:hint="eastAsia" w:ascii="仿宋" w:hAnsi="仿宋" w:eastAsia="仿宋" w:cs="仿宋"/>
                <w:sz w:val="21"/>
                <w:szCs w:val="21"/>
                <w:vertAlign w:val="superscript"/>
              </w:rPr>
              <w:t>2</w:t>
            </w:r>
            <w:r>
              <w:rPr>
                <w:rFonts w:hint="eastAsia" w:ascii="仿宋" w:hAnsi="仿宋" w:eastAsia="仿宋" w:cs="仿宋"/>
                <w:sz w:val="21"/>
                <w:szCs w:val="21"/>
              </w:rPr>
              <w:t xml:space="preserve"> </w:t>
            </w:r>
          </w:p>
        </w:tc>
        <w:tc>
          <w:tcPr>
            <w:tcW w:w="763" w:type="pct"/>
            <w:tcBorders>
              <w:top w:val="nil"/>
              <w:left w:val="single" w:color="000000" w:sz="4" w:space="0"/>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763" w:type="pct"/>
            <w:tcBorders>
              <w:top w:val="nil"/>
              <w:left w:val="nil"/>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730" w:type="pct"/>
            <w:tcBorders>
              <w:top w:val="nil"/>
              <w:left w:val="nil"/>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0.00487</w:t>
            </w:r>
          </w:p>
        </w:tc>
        <w:tc>
          <w:tcPr>
            <w:tcW w:w="730" w:type="pct"/>
            <w:tcBorders>
              <w:top w:val="nil"/>
              <w:left w:val="nil"/>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0.00440</w:t>
            </w:r>
          </w:p>
        </w:tc>
        <w:tc>
          <w:tcPr>
            <w:tcW w:w="730" w:type="pct"/>
            <w:tcBorders>
              <w:top w:val="nil"/>
              <w:left w:val="nil"/>
              <w:bottom w:val="single" w:color="000000" w:sz="4" w:space="0"/>
              <w:right w:val="nil"/>
            </w:tcBorders>
            <w:shd w:val="clear" w:color="auto" w:fill="auto"/>
            <w:noWrap/>
            <w:vAlign w:val="bottom"/>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0.00420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z w:val="18"/>
          <w:szCs w:val="18"/>
        </w:rPr>
        <w:t>注：1. 样本期间为2000至2013年。 2. 鉴于专利数量是计数数据，参考Sun</w:t>
      </w:r>
      <w:r>
        <w:rPr>
          <w:rFonts w:hint="eastAsia" w:ascii="仿宋" w:hAnsi="仿宋" w:eastAsia="仿宋" w:cs="仿宋"/>
          <w:sz w:val="18"/>
          <w:szCs w:val="18"/>
          <w:lang w:val="en-US" w:eastAsia="zh-CN"/>
        </w:rPr>
        <w:t xml:space="preserve"> et al.</w:t>
      </w:r>
      <w:r>
        <w:rPr>
          <w:rFonts w:hint="eastAsia" w:ascii="仿宋" w:hAnsi="仿宋" w:eastAsia="仿宋" w:cs="仿宋"/>
          <w:sz w:val="18"/>
          <w:szCs w:val="18"/>
        </w:rPr>
        <w:t>（2020），</w:t>
      </w:r>
      <w:r>
        <w:rPr>
          <w:rFonts w:hint="eastAsia" w:ascii="仿宋" w:hAnsi="仿宋" w:eastAsia="仿宋" w:cs="仿宋"/>
          <w:sz w:val="18"/>
          <w:szCs w:val="18"/>
          <w:lang w:val="en-US" w:eastAsia="zh-CN"/>
        </w:rPr>
        <w:t>第</w:t>
      </w:r>
      <w:r>
        <w:rPr>
          <w:rFonts w:hint="eastAsia" w:ascii="仿宋" w:hAnsi="仿宋" w:eastAsia="仿宋" w:cs="仿宋"/>
          <w:sz w:val="18"/>
          <w:szCs w:val="18"/>
        </w:rPr>
        <w:t>（1）</w:t>
      </w:r>
      <w:r>
        <w:rPr>
          <w:rFonts w:hint="eastAsia" w:ascii="仿宋" w:hAnsi="仿宋" w:eastAsia="仿宋" w:cs="仿宋"/>
          <w:sz w:val="18"/>
          <w:szCs w:val="18"/>
          <w:lang w:eastAsia="zh-CN"/>
        </w:rPr>
        <w:t>、</w:t>
      </w:r>
      <w:r>
        <w:rPr>
          <w:rFonts w:hint="eastAsia" w:ascii="仿宋" w:hAnsi="仿宋" w:eastAsia="仿宋" w:cs="仿宋"/>
          <w:sz w:val="18"/>
          <w:szCs w:val="18"/>
        </w:rPr>
        <w:t>（2）列以负二项最大似然估计法进行检验。3. 借鉴Liu</w:t>
      </w:r>
      <w:r>
        <w:rPr>
          <w:rFonts w:hint="eastAsia" w:ascii="仿宋" w:hAnsi="仿宋" w:eastAsia="仿宋" w:cs="仿宋"/>
          <w:sz w:val="18"/>
          <w:szCs w:val="18"/>
          <w:lang w:val="en-US" w:eastAsia="zh-CN"/>
        </w:rPr>
        <w:t xml:space="preserve"> and </w:t>
      </w:r>
      <w:r>
        <w:rPr>
          <w:rFonts w:hint="eastAsia" w:ascii="仿宋" w:hAnsi="仿宋" w:eastAsia="仿宋" w:cs="仿宋"/>
          <w:sz w:val="18"/>
          <w:szCs w:val="18"/>
        </w:rPr>
        <w:t>Ma（2020），（3）</w:t>
      </w:r>
      <w:r>
        <w:rPr>
          <w:rFonts w:hint="eastAsia" w:ascii="仿宋" w:hAnsi="仿宋" w:eastAsia="仿宋" w:cs="仿宋"/>
          <w:sz w:val="18"/>
          <w:szCs w:val="18"/>
          <w:lang w:eastAsia="zh-CN"/>
        </w:rPr>
        <w:t>—</w:t>
      </w:r>
      <w:r>
        <w:rPr>
          <w:rFonts w:hint="eastAsia" w:ascii="仿宋" w:hAnsi="仿宋" w:eastAsia="仿宋" w:cs="仿宋"/>
          <w:sz w:val="18"/>
          <w:szCs w:val="18"/>
        </w:rPr>
        <w:t>（5）列对专利数量采用其他形式的对数变换，其中变换1为</w:t>
      </w:r>
      <m:oMath>
        <m:r>
          <m:rPr>
            <m:sty m:val="p"/>
          </m:rPr>
          <w:rPr>
            <w:rFonts w:hint="eastAsia" w:ascii="Cambria Math" w:hAnsi="Cambria Math" w:eastAsia="仿宋" w:cs="仿宋"/>
            <w:sz w:val="18"/>
            <w:szCs w:val="18"/>
          </w:rPr>
          <m:t>ln(</m:t>
        </m:r>
        <m:r>
          <m:rPr/>
          <w:rPr>
            <w:rFonts w:hint="eastAsia" w:ascii="Cambria Math" w:hAnsi="Cambria Math" w:eastAsia="仿宋" w:cs="仿宋"/>
            <w:sz w:val="18"/>
            <w:szCs w:val="18"/>
          </w:rPr>
          <m:t>x</m:t>
        </m:r>
        <m:r>
          <m:rPr>
            <m:sty m:val="p"/>
          </m:rPr>
          <w:rPr>
            <w:rFonts w:hint="eastAsia" w:ascii="Cambria Math" w:hAnsi="Cambria Math" w:eastAsia="仿宋" w:cs="仿宋"/>
            <w:sz w:val="18"/>
            <w:szCs w:val="18"/>
          </w:rPr>
          <m:t>+</m:t>
        </m:r>
        <m:sSup>
          <m:sSupPr>
            <m:ctrlPr>
              <w:rPr>
                <w:rFonts w:hint="eastAsia" w:ascii="Cambria Math" w:hAnsi="Cambria Math" w:eastAsia="仿宋" w:cs="仿宋"/>
                <w:sz w:val="18"/>
                <w:szCs w:val="18"/>
              </w:rPr>
            </m:ctrlPr>
          </m:sSupPr>
          <m:e>
            <m:r>
              <m:rPr>
                <m:sty m:val="p"/>
              </m:rPr>
              <w:rPr>
                <w:rFonts w:hint="eastAsia" w:ascii="Cambria Math" w:hAnsi="Cambria Math" w:eastAsia="仿宋" w:cs="仿宋"/>
                <w:sz w:val="18"/>
                <w:szCs w:val="18"/>
              </w:rPr>
              <m:t>(1+</m:t>
            </m:r>
            <m:sSup>
              <m:sSupPr>
                <m:ctrlPr>
                  <w:rPr>
                    <w:rFonts w:hint="eastAsia" w:ascii="Cambria Math" w:hAnsi="Cambria Math" w:eastAsia="仿宋" w:cs="仿宋"/>
                    <w:sz w:val="18"/>
                    <w:szCs w:val="18"/>
                  </w:rPr>
                </m:ctrlPr>
              </m:sSupPr>
              <m:e>
                <m:r>
                  <m:rPr/>
                  <w:rPr>
                    <w:rFonts w:hint="eastAsia" w:ascii="Cambria Math" w:hAnsi="Cambria Math" w:eastAsia="仿宋" w:cs="仿宋"/>
                    <w:sz w:val="18"/>
                    <w:szCs w:val="18"/>
                  </w:rPr>
                  <m:t>x</m:t>
                </m:r>
                <m:ctrlPr>
                  <w:rPr>
                    <w:rFonts w:hint="eastAsia" w:ascii="Cambria Math" w:hAnsi="Cambria Math" w:eastAsia="仿宋" w:cs="仿宋"/>
                    <w:sz w:val="18"/>
                    <w:szCs w:val="18"/>
                  </w:rPr>
                </m:ctrlPr>
              </m:e>
              <m:sup>
                <m:r>
                  <m:rPr>
                    <m:sty m:val="p"/>
                  </m:rPr>
                  <w:rPr>
                    <w:rFonts w:hint="eastAsia" w:ascii="Cambria Math" w:hAnsi="Cambria Math" w:eastAsia="仿宋" w:cs="仿宋"/>
                    <w:sz w:val="18"/>
                    <w:szCs w:val="18"/>
                  </w:rPr>
                  <m:t>2</m:t>
                </m:r>
                <m:ctrlPr>
                  <w:rPr>
                    <w:rFonts w:hint="eastAsia" w:ascii="Cambria Math" w:hAnsi="Cambria Math" w:eastAsia="仿宋" w:cs="仿宋"/>
                    <w:sz w:val="18"/>
                    <w:szCs w:val="18"/>
                  </w:rPr>
                </m:ctrlPr>
              </m:sup>
            </m:sSup>
            <m:r>
              <m:rPr>
                <m:sty m:val="p"/>
              </m:rPr>
              <w:rPr>
                <w:rFonts w:hint="eastAsia" w:ascii="Cambria Math" w:hAnsi="Cambria Math" w:eastAsia="仿宋" w:cs="仿宋"/>
                <w:sz w:val="18"/>
                <w:szCs w:val="18"/>
              </w:rPr>
              <m:t>)</m:t>
            </m:r>
            <m:ctrlPr>
              <w:rPr>
                <w:rFonts w:hint="eastAsia" w:ascii="Cambria Math" w:hAnsi="Cambria Math" w:eastAsia="仿宋" w:cs="仿宋"/>
                <w:sz w:val="18"/>
                <w:szCs w:val="18"/>
              </w:rPr>
            </m:ctrlPr>
          </m:e>
          <m:sup>
            <m:r>
              <m:rPr>
                <m:sty m:val="p"/>
              </m:rPr>
              <w:rPr>
                <w:rFonts w:hint="eastAsia" w:ascii="Cambria Math" w:hAnsi="Cambria Math" w:eastAsia="仿宋" w:cs="仿宋"/>
                <w:sz w:val="18"/>
                <w:szCs w:val="18"/>
              </w:rPr>
              <m:t>0.5</m:t>
            </m:r>
            <m:ctrlPr>
              <w:rPr>
                <w:rFonts w:hint="eastAsia" w:ascii="Cambria Math" w:hAnsi="Cambria Math" w:eastAsia="仿宋" w:cs="仿宋"/>
                <w:sz w:val="18"/>
                <w:szCs w:val="18"/>
              </w:rPr>
            </m:ctrlPr>
          </m:sup>
        </m:sSup>
        <m:r>
          <m:rPr>
            <m:sty m:val="p"/>
          </m:rPr>
          <w:rPr>
            <w:rFonts w:hint="eastAsia" w:ascii="Cambria Math" w:hAnsi="Cambria Math" w:eastAsia="仿宋" w:cs="仿宋"/>
            <w:sz w:val="18"/>
            <w:szCs w:val="18"/>
          </w:rPr>
          <m:t>)，</m:t>
        </m:r>
      </m:oMath>
      <w:r>
        <w:rPr>
          <w:rFonts w:hint="eastAsia" w:ascii="仿宋" w:hAnsi="仿宋" w:eastAsia="仿宋" w:cs="仿宋"/>
          <w:sz w:val="18"/>
          <w:szCs w:val="18"/>
        </w:rPr>
        <w:t>变换2</w:t>
      </w:r>
      <m:oMath>
        <m:r>
          <m:rPr>
            <m:sty m:val="p"/>
          </m:rPr>
          <w:rPr>
            <w:rFonts w:hint="eastAsia" w:ascii="Cambria Math" w:hAnsi="Cambria Math" w:eastAsia="仿宋" w:cs="仿宋"/>
            <w:sz w:val="18"/>
            <w:szCs w:val="18"/>
          </w:rPr>
          <m:t>为ln(</m:t>
        </m:r>
        <m:r>
          <m:rPr/>
          <w:rPr>
            <w:rFonts w:hint="eastAsia" w:ascii="Cambria Math" w:hAnsi="Cambria Math" w:eastAsia="仿宋" w:cs="仿宋"/>
            <w:sz w:val="18"/>
            <w:szCs w:val="18"/>
          </w:rPr>
          <m:t>x</m:t>
        </m:r>
        <m:r>
          <m:rPr>
            <m:sty m:val="p"/>
          </m:rPr>
          <w:rPr>
            <w:rFonts w:hint="eastAsia" w:ascii="Cambria Math" w:hAnsi="Cambria Math" w:eastAsia="仿宋" w:cs="仿宋"/>
            <w:sz w:val="18"/>
            <w:szCs w:val="18"/>
          </w:rPr>
          <m:t>+</m:t>
        </m:r>
        <m:r>
          <m:rPr/>
          <w:rPr>
            <w:rFonts w:hint="eastAsia" w:ascii="Cambria Math" w:hAnsi="Cambria Math" w:eastAsia="仿宋" w:cs="仿宋"/>
            <w:sz w:val="18"/>
            <w:szCs w:val="18"/>
          </w:rPr>
          <m:t>0.01</m:t>
        </m:r>
        <m:r>
          <m:rPr>
            <m:sty m:val="p"/>
          </m:rPr>
          <w:rPr>
            <w:rFonts w:hint="eastAsia" w:ascii="Cambria Math" w:hAnsi="Cambria Math" w:eastAsia="仿宋" w:cs="仿宋"/>
            <w:sz w:val="18"/>
            <w:szCs w:val="18"/>
          </w:rPr>
          <m:t>)</m:t>
        </m:r>
      </m:oMath>
      <w:r>
        <w:rPr>
          <w:rFonts w:hint="eastAsia" w:ascii="仿宋" w:hAnsi="仿宋" w:eastAsia="仿宋" w:cs="仿宋"/>
          <w:sz w:val="18"/>
          <w:szCs w:val="18"/>
        </w:rPr>
        <w:t>，变换3为</w:t>
      </w:r>
      <m:oMath>
        <m:r>
          <m:rPr>
            <m:sty m:val="p"/>
          </m:rPr>
          <w:rPr>
            <w:rFonts w:hint="eastAsia" w:ascii="Cambria Math" w:hAnsi="Cambria Math" w:eastAsia="仿宋" w:cs="仿宋"/>
            <w:sz w:val="18"/>
            <w:szCs w:val="18"/>
          </w:rPr>
          <m:t>ln(</m:t>
        </m:r>
        <m:r>
          <m:rPr/>
          <w:rPr>
            <w:rFonts w:hint="eastAsia" w:ascii="Cambria Math" w:hAnsi="Cambria Math" w:eastAsia="仿宋" w:cs="仿宋"/>
            <w:sz w:val="18"/>
            <w:szCs w:val="18"/>
          </w:rPr>
          <m:t>x</m:t>
        </m:r>
        <m:r>
          <m:rPr>
            <m:sty m:val="p"/>
          </m:rPr>
          <w:rPr>
            <w:rFonts w:hint="eastAsia" w:ascii="Cambria Math" w:hAnsi="Cambria Math" w:eastAsia="仿宋" w:cs="仿宋"/>
            <w:sz w:val="18"/>
            <w:szCs w:val="18"/>
          </w:rPr>
          <m:t>+</m:t>
        </m:r>
        <m:r>
          <m:rPr/>
          <w:rPr>
            <w:rFonts w:hint="eastAsia" w:ascii="Cambria Math" w:hAnsi="Cambria Math" w:eastAsia="仿宋" w:cs="仿宋"/>
            <w:sz w:val="18"/>
            <w:szCs w:val="18"/>
          </w:rPr>
          <m:t>0.1</m:t>
        </m:r>
        <m:r>
          <m:rPr>
            <m:sty m:val="p"/>
          </m:rPr>
          <w:rPr>
            <w:rFonts w:hint="eastAsia" w:ascii="Cambria Math" w:hAnsi="Cambria Math" w:eastAsia="仿宋" w:cs="仿宋"/>
            <w:sz w:val="18"/>
            <w:szCs w:val="18"/>
          </w:rPr>
          <m:t>)</m:t>
        </m:r>
      </m:oMath>
      <w:r>
        <w:rPr>
          <w:rFonts w:hint="eastAsia" w:ascii="仿宋" w:hAnsi="仿宋" w:eastAsia="仿宋" w:cs="仿宋"/>
          <w:sz w:val="18"/>
          <w:szCs w:val="18"/>
        </w:rPr>
        <w:t>。</w:t>
      </w: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p>
    <w:tbl>
      <w:tblPr>
        <w:tblStyle w:val="1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6"/>
        <w:gridCol w:w="237"/>
        <w:gridCol w:w="1212"/>
        <w:gridCol w:w="1213"/>
        <w:gridCol w:w="1213"/>
        <w:gridCol w:w="1213"/>
        <w:gridCol w:w="1213"/>
        <w:gridCol w:w="95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979" w:type="pct"/>
            <w:tcBorders>
              <w:top w:val="nil"/>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4"/>
                <w:szCs w:val="24"/>
              </w:rPr>
            </w:pPr>
          </w:p>
        </w:tc>
        <w:tc>
          <w:tcPr>
            <w:tcW w:w="3371" w:type="pct"/>
            <w:gridSpan w:val="6"/>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b/>
                <w:bCs/>
                <w:sz w:val="21"/>
                <w:szCs w:val="21"/>
              </w:rPr>
              <w:t>表</w:t>
            </w:r>
            <w:r>
              <w:rPr>
                <w:rFonts w:hint="eastAsia" w:ascii="仿宋" w:hAnsi="仿宋" w:eastAsia="仿宋" w:cs="仿宋"/>
                <w:b/>
                <w:bCs/>
                <w:sz w:val="21"/>
                <w:szCs w:val="21"/>
                <w:lang w:val="en-US" w:eastAsia="zh-CN"/>
              </w:rPr>
              <w:t>C</w:t>
            </w:r>
            <w:r>
              <w:rPr>
                <w:rFonts w:hint="eastAsia" w:ascii="仿宋" w:hAnsi="仿宋" w:eastAsia="仿宋" w:cs="仿宋"/>
                <w:b/>
                <w:bCs/>
                <w:sz w:val="21"/>
                <w:szCs w:val="21"/>
              </w:rPr>
              <w:t>3  亚洲机器人、金砖机器人、滞后一期机器人工具变量检验</w:t>
            </w:r>
          </w:p>
        </w:tc>
        <w:tc>
          <w:tcPr>
            <w:tcW w:w="649" w:type="pct"/>
            <w:tcBorders>
              <w:top w:val="nil"/>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1096" w:type="pct"/>
            <w:gridSpan w:val="2"/>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被解释变量</w:t>
            </w:r>
          </w:p>
        </w:tc>
        <w:tc>
          <w:tcPr>
            <w:tcW w:w="3904" w:type="pct"/>
            <w:gridSpan w:val="6"/>
            <w:tcBorders>
              <w:top w:val="single" w:color="auto" w:sz="4" w:space="0"/>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专利数量</w:t>
            </w:r>
            <w:r>
              <w:rPr>
                <w:rFonts w:hint="eastAsia" w:ascii="仿宋" w:hAnsi="仿宋" w:eastAsia="仿宋" w:cs="仿宋"/>
                <w:kern w:val="0"/>
                <w:sz w:val="21"/>
                <w:szCs w:val="21"/>
              </w:rPr>
              <w:t>（ln）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1096" w:type="pct"/>
            <w:gridSpan w:val="2"/>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回归方法</w:t>
            </w:r>
          </w:p>
        </w:tc>
        <w:tc>
          <w:tcPr>
            <w:tcW w:w="2602" w:type="pct"/>
            <w:gridSpan w:val="4"/>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2SLS</w:t>
            </w:r>
          </w:p>
        </w:tc>
        <w:tc>
          <w:tcPr>
            <w:tcW w:w="1301" w:type="pct"/>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GMM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工具变量</w:t>
            </w:r>
          </w:p>
        </w:tc>
        <w:tc>
          <w:tcPr>
            <w:tcW w:w="13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亚洲机器人IV</w:t>
            </w:r>
          </w:p>
        </w:tc>
        <w:tc>
          <w:tcPr>
            <w:tcW w:w="13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金砖机器人IV</w:t>
            </w:r>
          </w:p>
        </w:tc>
        <w:tc>
          <w:tcPr>
            <w:tcW w:w="1301" w:type="pct"/>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滞后机器人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面板1：第二阶段</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w:t>
            </w:r>
          </w:p>
        </w:tc>
        <w:tc>
          <w:tcPr>
            <w:tcW w:w="6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(3)</w:t>
            </w:r>
          </w:p>
        </w:tc>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w:t>
            </w:r>
          </w:p>
        </w:tc>
        <w:tc>
          <w:tcPr>
            <w:tcW w:w="652" w:type="pct"/>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(5)</w:t>
            </w:r>
          </w:p>
        </w:tc>
        <w:tc>
          <w:tcPr>
            <w:tcW w:w="649"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top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机器人存量（ln）</w:t>
            </w:r>
          </w:p>
        </w:tc>
        <w:tc>
          <w:tcPr>
            <w:tcW w:w="650" w:type="pct"/>
            <w:tcBorders>
              <w:top w:val="single" w:color="auto" w:sz="4" w:space="0"/>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1.121***</w:t>
            </w:r>
          </w:p>
        </w:tc>
        <w:tc>
          <w:tcPr>
            <w:tcW w:w="651" w:type="pct"/>
            <w:tcBorders>
              <w:top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0.353***</w:t>
            </w:r>
          </w:p>
        </w:tc>
        <w:tc>
          <w:tcPr>
            <w:tcW w:w="651" w:type="pct"/>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0.974***</w:t>
            </w:r>
          </w:p>
        </w:tc>
        <w:tc>
          <w:tcPr>
            <w:tcW w:w="651" w:type="pct"/>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0.348***</w:t>
            </w:r>
          </w:p>
        </w:tc>
        <w:tc>
          <w:tcPr>
            <w:tcW w:w="652" w:type="pct"/>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0.028***</w:t>
            </w:r>
          </w:p>
        </w:tc>
        <w:tc>
          <w:tcPr>
            <w:tcW w:w="649" w:type="pct"/>
            <w:tcBorders>
              <w:top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(8.45)</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(4.30)</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(8.26)</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(4.68)</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(8.81)</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(8.48)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行业控制变量</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企业控制变量</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固定效应</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企业;年份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观测值</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1801339</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1768301</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1801339</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1768301</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2050024</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2050024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F统计量</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17.173</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284.533</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16.842</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284.366</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33.990</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438.774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弱工具变量KP统计量</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121.159</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118.857</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126.300</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158.711</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2928.206</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2928.175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不可识别KP统计量</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154.906</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151.157</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161.475</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202.716</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1846.270</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1847.541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不可识别统计量P值</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面板2：第一阶段</w:t>
            </w:r>
          </w:p>
        </w:tc>
        <w:tc>
          <w:tcPr>
            <w:tcW w:w="650" w:type="pct"/>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1" w:type="pct"/>
            <w:tcBorders>
              <w:top w:val="single" w:color="auto" w:sz="4" w:space="0"/>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1" w:type="pct"/>
            <w:tcBorders>
              <w:top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1" w:type="pct"/>
            <w:tcBorders>
              <w:top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2" w:type="pct"/>
            <w:tcBorders>
              <w:top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49" w:type="pct"/>
            <w:tcBorders>
              <w:top w:val="single" w:color="auto" w:sz="4" w:space="0"/>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亚洲机器人IV</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0.002***</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0.005***</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(11.01)</w:t>
            </w: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(10.90)</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金砖机器人IV</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0.003***</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0.005***</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(11.24)</w:t>
            </w: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(12.60)</w:t>
            </w: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欧洲机器人IV</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滞后机器人IV</w:t>
            </w: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0.612***</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0.612***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0" w:type="pct"/>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1"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p>
        </w:tc>
        <w:tc>
          <w:tcPr>
            <w:tcW w:w="652" w:type="pct"/>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(54.11)</w:t>
            </w:r>
          </w:p>
        </w:tc>
        <w:tc>
          <w:tcPr>
            <w:tcW w:w="649" w:type="pct"/>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(54.11)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行业控制变量</w:t>
            </w:r>
          </w:p>
        </w:tc>
        <w:tc>
          <w:tcPr>
            <w:tcW w:w="650" w:type="pct"/>
            <w:tcBorders>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tcBorders>
              <w:bottom w:val="nil"/>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tcBorders>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tcBorders>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2" w:type="pct"/>
            <w:tcBorders>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49" w:type="pct"/>
            <w:tcBorders>
              <w:bottom w:val="nil"/>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6" w:type="pct"/>
            <w:gridSpan w:val="2"/>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企业控制变量</w:t>
            </w:r>
          </w:p>
        </w:tc>
        <w:tc>
          <w:tcPr>
            <w:tcW w:w="650" w:type="pct"/>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1" w:type="pct"/>
            <w:tcBorders>
              <w:top w:val="nil"/>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1" w:type="pct"/>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51" w:type="pct"/>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c>
          <w:tcPr>
            <w:tcW w:w="652" w:type="pct"/>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649" w:type="pct"/>
            <w:tcBorders>
              <w:top w:val="nil"/>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是</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napToGrid w:val="0"/>
          <w:kern w:val="0"/>
          <w:sz w:val="18"/>
          <w:szCs w:val="18"/>
        </w:rPr>
        <w:t>注：1.（1）</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（4）列样本期间为2004</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 xml:space="preserve">2013年。2. </w:t>
      </w:r>
      <w:r>
        <w:rPr>
          <w:rFonts w:hint="eastAsia" w:ascii="仿宋" w:hAnsi="仿宋" w:eastAsia="仿宋" w:cs="仿宋"/>
          <w:snapToGrid w:val="0"/>
          <w:kern w:val="0"/>
          <w:sz w:val="18"/>
          <w:szCs w:val="18"/>
          <w:lang w:val="en-US" w:eastAsia="zh-CN"/>
        </w:rPr>
        <w:t>第</w:t>
      </w:r>
      <w:r>
        <w:rPr>
          <w:rFonts w:hint="eastAsia" w:ascii="仿宋" w:hAnsi="仿宋" w:eastAsia="仿宋" w:cs="仿宋"/>
          <w:snapToGrid w:val="0"/>
          <w:kern w:val="0"/>
          <w:sz w:val="18"/>
          <w:szCs w:val="18"/>
        </w:rPr>
        <w:t>（5）、（6）列的样本期间为2000</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 xml:space="preserve">2013年。3. </w:t>
      </w:r>
      <w:r>
        <w:rPr>
          <w:rFonts w:hint="eastAsia" w:ascii="仿宋" w:hAnsi="仿宋" w:eastAsia="仿宋" w:cs="仿宋"/>
          <w:kern w:val="0"/>
          <w:sz w:val="18"/>
          <w:szCs w:val="18"/>
        </w:rPr>
        <w:t>金砖国家包括：巴西、南非、印度、俄罗斯，亚洲地区包括韩国、新加披、中国台湾、中国香港。</w:t>
      </w:r>
      <w:bookmarkStart w:id="0" w:name="_Hlk113008875"/>
    </w:p>
    <w:bookmarkEnd w:id="0"/>
    <w:tbl>
      <w:tblPr>
        <w:tblStyle w:val="1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8"/>
        <w:gridCol w:w="1221"/>
        <w:gridCol w:w="1065"/>
        <w:gridCol w:w="1191"/>
        <w:gridCol w:w="1211"/>
        <w:gridCol w:w="1111"/>
        <w:gridCol w:w="11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7"/>
            <w:tcBorders>
              <w:top w:val="nil"/>
              <w:bottom w:val="single" w:color="auto" w:sz="4" w:space="0"/>
            </w:tcBorders>
            <w:vAlign w:val="center"/>
          </w:tcPr>
          <w:p>
            <w:pPr>
              <w:keepNext w:val="0"/>
              <w:keepLines w:val="0"/>
              <w:pageBreakBefore w:val="0"/>
              <w:widowControl/>
              <w:kinsoku/>
              <w:wordWrap/>
              <w:overflowPunct/>
              <w:topLinePunct w:val="0"/>
              <w:bidi w:val="0"/>
              <w:spacing w:line="360" w:lineRule="auto"/>
              <w:rPr>
                <w:rFonts w:hint="eastAsia" w:ascii="仿宋" w:hAnsi="仿宋" w:eastAsia="仿宋" w:cs="仿宋"/>
                <w:kern w:val="0"/>
                <w:sz w:val="24"/>
                <w:szCs w:val="24"/>
              </w:rPr>
            </w:pPr>
          </w:p>
          <w:p>
            <w:pPr>
              <w:keepNext w:val="0"/>
              <w:keepLines w:val="0"/>
              <w:pageBreakBefore w:val="0"/>
              <w:widowControl/>
              <w:kinsoku/>
              <w:wordWrap/>
              <w:overflowPunct/>
              <w:topLinePunct w:val="0"/>
              <w:bidi w:val="0"/>
              <w:spacing w:line="360" w:lineRule="auto"/>
              <w:rPr>
                <w:rFonts w:hint="eastAsia" w:ascii="仿宋" w:hAnsi="仿宋" w:eastAsia="仿宋" w:cs="仿宋"/>
                <w:kern w:val="0"/>
                <w:sz w:val="24"/>
                <w:szCs w:val="24"/>
              </w:rPr>
            </w:pPr>
          </w:p>
          <w:p>
            <w:pPr>
              <w:keepNext w:val="0"/>
              <w:keepLines w:val="0"/>
              <w:pageBreakBefore w:val="0"/>
              <w:widowControl/>
              <w:kinsoku/>
              <w:wordWrap/>
              <w:overflowPunct/>
              <w:topLinePunct w:val="0"/>
              <w:bidi w:val="0"/>
              <w:spacing w:line="360" w:lineRule="auto"/>
              <w:rPr>
                <w:rFonts w:hint="eastAsia" w:ascii="仿宋" w:hAnsi="仿宋" w:eastAsia="仿宋" w:cs="仿宋"/>
                <w:kern w:val="0"/>
                <w:sz w:val="24"/>
                <w:szCs w:val="24"/>
              </w:rPr>
            </w:pPr>
          </w:p>
          <w:p>
            <w:pPr>
              <w:keepNext w:val="0"/>
              <w:keepLines w:val="0"/>
              <w:pageBreakBefore w:val="0"/>
              <w:widowControl/>
              <w:kinsoku/>
              <w:wordWrap/>
              <w:overflowPunct/>
              <w:topLinePunct w:val="0"/>
              <w:bidi w:val="0"/>
              <w:spacing w:line="360" w:lineRule="auto"/>
              <w:jc w:val="center"/>
              <w:rPr>
                <w:rFonts w:hint="eastAsia" w:ascii="仿宋" w:hAnsi="仿宋" w:eastAsia="仿宋" w:cs="仿宋"/>
                <w:kern w:val="0"/>
                <w:sz w:val="24"/>
                <w:szCs w:val="24"/>
              </w:rPr>
            </w:pPr>
            <w:r>
              <w:rPr>
                <w:rFonts w:hint="eastAsia" w:ascii="仿宋" w:hAnsi="仿宋" w:eastAsia="仿宋" w:cs="仿宋"/>
                <w:b/>
                <w:bCs/>
                <w:kern w:val="0"/>
                <w:sz w:val="22"/>
                <w:szCs w:val="22"/>
              </w:rPr>
              <w:t>表</w:t>
            </w:r>
            <w:r>
              <w:rPr>
                <w:rFonts w:hint="eastAsia" w:ascii="仿宋" w:hAnsi="仿宋" w:eastAsia="仿宋" w:cs="仿宋"/>
                <w:b/>
                <w:bCs/>
                <w:kern w:val="0"/>
                <w:sz w:val="22"/>
                <w:szCs w:val="22"/>
                <w:lang w:val="en-US" w:eastAsia="zh-CN"/>
              </w:rPr>
              <w:t>C</w:t>
            </w:r>
            <w:r>
              <w:rPr>
                <w:rFonts w:hint="eastAsia" w:ascii="仿宋" w:hAnsi="仿宋" w:eastAsia="仿宋" w:cs="仿宋"/>
                <w:b/>
                <w:bCs/>
                <w:kern w:val="0"/>
                <w:sz w:val="22"/>
                <w:szCs w:val="22"/>
              </w:rPr>
              <w:t>4  剔除国内机器人生产企业、贸易经销商、加工贸易商的影响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被解释变量</w:t>
            </w:r>
          </w:p>
        </w:tc>
        <w:tc>
          <w:tcPr>
            <w:tcW w:w="3740" w:type="pct"/>
            <w:gridSpan w:val="6"/>
            <w:tcBorders>
              <w:top w:val="single" w:color="auto" w:sz="4" w:space="0"/>
              <w:bottom w:val="single" w:color="auto" w:sz="4" w:space="0"/>
            </w:tcBorders>
            <w:vAlign w:val="center"/>
          </w:tcPr>
          <w:p>
            <w:pPr>
              <w:keepNext w:val="0"/>
              <w:keepLines w:val="0"/>
              <w:pageBreakBefore w:val="0"/>
              <w:widowControl/>
              <w:kinsoku/>
              <w:wordWrap/>
              <w:overflowPunct/>
              <w:topLinePunct w:val="0"/>
              <w:bidi w:val="0"/>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专利数量（ln）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工具变量第二阶段回归结果</w:t>
            </w:r>
          </w:p>
        </w:tc>
        <w:tc>
          <w:tcPr>
            <w:tcW w:w="188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关税IV</w:t>
            </w:r>
          </w:p>
        </w:tc>
        <w:tc>
          <w:tcPr>
            <w:tcW w:w="1859" w:type="pct"/>
            <w:gridSpan w:val="3"/>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美国机器人IV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剔除企业类型</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机器人企业</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经销商</w:t>
            </w:r>
          </w:p>
        </w:tc>
        <w:tc>
          <w:tcPr>
            <w:tcW w:w="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加工贸易</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机器人企业</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经销商</w:t>
            </w:r>
          </w:p>
        </w:tc>
        <w:tc>
          <w:tcPr>
            <w:tcW w:w="603" w:type="pct"/>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加工贸易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解释变量</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603" w:type="pct"/>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top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机器人存量（ln）</w:t>
            </w:r>
          </w:p>
        </w:tc>
        <w:tc>
          <w:tcPr>
            <w:tcW w:w="660" w:type="pct"/>
            <w:tcBorders>
              <w:top w:val="single" w:color="auto" w:sz="4" w:space="0"/>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0.157***</w:t>
            </w:r>
          </w:p>
        </w:tc>
        <w:tc>
          <w:tcPr>
            <w:tcW w:w="576" w:type="pct"/>
            <w:tcBorders>
              <w:top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0.157***</w:t>
            </w:r>
          </w:p>
        </w:tc>
        <w:tc>
          <w:tcPr>
            <w:tcW w:w="644" w:type="pct"/>
            <w:tcBorders>
              <w:top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0.157***</w:t>
            </w:r>
          </w:p>
        </w:tc>
        <w:tc>
          <w:tcPr>
            <w:tcW w:w="655" w:type="pct"/>
            <w:tcBorders>
              <w:top w:val="single" w:color="auto" w:sz="4" w:space="0"/>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0.603***</w:t>
            </w:r>
          </w:p>
        </w:tc>
        <w:tc>
          <w:tcPr>
            <w:tcW w:w="601" w:type="pct"/>
            <w:tcBorders>
              <w:top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0.603***</w:t>
            </w:r>
          </w:p>
        </w:tc>
        <w:tc>
          <w:tcPr>
            <w:tcW w:w="603" w:type="pct"/>
            <w:tcBorders>
              <w:top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0.603***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(3.73)</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(3.73)</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(3.73)</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(7.68)</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(7.68)</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(7.68)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企业及行业控制变量</w:t>
            </w: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固定效应</w:t>
            </w:r>
          </w:p>
        </w:tc>
        <w:tc>
          <w:tcPr>
            <w:tcW w:w="660" w:type="pct"/>
            <w:tcBorders>
              <w:top w:val="nil"/>
              <w:left w:val="single" w:color="auto" w:sz="4" w:space="0"/>
              <w:bottom w:val="nil"/>
            </w:tcBorders>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c>
          <w:tcPr>
            <w:tcW w:w="576" w:type="pct"/>
            <w:tcBorders>
              <w:top w:val="nil"/>
              <w:bottom w:val="nil"/>
            </w:tcBorders>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c>
          <w:tcPr>
            <w:tcW w:w="644" w:type="pct"/>
            <w:tcBorders>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c>
          <w:tcPr>
            <w:tcW w:w="655" w:type="pct"/>
            <w:tcBorders>
              <w:lef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c>
          <w:tcPr>
            <w:tcW w:w="601" w:type="pct"/>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c>
          <w:tcPr>
            <w:tcW w:w="603" w:type="pct"/>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企业;地区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sz w:val="20"/>
                <w:szCs w:val="20"/>
              </w:rPr>
              <w:t>观测值</w:t>
            </w: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251122</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251113</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251107</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1768229</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1768194</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1768148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i/>
                <w:iCs/>
                <w:sz w:val="20"/>
                <w:szCs w:val="20"/>
              </w:rPr>
              <w:t>F</w:t>
            </w:r>
            <w:r>
              <w:rPr>
                <w:rFonts w:hint="eastAsia" w:ascii="仿宋" w:hAnsi="仿宋" w:eastAsia="仿宋" w:cs="仿宋"/>
                <w:sz w:val="20"/>
                <w:szCs w:val="20"/>
              </w:rPr>
              <w:t>统计量</w:t>
            </w: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3.183</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3.182</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3.182</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258.860</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258.889</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258.868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sz w:val="20"/>
                <w:szCs w:val="20"/>
              </w:rPr>
              <w:t>弱工具变量KP统计量</w:t>
            </w: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117.254</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117.254</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117.253</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174.585</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174.583</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174.583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sz w:val="20"/>
                <w:szCs w:val="20"/>
              </w:rPr>
              <w:t>不可识别KP统计量</w:t>
            </w:r>
          </w:p>
        </w:tc>
        <w:tc>
          <w:tcPr>
            <w:tcW w:w="660" w:type="pct"/>
            <w:tcBorders>
              <w:top w:val="nil"/>
              <w:left w:val="single" w:color="auto" w:sz="4" w:space="0"/>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184.839</w:t>
            </w:r>
          </w:p>
        </w:tc>
        <w:tc>
          <w:tcPr>
            <w:tcW w:w="576" w:type="pct"/>
            <w:tcBorders>
              <w:top w:val="nil"/>
              <w:bottom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184.839</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184.839</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222.711</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222.708</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0"/>
                <w:szCs w:val="20"/>
              </w:rPr>
            </w:pPr>
            <w:r>
              <w:rPr>
                <w:rFonts w:hint="eastAsia" w:ascii="仿宋" w:hAnsi="仿宋" w:eastAsia="仿宋" w:cs="仿宋"/>
                <w:sz w:val="20"/>
                <w:szCs w:val="20"/>
              </w:rPr>
              <w:t>222.708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59" w:type="pct"/>
            <w:tcBorders>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sz w:val="20"/>
                <w:szCs w:val="20"/>
              </w:rPr>
              <w:t>不可识别统计量</w:t>
            </w:r>
            <w:r>
              <w:rPr>
                <w:rFonts w:hint="eastAsia" w:ascii="仿宋" w:hAnsi="仿宋" w:eastAsia="仿宋" w:cs="仿宋"/>
                <w:i/>
                <w:iCs/>
                <w:sz w:val="20"/>
                <w:szCs w:val="20"/>
              </w:rPr>
              <w:t>P</w:t>
            </w:r>
            <w:r>
              <w:rPr>
                <w:rFonts w:hint="eastAsia" w:ascii="仿宋" w:hAnsi="仿宋" w:eastAsia="仿宋" w:cs="仿宋"/>
                <w:sz w:val="20"/>
                <w:szCs w:val="20"/>
              </w:rPr>
              <w:t>值</w:t>
            </w:r>
          </w:p>
        </w:tc>
        <w:tc>
          <w:tcPr>
            <w:tcW w:w="660" w:type="pct"/>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c>
          <w:tcPr>
            <w:tcW w:w="576" w:type="pct"/>
            <w:tcBorders>
              <w:top w:val="nil"/>
              <w:bottom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c>
          <w:tcPr>
            <w:tcW w:w="644" w:type="pct"/>
            <w:tcBorders>
              <w:right w:val="single" w:color="auto" w:sz="4" w:space="0"/>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c>
          <w:tcPr>
            <w:tcW w:w="655" w:type="pct"/>
            <w:tcBorders>
              <w:lef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c>
          <w:tcPr>
            <w:tcW w:w="601"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c>
          <w:tcPr>
            <w:tcW w:w="603" w:type="pct"/>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kern w:val="0"/>
                <w:sz w:val="20"/>
                <w:szCs w:val="20"/>
              </w:rPr>
            </w:pPr>
            <w:r>
              <w:rPr>
                <w:rFonts w:hint="eastAsia" w:ascii="仿宋" w:hAnsi="仿宋" w:eastAsia="仿宋" w:cs="仿宋"/>
                <w:kern w:val="0"/>
                <w:sz w:val="20"/>
                <w:szCs w:val="20"/>
              </w:rPr>
              <w:t>0.000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z w:val="18"/>
          <w:szCs w:val="18"/>
        </w:rPr>
        <w:t>注：1.（1）</w:t>
      </w:r>
      <w:r>
        <w:rPr>
          <w:rFonts w:hint="eastAsia" w:ascii="仿宋" w:hAnsi="仿宋" w:eastAsia="仿宋" w:cs="仿宋"/>
          <w:sz w:val="18"/>
          <w:szCs w:val="18"/>
          <w:lang w:eastAsia="zh-CN"/>
        </w:rPr>
        <w:t>—</w:t>
      </w:r>
      <w:r>
        <w:rPr>
          <w:rFonts w:hint="eastAsia" w:ascii="仿宋" w:hAnsi="仿宋" w:eastAsia="仿宋" w:cs="仿宋"/>
          <w:sz w:val="18"/>
          <w:szCs w:val="18"/>
        </w:rPr>
        <w:t>（3）列样本期间为2000</w:t>
      </w:r>
      <w:r>
        <w:rPr>
          <w:rFonts w:hint="eastAsia" w:ascii="仿宋" w:hAnsi="仿宋" w:eastAsia="仿宋" w:cs="仿宋"/>
          <w:sz w:val="18"/>
          <w:szCs w:val="18"/>
          <w:lang w:eastAsia="zh-CN"/>
        </w:rPr>
        <w:t>—</w:t>
      </w:r>
      <w:r>
        <w:rPr>
          <w:rFonts w:hint="eastAsia" w:ascii="仿宋" w:hAnsi="仿宋" w:eastAsia="仿宋" w:cs="仿宋"/>
          <w:sz w:val="18"/>
          <w:szCs w:val="18"/>
        </w:rPr>
        <w:t>2003年。2.（4）</w:t>
      </w:r>
      <w:r>
        <w:rPr>
          <w:rFonts w:hint="eastAsia" w:ascii="仿宋" w:hAnsi="仿宋" w:eastAsia="仿宋" w:cs="仿宋"/>
          <w:sz w:val="18"/>
          <w:szCs w:val="18"/>
          <w:lang w:eastAsia="zh-CN"/>
        </w:rPr>
        <w:t>—</w:t>
      </w:r>
      <w:r>
        <w:rPr>
          <w:rFonts w:hint="eastAsia" w:ascii="仿宋" w:hAnsi="仿宋" w:eastAsia="仿宋" w:cs="仿宋"/>
          <w:sz w:val="18"/>
          <w:szCs w:val="18"/>
        </w:rPr>
        <w:t>（6）列样本期间为2004</w:t>
      </w:r>
      <w:r>
        <w:rPr>
          <w:rFonts w:hint="eastAsia" w:ascii="仿宋" w:hAnsi="仿宋" w:eastAsia="仿宋" w:cs="仿宋"/>
          <w:sz w:val="18"/>
          <w:szCs w:val="18"/>
          <w:lang w:eastAsia="zh-CN"/>
        </w:rPr>
        <w:t>—</w:t>
      </w:r>
      <w:r>
        <w:rPr>
          <w:rFonts w:hint="eastAsia" w:ascii="仿宋" w:hAnsi="仿宋" w:eastAsia="仿宋" w:cs="仿宋"/>
          <w:sz w:val="18"/>
          <w:szCs w:val="18"/>
        </w:rPr>
        <w:t>2013年。3.（1）</w:t>
      </w:r>
      <w:r>
        <w:rPr>
          <w:rFonts w:hint="eastAsia" w:ascii="仿宋" w:hAnsi="仿宋" w:eastAsia="仿宋" w:cs="仿宋"/>
          <w:sz w:val="18"/>
          <w:szCs w:val="18"/>
          <w:lang w:eastAsia="zh-CN"/>
        </w:rPr>
        <w:t>—</w:t>
      </w:r>
      <w:r>
        <w:rPr>
          <w:rFonts w:hint="eastAsia" w:ascii="仿宋" w:hAnsi="仿宋" w:eastAsia="仿宋" w:cs="仿宋"/>
          <w:sz w:val="18"/>
          <w:szCs w:val="18"/>
        </w:rPr>
        <w:t>（6）列依次剔除机器人生产企业（Fan</w:t>
      </w:r>
      <w:r>
        <w:rPr>
          <w:rFonts w:hint="eastAsia" w:ascii="仿宋" w:hAnsi="仿宋" w:eastAsia="仿宋" w:cs="仿宋"/>
          <w:sz w:val="18"/>
          <w:szCs w:val="18"/>
          <w:lang w:val="en-US" w:eastAsia="zh-CN"/>
        </w:rPr>
        <w:t xml:space="preserve"> et al.</w:t>
      </w:r>
      <w:r>
        <w:rPr>
          <w:rFonts w:hint="eastAsia" w:ascii="仿宋" w:hAnsi="仿宋" w:eastAsia="仿宋" w:cs="仿宋"/>
          <w:sz w:val="18"/>
          <w:szCs w:val="18"/>
        </w:rPr>
        <w:t>，2021）、贸易经销商（参考Yu（2015），将企业名称中带有“进口”“出口”“贸易”字眼的企业视为贸易中间商）以及加工贸易下的机器人进口观测值。</w:t>
      </w:r>
      <w:bookmarkStart w:id="1" w:name="_Hlk113008893"/>
    </w:p>
    <w:bookmarkEnd w:id="1"/>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 xml:space="preserve">5  人机协同的稳健性：高技能职工规模检验 </w:t>
      </w:r>
    </w:p>
    <w:tbl>
      <w:tblPr>
        <w:tblStyle w:val="12"/>
        <w:tblW w:w="5000" w:type="pct"/>
        <w:jc w:val="center"/>
        <w:tblLayout w:type="autofit"/>
        <w:tblCellMar>
          <w:top w:w="0" w:type="dxa"/>
          <w:left w:w="75" w:type="dxa"/>
          <w:bottom w:w="0" w:type="dxa"/>
          <w:right w:w="75" w:type="dxa"/>
        </w:tblCellMar>
      </w:tblPr>
      <w:tblGrid>
        <w:gridCol w:w="3979"/>
        <w:gridCol w:w="1224"/>
        <w:gridCol w:w="1136"/>
        <w:gridCol w:w="1310"/>
        <w:gridCol w:w="1527"/>
      </w:tblGrid>
      <w:tr>
        <w:trPr>
          <w:jc w:val="center"/>
        </w:trPr>
        <w:tc>
          <w:tcPr>
            <w:tcW w:w="2168" w:type="pct"/>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被解释变量</w:t>
            </w:r>
          </w:p>
        </w:tc>
        <w:tc>
          <w:tcPr>
            <w:tcW w:w="2832" w:type="pct"/>
            <w:gridSpan w:val="4"/>
            <w:tcBorders>
              <w:top w:val="single" w:color="auto" w:sz="4" w:space="0"/>
              <w:left w:val="single" w:color="auto" w:sz="4" w:space="0"/>
              <w:bottom w:val="single" w:color="auto" w:sz="4" w:space="0"/>
              <w:right w:val="nil"/>
            </w:tcBorders>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专利数量</w:t>
            </w:r>
            <w:r>
              <w:rPr>
                <w:rFonts w:hint="eastAsia" w:ascii="仿宋" w:hAnsi="仿宋" w:eastAsia="仿宋" w:cs="仿宋"/>
                <w:kern w:val="0"/>
                <w:sz w:val="21"/>
                <w:szCs w:val="21"/>
              </w:rPr>
              <w:t>（ln）</w:t>
            </w:r>
          </w:p>
        </w:tc>
      </w:tr>
      <w:tr>
        <w:tblPrEx>
          <w:tblCellMar>
            <w:top w:w="0" w:type="dxa"/>
            <w:left w:w="75" w:type="dxa"/>
            <w:bottom w:w="0" w:type="dxa"/>
            <w:right w:w="75" w:type="dxa"/>
          </w:tblCellMar>
        </w:tblPrEx>
        <w:trPr>
          <w:jc w:val="center"/>
        </w:trPr>
        <w:tc>
          <w:tcPr>
            <w:tcW w:w="2168" w:type="pct"/>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面板固定效应或工具变量第二阶段结果</w:t>
            </w:r>
          </w:p>
        </w:tc>
        <w:tc>
          <w:tcPr>
            <w:tcW w:w="1286"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面板固定效应</w:t>
            </w:r>
          </w:p>
        </w:tc>
        <w:tc>
          <w:tcPr>
            <w:tcW w:w="1546" w:type="pct"/>
            <w:gridSpan w:val="2"/>
            <w:tcBorders>
              <w:top w:val="single" w:color="auto" w:sz="4" w:space="0"/>
              <w:left w:val="single" w:color="auto" w:sz="4" w:space="0"/>
              <w:bottom w:val="single" w:color="auto" w:sz="4" w:space="0"/>
              <w:right w:val="nil"/>
            </w:tcBorders>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美国机器人IV</w:t>
            </w:r>
          </w:p>
        </w:tc>
      </w:tr>
      <w:tr>
        <w:tblPrEx>
          <w:tblCellMar>
            <w:top w:w="0" w:type="dxa"/>
            <w:left w:w="75" w:type="dxa"/>
            <w:bottom w:w="0" w:type="dxa"/>
            <w:right w:w="75" w:type="dxa"/>
          </w:tblCellMar>
        </w:tblPrEx>
        <w:trPr>
          <w:jc w:val="center"/>
        </w:trPr>
        <w:tc>
          <w:tcPr>
            <w:tcW w:w="2168" w:type="pct"/>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解释变量</w:t>
            </w:r>
          </w:p>
        </w:tc>
        <w:tc>
          <w:tcPr>
            <w:tcW w:w="667"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p>
        </w:tc>
        <w:tc>
          <w:tcPr>
            <w:tcW w:w="619"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p>
        </w:tc>
        <w:tc>
          <w:tcPr>
            <w:tcW w:w="71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(3) </w:t>
            </w:r>
          </w:p>
        </w:tc>
        <w:tc>
          <w:tcPr>
            <w:tcW w:w="832" w:type="pct"/>
            <w:tcBorders>
              <w:top w:val="single" w:color="auto" w:sz="4" w:space="0"/>
              <w:left w:val="single" w:color="auto" w:sz="4" w:space="0"/>
              <w:bottom w:val="single" w:color="auto" w:sz="4" w:space="0"/>
              <w:right w:val="nil"/>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(4) </w:t>
            </w:r>
          </w:p>
        </w:tc>
      </w:tr>
      <w:tr>
        <w:tblPrEx>
          <w:tblCellMar>
            <w:top w:w="0" w:type="dxa"/>
            <w:left w:w="75" w:type="dxa"/>
            <w:bottom w:w="0" w:type="dxa"/>
            <w:right w:w="75" w:type="dxa"/>
          </w:tblCellMar>
        </w:tblPrEx>
        <w:trPr>
          <w:jc w:val="center"/>
        </w:trPr>
        <w:tc>
          <w:tcPr>
            <w:tcW w:w="2168" w:type="pct"/>
            <w:tcBorders>
              <w:top w:val="single" w:color="auto" w:sz="4" w:space="0"/>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w:t>
            </w:r>
            <w:r>
              <w:rPr>
                <w:rFonts w:hint="eastAsia" w:ascii="仿宋" w:hAnsi="仿宋" w:eastAsia="仿宋" w:cs="仿宋"/>
                <w:sz w:val="21"/>
                <w:szCs w:val="21"/>
                <w:lang w:val="en-US" w:eastAsia="zh-CN"/>
              </w:rPr>
              <w:t>×</w:t>
            </w:r>
            <w:r>
              <w:rPr>
                <w:rFonts w:hint="eastAsia" w:ascii="仿宋" w:hAnsi="仿宋" w:eastAsia="仿宋" w:cs="仿宋"/>
                <w:sz w:val="21"/>
                <w:szCs w:val="21"/>
              </w:rPr>
              <w:t>高技能职工数量（ln）</w:t>
            </w:r>
          </w:p>
        </w:tc>
        <w:tc>
          <w:tcPr>
            <w:tcW w:w="667" w:type="pct"/>
            <w:tcBorders>
              <w:top w:val="single" w:color="auto" w:sz="4" w:space="0"/>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0.007***</w:t>
            </w:r>
          </w:p>
        </w:tc>
        <w:tc>
          <w:tcPr>
            <w:tcW w:w="619" w:type="pct"/>
            <w:tcBorders>
              <w:top w:val="single" w:color="auto" w:sz="4" w:space="0"/>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0.006**</w:t>
            </w:r>
          </w:p>
        </w:tc>
        <w:tc>
          <w:tcPr>
            <w:tcW w:w="714" w:type="pct"/>
            <w:tcBorders>
              <w:top w:val="single" w:color="auto" w:sz="4" w:space="0"/>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0.038**</w:t>
            </w:r>
          </w:p>
        </w:tc>
        <w:tc>
          <w:tcPr>
            <w:tcW w:w="832" w:type="pct"/>
            <w:tcBorders>
              <w:top w:val="single" w:color="auto" w:sz="4" w:space="0"/>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0.059***</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(3.34)</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(2.34)</w:t>
            </w: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(2.56)</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(6.49)</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高级工数量（ln）</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0.036***</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0.023***</w:t>
            </w: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0.050***</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0.018***</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(34.87)</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(19.13)</w:t>
            </w: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(5.07)</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(13.94)</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0.004</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-0.002</w:t>
            </w: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0.034***</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-0.078***</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(1.24)</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(-0.44)</w:t>
            </w: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(23.53)</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(-2.77)</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企业控制变量</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c>
          <w:tcPr>
            <w:tcW w:w="714"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832" w:type="pct"/>
            <w:tcBorders>
              <w:top w:val="nil"/>
              <w:left w:val="nil"/>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kern w:val="0"/>
                <w:sz w:val="21"/>
                <w:szCs w:val="21"/>
              </w:rPr>
              <w:t>固定效应</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行业;地区</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行业;地区</w:t>
            </w:r>
          </w:p>
        </w:tc>
        <w:tc>
          <w:tcPr>
            <w:tcW w:w="714"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行业;地区</w:t>
            </w:r>
          </w:p>
        </w:tc>
        <w:tc>
          <w:tcPr>
            <w:tcW w:w="832" w:type="pct"/>
            <w:tcBorders>
              <w:top w:val="nil"/>
              <w:left w:val="nil"/>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行业;地区</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观测值</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234,643</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131,658</w:t>
            </w:r>
          </w:p>
        </w:tc>
        <w:tc>
          <w:tcPr>
            <w:tcW w:w="714"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134234</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131658</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i/>
                <w:iCs/>
                <w:sz w:val="21"/>
                <w:szCs w:val="21"/>
              </w:rPr>
              <w:t>F</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422.5</w:t>
            </w: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168.6</w:t>
            </w:r>
          </w:p>
        </w:tc>
        <w:tc>
          <w:tcPr>
            <w:tcW w:w="714"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282.879</w:t>
            </w:r>
          </w:p>
        </w:tc>
        <w:tc>
          <w:tcPr>
            <w:tcW w:w="832" w:type="pct"/>
            <w:tcBorders>
              <w:top w:val="nil"/>
              <w:left w:val="nil"/>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161.451</w:t>
            </w:r>
          </w:p>
        </w:tc>
      </w:tr>
      <w:tr>
        <w:tblPrEx>
          <w:tblCellMar>
            <w:top w:w="0" w:type="dxa"/>
            <w:left w:w="75" w:type="dxa"/>
            <w:bottom w:w="0" w:type="dxa"/>
            <w:right w:w="75" w:type="dxa"/>
          </w:tblCellMar>
        </w:tblPrEx>
        <w:trPr>
          <w:jc w:val="center"/>
        </w:trPr>
        <w:tc>
          <w:tcPr>
            <w:tcW w:w="2168" w:type="pct"/>
            <w:tcBorders>
              <w:top w:val="nil"/>
              <w:left w:val="nil"/>
              <w:bottom w:val="nil"/>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弱工具变量KP统计量</w:t>
            </w:r>
          </w:p>
        </w:tc>
        <w:tc>
          <w:tcPr>
            <w:tcW w:w="667" w:type="pct"/>
            <w:tcBorders>
              <w:top w:val="nil"/>
              <w:left w:val="single" w:color="auto" w:sz="4" w:space="0"/>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619" w:type="pct"/>
            <w:tcBorders>
              <w:top w:val="nil"/>
              <w:left w:val="nil"/>
              <w:bottom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714" w:type="pct"/>
            <w:tcBorders>
              <w:top w:val="nil"/>
              <w:left w:val="single" w:color="auto" w:sz="4" w:space="0"/>
              <w:bottom w:val="nil"/>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177.388</w:t>
            </w:r>
          </w:p>
        </w:tc>
        <w:tc>
          <w:tcPr>
            <w:tcW w:w="832" w:type="pct"/>
            <w:tcBorders>
              <w:top w:val="nil"/>
              <w:left w:val="nil"/>
              <w:bottom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57.937</w:t>
            </w:r>
          </w:p>
        </w:tc>
      </w:tr>
      <w:tr>
        <w:tblPrEx>
          <w:tblCellMar>
            <w:top w:w="0" w:type="dxa"/>
            <w:left w:w="75" w:type="dxa"/>
            <w:bottom w:w="0" w:type="dxa"/>
            <w:right w:w="75" w:type="dxa"/>
          </w:tblCellMar>
        </w:tblPrEx>
        <w:trPr>
          <w:jc w:val="center"/>
        </w:trPr>
        <w:tc>
          <w:tcPr>
            <w:tcW w:w="2168" w:type="pct"/>
            <w:tcBorders>
              <w:top w:val="nil"/>
              <w:left w:val="nil"/>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不可识别KP统计量</w:t>
            </w:r>
          </w:p>
        </w:tc>
        <w:tc>
          <w:tcPr>
            <w:tcW w:w="667" w:type="pct"/>
            <w:tcBorders>
              <w:top w:val="nil"/>
              <w:left w:val="single" w:color="auto" w:sz="4" w:space="0"/>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619" w:type="pct"/>
            <w:tcBorders>
              <w:top w:val="nil"/>
              <w:left w:val="nil"/>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714" w:type="pct"/>
            <w:tcBorders>
              <w:top w:val="nil"/>
              <w:left w:val="single" w:color="auto" w:sz="4" w:space="0"/>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345.197</w:t>
            </w:r>
          </w:p>
        </w:tc>
        <w:tc>
          <w:tcPr>
            <w:tcW w:w="832" w:type="pct"/>
            <w:tcBorders>
              <w:top w:val="nil"/>
              <w:left w:val="nil"/>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117.476</w:t>
            </w:r>
          </w:p>
        </w:tc>
      </w:tr>
      <w:tr>
        <w:tblPrEx>
          <w:tblCellMar>
            <w:top w:w="0" w:type="dxa"/>
            <w:left w:w="75" w:type="dxa"/>
            <w:bottom w:w="0" w:type="dxa"/>
            <w:right w:w="75" w:type="dxa"/>
          </w:tblCellMar>
        </w:tblPrEx>
        <w:trPr>
          <w:jc w:val="center"/>
        </w:trPr>
        <w:tc>
          <w:tcPr>
            <w:tcW w:w="2168" w:type="pc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不可识别统计量</w:t>
            </w:r>
            <w:r>
              <w:rPr>
                <w:rFonts w:hint="eastAsia" w:ascii="仿宋" w:hAnsi="仿宋" w:eastAsia="仿宋" w:cs="仿宋"/>
                <w:i/>
                <w:iCs/>
                <w:sz w:val="21"/>
                <w:szCs w:val="21"/>
              </w:rPr>
              <w:t>P</w:t>
            </w:r>
            <w:r>
              <w:rPr>
                <w:rFonts w:hint="eastAsia" w:ascii="仿宋" w:hAnsi="仿宋" w:eastAsia="仿宋" w:cs="仿宋"/>
                <w:sz w:val="21"/>
                <w:szCs w:val="21"/>
              </w:rPr>
              <w:t>值</w:t>
            </w:r>
          </w:p>
        </w:tc>
        <w:tc>
          <w:tcPr>
            <w:tcW w:w="667" w:type="pct"/>
            <w:tcBorders>
              <w:top w:val="nil"/>
              <w:left w:val="single" w:color="auto" w:sz="4" w:space="0"/>
              <w:bottom w:val="single" w:color="auto" w:sz="4" w:space="0"/>
              <w:right w:val="nil"/>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619" w:type="pct"/>
            <w:tcBorders>
              <w:top w:val="nil"/>
              <w:left w:val="nil"/>
              <w:bottom w:val="single" w:color="auto" w:sz="4" w:space="0"/>
              <w:right w:val="single" w:color="auto" w:sz="4" w:space="0"/>
            </w:tcBorders>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p>
        </w:tc>
        <w:tc>
          <w:tcPr>
            <w:tcW w:w="714" w:type="pct"/>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0.000</w:t>
            </w:r>
          </w:p>
        </w:tc>
        <w:tc>
          <w:tcPr>
            <w:tcW w:w="832" w:type="pct"/>
            <w:tcBorders>
              <w:top w:val="nil"/>
              <w:left w:val="nil"/>
              <w:bottom w:val="single" w:color="auto" w:sz="4" w:space="0"/>
              <w:right w:val="nil"/>
            </w:tcBorders>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0.000</w:t>
            </w:r>
          </w:p>
        </w:tc>
      </w:tr>
    </w:tbl>
    <w:p>
      <w:pPr>
        <w:keepNext w:val="0"/>
        <w:keepLines w:val="0"/>
        <w:pageBreakBefore w:val="0"/>
        <w:widowControl/>
        <w:kinsoku/>
        <w:wordWrap/>
        <w:overflowPunct/>
        <w:topLinePunct w:val="0"/>
        <w:bidi w:val="0"/>
        <w:spacing w:line="360" w:lineRule="auto"/>
        <w:rPr>
          <w:rFonts w:hint="eastAsia" w:ascii="仿宋" w:hAnsi="仿宋" w:eastAsia="仿宋" w:cs="仿宋"/>
          <w:sz w:val="18"/>
          <w:szCs w:val="18"/>
        </w:rPr>
      </w:pPr>
      <w:r>
        <w:rPr>
          <w:rFonts w:hint="eastAsia" w:ascii="仿宋" w:hAnsi="仿宋" w:eastAsia="仿宋" w:cs="仿宋"/>
          <w:sz w:val="18"/>
          <w:szCs w:val="18"/>
        </w:rPr>
        <w:t>注：由于职工结构数据仅存在于2004年，因此样本期间为2004年。</w:t>
      </w:r>
    </w:p>
    <w:p>
      <w:pPr>
        <w:keepNext w:val="0"/>
        <w:keepLines w:val="0"/>
        <w:pageBreakBefore w:val="0"/>
        <w:kinsoku/>
        <w:wordWrap/>
        <w:overflowPunct/>
        <w:topLinePunct w:val="0"/>
        <w:bidi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bCs/>
          <w:sz w:val="22"/>
          <w:szCs w:val="22"/>
        </w:rPr>
      </w:pPr>
    </w:p>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bCs/>
          <w:sz w:val="22"/>
          <w:szCs w:val="22"/>
        </w:rPr>
      </w:pPr>
      <w:bookmarkStart w:id="2" w:name="_GoBack"/>
      <w:bookmarkEnd w:id="2"/>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6  资机协同的稳健性：面板、滞后工具变量检验</w:t>
      </w:r>
    </w:p>
    <w:tbl>
      <w:tblPr>
        <w:tblStyle w:val="12"/>
        <w:tblW w:w="939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7"/>
        <w:gridCol w:w="1242"/>
        <w:gridCol w:w="1230"/>
        <w:gridCol w:w="1315"/>
        <w:gridCol w:w="120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4397"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被解释变量</w:t>
            </w:r>
          </w:p>
        </w:tc>
        <w:tc>
          <w:tcPr>
            <w:tcW w:w="4996"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专利数量（ln）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4397"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其他资本品变量</w:t>
            </w:r>
          </w:p>
        </w:tc>
        <w:tc>
          <w:tcPr>
            <w:tcW w:w="24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固定资产</w:t>
            </w:r>
          </w:p>
        </w:tc>
        <w:tc>
          <w:tcPr>
            <w:tcW w:w="2524"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其他资本品进口额</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4397"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面板固定效应/工具变量第二阶段回归结果</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面板</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滞后机器人IV</w:t>
            </w:r>
          </w:p>
        </w:tc>
        <w:tc>
          <w:tcPr>
            <w:tcW w:w="13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面板</w:t>
            </w:r>
          </w:p>
        </w:tc>
        <w:tc>
          <w:tcPr>
            <w:tcW w:w="1209"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滞后机器人IV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4397"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解释变量</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p>
        </w:tc>
        <w:tc>
          <w:tcPr>
            <w:tcW w:w="13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(3)</w:t>
            </w:r>
          </w:p>
        </w:tc>
        <w:tc>
          <w:tcPr>
            <w:tcW w:w="1209"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机器人存量（ln）*固定资产（ln）</w:t>
            </w:r>
          </w:p>
        </w:tc>
        <w:tc>
          <w:tcPr>
            <w:tcW w:w="1242" w:type="dxa"/>
            <w:tcBorders>
              <w:top w:val="single" w:color="auto" w:sz="4" w:space="0"/>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0.005***</w:t>
            </w:r>
          </w:p>
        </w:tc>
        <w:tc>
          <w:tcPr>
            <w:tcW w:w="1230"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0.005***</w:t>
            </w:r>
          </w:p>
        </w:tc>
        <w:tc>
          <w:tcPr>
            <w:tcW w:w="1315" w:type="dxa"/>
            <w:tcBorders>
              <w:top w:val="single" w:color="auto" w:sz="4" w:space="0"/>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42"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(6.43)</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(5.45)</w:t>
            </w:r>
          </w:p>
        </w:tc>
        <w:tc>
          <w:tcPr>
            <w:tcW w:w="1315"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机器人存量（ln）*其他资本品累积进口额（ln）</w:t>
            </w:r>
          </w:p>
        </w:tc>
        <w:tc>
          <w:tcPr>
            <w:tcW w:w="1242"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315"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0.002***</w:t>
            </w:r>
          </w:p>
        </w:tc>
        <w:tc>
          <w:tcPr>
            <w:tcW w:w="1209"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42"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315"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(2.75)</w:t>
            </w:r>
          </w:p>
        </w:tc>
        <w:tc>
          <w:tcPr>
            <w:tcW w:w="1209"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(1.82)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固定资产（ln）</w:t>
            </w:r>
          </w:p>
        </w:tc>
        <w:tc>
          <w:tcPr>
            <w:tcW w:w="1242" w:type="dxa"/>
            <w:tcBorders>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0.008***</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0.008***</w:t>
            </w:r>
          </w:p>
        </w:tc>
        <w:tc>
          <w:tcPr>
            <w:tcW w:w="1315" w:type="dxa"/>
            <w:tcBorders>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tcBorders>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42"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(22.33)</w:t>
            </w:r>
          </w:p>
        </w:tc>
        <w:tc>
          <w:tcPr>
            <w:tcW w:w="1230"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(22.34)</w:t>
            </w:r>
          </w:p>
        </w:tc>
        <w:tc>
          <w:tcPr>
            <w:tcW w:w="1315"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其他资本品累积进口额（ln）</w:t>
            </w:r>
          </w:p>
        </w:tc>
        <w:tc>
          <w:tcPr>
            <w:tcW w:w="1242" w:type="dxa"/>
            <w:tcBorders>
              <w:top w:val="single" w:color="auto" w:sz="4" w:space="0"/>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315" w:type="dxa"/>
            <w:tcBorders>
              <w:top w:val="single" w:color="auto" w:sz="4" w:space="0"/>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0.016***</w:t>
            </w:r>
          </w:p>
        </w:tc>
        <w:tc>
          <w:tcPr>
            <w:tcW w:w="1209" w:type="dxa"/>
            <w:tcBorders>
              <w:top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42" w:type="dxa"/>
            <w:tcBorders>
              <w:top w:val="nil"/>
              <w:left w:val="single" w:color="auto" w:sz="4" w:space="0"/>
              <w:bottom w:val="nil"/>
              <w:right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315" w:type="dxa"/>
            <w:tcBorders>
              <w:top w:val="nil"/>
              <w:left w:val="single" w:color="auto" w:sz="4" w:space="0"/>
              <w:bottom w:val="nil"/>
              <w:right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(38.26)</w:t>
            </w:r>
          </w:p>
        </w:tc>
        <w:tc>
          <w:tcPr>
            <w:tcW w:w="1209" w:type="dxa"/>
            <w:tcBorders>
              <w:top w:val="nil"/>
              <w:left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(38.07)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w:t>
            </w:r>
          </w:p>
        </w:tc>
        <w:tc>
          <w:tcPr>
            <w:tcW w:w="1242"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-0.040***</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-0.030***</w:t>
            </w:r>
          </w:p>
        </w:tc>
        <w:tc>
          <w:tcPr>
            <w:tcW w:w="1315"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-0.014</w:t>
            </w:r>
          </w:p>
        </w:tc>
        <w:tc>
          <w:tcPr>
            <w:tcW w:w="1209"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1242"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(-4.52)</w:t>
            </w:r>
          </w:p>
        </w:tc>
        <w:tc>
          <w:tcPr>
            <w:tcW w:w="1230"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(-2.97)</w:t>
            </w:r>
          </w:p>
        </w:tc>
        <w:tc>
          <w:tcPr>
            <w:tcW w:w="1315"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(-1.21)</w:t>
            </w:r>
          </w:p>
        </w:tc>
        <w:tc>
          <w:tcPr>
            <w:tcW w:w="1209" w:type="dxa"/>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企业及行业控制变量</w:t>
            </w:r>
          </w:p>
        </w:tc>
        <w:tc>
          <w:tcPr>
            <w:tcW w:w="1242" w:type="dxa"/>
            <w:tcBorders>
              <w:top w:val="single" w:color="auto" w:sz="4" w:space="0"/>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c>
          <w:tcPr>
            <w:tcW w:w="1230"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c>
          <w:tcPr>
            <w:tcW w:w="1315" w:type="dxa"/>
            <w:tcBorders>
              <w:top w:val="single" w:color="auto" w:sz="4" w:space="0"/>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c>
          <w:tcPr>
            <w:tcW w:w="1209" w:type="dxa"/>
            <w:tcBorders>
              <w:top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固定效应</w:t>
            </w:r>
          </w:p>
        </w:tc>
        <w:tc>
          <w:tcPr>
            <w:tcW w:w="1242"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1315"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1209"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观测值</w:t>
            </w:r>
          </w:p>
        </w:tc>
        <w:tc>
          <w:tcPr>
            <w:tcW w:w="1242" w:type="dxa"/>
            <w:tcBorders>
              <w:top w:val="nil"/>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2,050,024</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2050024</w:t>
            </w:r>
          </w:p>
        </w:tc>
        <w:tc>
          <w:tcPr>
            <w:tcW w:w="1315" w:type="dxa"/>
            <w:tcBorders>
              <w:top w:val="nil"/>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2,050,024</w:t>
            </w:r>
          </w:p>
        </w:tc>
        <w:tc>
          <w:tcPr>
            <w:tcW w:w="1209" w:type="dxa"/>
            <w:tcBorders>
              <w:top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2050024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i/>
                <w:iCs/>
                <w:sz w:val="21"/>
                <w:szCs w:val="21"/>
              </w:rPr>
              <w:t>F</w:t>
            </w:r>
            <w:r>
              <w:rPr>
                <w:rFonts w:hint="eastAsia" w:ascii="仿宋" w:hAnsi="仿宋" w:eastAsia="仿宋" w:cs="仿宋"/>
                <w:sz w:val="21"/>
                <w:szCs w:val="21"/>
              </w:rPr>
              <w:t>统计量</w:t>
            </w:r>
          </w:p>
        </w:tc>
        <w:tc>
          <w:tcPr>
            <w:tcW w:w="1242"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402.5</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402.919</w:t>
            </w:r>
          </w:p>
        </w:tc>
        <w:tc>
          <w:tcPr>
            <w:tcW w:w="1315"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448.1</w:t>
            </w:r>
          </w:p>
        </w:tc>
        <w:tc>
          <w:tcPr>
            <w:tcW w:w="1209"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448.804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弱工具变量KP统计量</w:t>
            </w:r>
          </w:p>
        </w:tc>
        <w:tc>
          <w:tcPr>
            <w:tcW w:w="1242"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1393.269</w:t>
            </w:r>
          </w:p>
        </w:tc>
        <w:tc>
          <w:tcPr>
            <w:tcW w:w="1315"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318.926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不可识别KP统计量</w:t>
            </w:r>
          </w:p>
        </w:tc>
        <w:tc>
          <w:tcPr>
            <w:tcW w:w="1242" w:type="dxa"/>
            <w:tcBorders>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1803.375</w:t>
            </w:r>
          </w:p>
        </w:tc>
        <w:tc>
          <w:tcPr>
            <w:tcW w:w="1315" w:type="dxa"/>
            <w:tcBorders>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tcBorders>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467.213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7"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不可识别统计量</w:t>
            </w:r>
            <w:r>
              <w:rPr>
                <w:rFonts w:hint="eastAsia" w:ascii="仿宋" w:hAnsi="仿宋" w:eastAsia="仿宋" w:cs="仿宋"/>
                <w:i/>
                <w:iCs/>
                <w:sz w:val="21"/>
                <w:szCs w:val="21"/>
              </w:rPr>
              <w:t>P</w:t>
            </w:r>
            <w:r>
              <w:rPr>
                <w:rFonts w:hint="eastAsia" w:ascii="仿宋" w:hAnsi="仿宋" w:eastAsia="仿宋" w:cs="仿宋"/>
                <w:sz w:val="21"/>
                <w:szCs w:val="21"/>
              </w:rPr>
              <w:t>值</w:t>
            </w:r>
          </w:p>
        </w:tc>
        <w:tc>
          <w:tcPr>
            <w:tcW w:w="1242"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30"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0.000</w:t>
            </w:r>
          </w:p>
        </w:tc>
        <w:tc>
          <w:tcPr>
            <w:tcW w:w="1315"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209" w:type="dxa"/>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0.000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z w:val="18"/>
          <w:szCs w:val="18"/>
        </w:rPr>
        <w:t>注：1. （1）、（4）列样本区间为2000</w:t>
      </w:r>
      <w:r>
        <w:rPr>
          <w:rFonts w:hint="eastAsia" w:ascii="仿宋" w:hAnsi="仿宋" w:eastAsia="仿宋" w:cs="仿宋"/>
          <w:sz w:val="18"/>
          <w:szCs w:val="18"/>
          <w:lang w:eastAsia="zh-CN"/>
        </w:rPr>
        <w:t>—</w:t>
      </w:r>
      <w:r>
        <w:rPr>
          <w:rFonts w:hint="eastAsia" w:ascii="仿宋" w:hAnsi="仿宋" w:eastAsia="仿宋" w:cs="仿宋"/>
          <w:sz w:val="18"/>
          <w:szCs w:val="18"/>
        </w:rPr>
        <w:t>2013年；</w:t>
      </w:r>
      <w:r>
        <w:rPr>
          <w:rFonts w:hint="eastAsia" w:ascii="仿宋" w:hAnsi="仿宋" w:eastAsia="仿宋" w:cs="仿宋"/>
          <w:sz w:val="18"/>
          <w:szCs w:val="18"/>
          <w:lang w:val="en-US" w:eastAsia="zh-CN"/>
        </w:rPr>
        <w:t>第</w:t>
      </w:r>
      <w:r>
        <w:rPr>
          <w:rFonts w:hint="eastAsia" w:ascii="仿宋" w:hAnsi="仿宋" w:eastAsia="仿宋" w:cs="仿宋"/>
          <w:sz w:val="18"/>
          <w:szCs w:val="18"/>
        </w:rPr>
        <w:t>（2）、（5）列样本区间为2000至2003年；</w:t>
      </w:r>
      <w:r>
        <w:rPr>
          <w:rFonts w:hint="eastAsia" w:ascii="仿宋" w:hAnsi="仿宋" w:eastAsia="仿宋" w:cs="仿宋"/>
          <w:sz w:val="18"/>
          <w:szCs w:val="18"/>
          <w:lang w:val="en-US" w:eastAsia="zh-CN"/>
        </w:rPr>
        <w:t>第</w:t>
      </w:r>
      <w:r>
        <w:rPr>
          <w:rFonts w:hint="eastAsia" w:ascii="仿宋" w:hAnsi="仿宋" w:eastAsia="仿宋" w:cs="仿宋"/>
          <w:sz w:val="18"/>
          <w:szCs w:val="18"/>
        </w:rPr>
        <w:t>（3）、（6）列样本区间为2000</w:t>
      </w:r>
      <w:r>
        <w:rPr>
          <w:rFonts w:hint="eastAsia" w:ascii="仿宋" w:hAnsi="仿宋" w:eastAsia="仿宋" w:cs="仿宋"/>
          <w:sz w:val="18"/>
          <w:szCs w:val="18"/>
          <w:lang w:eastAsia="zh-CN"/>
        </w:rPr>
        <w:t>—</w:t>
      </w:r>
      <w:r>
        <w:rPr>
          <w:rFonts w:hint="eastAsia" w:ascii="仿宋" w:hAnsi="仿宋" w:eastAsia="仿宋" w:cs="仿宋"/>
          <w:sz w:val="18"/>
          <w:szCs w:val="18"/>
        </w:rPr>
        <w:t>2013年。2. 其他资本品累计进口额指企业2000年以来除机器人以外的资本品累计进口额。</w:t>
      </w:r>
    </w:p>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4"/>
          <w:szCs w:val="24"/>
        </w:rPr>
        <w:sectPr>
          <w:pgSz w:w="11906" w:h="16838"/>
          <w:pgMar w:top="1440" w:right="1440" w:bottom="1440" w:left="1440" w:header="851" w:footer="992" w:gutter="0"/>
          <w:cols w:space="425" w:num="1"/>
          <w:docGrid w:type="lines" w:linePitch="312" w:charSpace="0"/>
        </w:sectPr>
      </w:pP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7  生产率异质性的稳健性检验</w:t>
      </w:r>
    </w:p>
    <w:tbl>
      <w:tblPr>
        <w:tblStyle w:val="12"/>
        <w:tblW w:w="1463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5"/>
        <w:gridCol w:w="1190"/>
        <w:gridCol w:w="1161"/>
        <w:gridCol w:w="1016"/>
        <w:gridCol w:w="1016"/>
        <w:gridCol w:w="1116"/>
        <w:gridCol w:w="1466"/>
        <w:gridCol w:w="1116"/>
        <w:gridCol w:w="1116"/>
        <w:gridCol w:w="1466"/>
        <w:gridCol w:w="111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被解释变量</w:t>
            </w:r>
          </w:p>
        </w:tc>
        <w:tc>
          <w:tcPr>
            <w:tcW w:w="11779" w:type="dxa"/>
            <w:gridSpan w:val="10"/>
            <w:tcBorders>
              <w:top w:val="single" w:color="auto" w:sz="4" w:space="0"/>
              <w:bottom w:val="single" w:color="auto" w:sz="4" w:space="0"/>
            </w:tcBorders>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专利数量（ln）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生产率分组依据</w:t>
            </w:r>
          </w:p>
        </w:tc>
        <w:tc>
          <w:tcPr>
            <w:tcW w:w="4383" w:type="dxa"/>
            <w:gridSpan w:val="4"/>
            <w:tcBorders>
              <w:top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根据当期生产率分组</w:t>
            </w:r>
          </w:p>
        </w:tc>
        <w:tc>
          <w:tcPr>
            <w:tcW w:w="7396" w:type="dxa"/>
            <w:gridSpan w:val="6"/>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根据滞后一期生产率分组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分组</w:t>
            </w:r>
          </w:p>
        </w:tc>
        <w:tc>
          <w:tcPr>
            <w:tcW w:w="2351"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低生产率组</w:t>
            </w:r>
          </w:p>
        </w:tc>
        <w:tc>
          <w:tcPr>
            <w:tcW w:w="2032"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高生产率组</w:t>
            </w:r>
          </w:p>
        </w:tc>
        <w:tc>
          <w:tcPr>
            <w:tcW w:w="369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低生产率组</w:t>
            </w:r>
          </w:p>
        </w:tc>
        <w:tc>
          <w:tcPr>
            <w:tcW w:w="3698" w:type="dxa"/>
            <w:gridSpan w:val="3"/>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0"/>
                <w:szCs w:val="20"/>
              </w:rPr>
            </w:pPr>
            <w:r>
              <w:rPr>
                <w:rFonts w:hint="eastAsia" w:ascii="仿宋" w:hAnsi="仿宋" w:eastAsia="仿宋" w:cs="仿宋"/>
                <w:sz w:val="20"/>
                <w:szCs w:val="20"/>
              </w:rPr>
              <w:t>高生产率组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面板固定效应或工具变量第二阶段结果</w:t>
            </w:r>
          </w:p>
        </w:tc>
        <w:tc>
          <w:tcPr>
            <w:tcW w:w="1190"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面板</w:t>
            </w:r>
          </w:p>
        </w:tc>
        <w:tc>
          <w:tcPr>
            <w:tcW w:w="1161"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关税IV</w:t>
            </w:r>
          </w:p>
        </w:tc>
        <w:tc>
          <w:tcPr>
            <w:tcW w:w="1016"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面板</w:t>
            </w:r>
          </w:p>
        </w:tc>
        <w:tc>
          <w:tcPr>
            <w:tcW w:w="1016"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关税IV</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面板</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美国机器人IV</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关税IV</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面板</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美国机器人IV</w:t>
            </w:r>
          </w:p>
        </w:tc>
        <w:tc>
          <w:tcPr>
            <w:tcW w:w="111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关税IV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解释变量</w:t>
            </w:r>
          </w:p>
        </w:tc>
        <w:tc>
          <w:tcPr>
            <w:tcW w:w="119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w:t>
            </w:r>
          </w:p>
        </w:tc>
        <w:tc>
          <w:tcPr>
            <w:tcW w:w="1161"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(2)</w:t>
            </w:r>
          </w:p>
        </w:tc>
        <w:tc>
          <w:tcPr>
            <w:tcW w:w="1016"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(3)</w:t>
            </w:r>
          </w:p>
        </w:tc>
        <w:tc>
          <w:tcPr>
            <w:tcW w:w="1016"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(5)</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(6)</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(7)</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(8)</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(9)</w:t>
            </w:r>
          </w:p>
        </w:tc>
        <w:tc>
          <w:tcPr>
            <w:tcW w:w="111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top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机器人存量（ln）</w:t>
            </w:r>
          </w:p>
        </w:tc>
        <w:tc>
          <w:tcPr>
            <w:tcW w:w="1190"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-0.007</w:t>
            </w:r>
          </w:p>
        </w:tc>
        <w:tc>
          <w:tcPr>
            <w:tcW w:w="1161"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-0.232</w:t>
            </w:r>
          </w:p>
        </w:tc>
        <w:tc>
          <w:tcPr>
            <w:tcW w:w="1016"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0.016***</w:t>
            </w:r>
          </w:p>
        </w:tc>
        <w:tc>
          <w:tcPr>
            <w:tcW w:w="1016" w:type="dxa"/>
            <w:tcBorders>
              <w:top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0.141***</w:t>
            </w:r>
          </w:p>
        </w:tc>
        <w:tc>
          <w:tcPr>
            <w:tcW w:w="1116" w:type="dxa"/>
            <w:tcBorders>
              <w:top w:val="single" w:color="auto" w:sz="4" w:space="0"/>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0.007</w:t>
            </w:r>
          </w:p>
        </w:tc>
        <w:tc>
          <w:tcPr>
            <w:tcW w:w="1466" w:type="dxa"/>
            <w:tcBorders>
              <w:top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0.746</w:t>
            </w:r>
          </w:p>
        </w:tc>
        <w:tc>
          <w:tcPr>
            <w:tcW w:w="1116" w:type="dxa"/>
            <w:tcBorders>
              <w:top w:val="single" w:color="auto" w:sz="4" w:space="0"/>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0.221</w:t>
            </w:r>
          </w:p>
        </w:tc>
        <w:tc>
          <w:tcPr>
            <w:tcW w:w="1116" w:type="dxa"/>
            <w:tcBorders>
              <w:top w:val="single" w:color="auto" w:sz="4" w:space="0"/>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0.015***</w:t>
            </w:r>
          </w:p>
        </w:tc>
        <w:tc>
          <w:tcPr>
            <w:tcW w:w="1466" w:type="dxa"/>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0.547***</w:t>
            </w:r>
          </w:p>
        </w:tc>
        <w:tc>
          <w:tcPr>
            <w:tcW w:w="1116" w:type="dxa"/>
            <w:tcBorders>
              <w:top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0.159***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190"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(-0.79)</w:t>
            </w: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(-0.98)</w:t>
            </w:r>
          </w:p>
        </w:tc>
        <w:tc>
          <w:tcPr>
            <w:tcW w:w="1016"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(5.37)</w:t>
            </w: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(2.96)</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(1.34)</w:t>
            </w: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(0.85)</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(0.60)</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(4.79)</w:t>
            </w: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(4.91)</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(3.14)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企业及行业控制变量</w:t>
            </w:r>
          </w:p>
        </w:tc>
        <w:tc>
          <w:tcPr>
            <w:tcW w:w="1190"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016"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固定效应</w:t>
            </w:r>
          </w:p>
        </w:tc>
        <w:tc>
          <w:tcPr>
            <w:tcW w:w="1190"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016"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企业;年份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观测值</w:t>
            </w:r>
          </w:p>
        </w:tc>
        <w:tc>
          <w:tcPr>
            <w:tcW w:w="1190"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494,880</w:t>
            </w: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84935</w:t>
            </w:r>
          </w:p>
        </w:tc>
        <w:tc>
          <w:tcPr>
            <w:tcW w:w="1016"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658,199</w:t>
            </w: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117516</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545,573</w:t>
            </w: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417054</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92256</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592,221</w:t>
            </w: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458744</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104831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i/>
                <w:iCs/>
                <w:sz w:val="20"/>
                <w:szCs w:val="20"/>
              </w:rPr>
              <w:t>F</w:t>
            </w:r>
            <w:r>
              <w:rPr>
                <w:rFonts w:hint="eastAsia" w:ascii="仿宋" w:hAnsi="仿宋" w:eastAsia="仿宋" w:cs="仿宋"/>
                <w:sz w:val="20"/>
                <w:szCs w:val="20"/>
              </w:rPr>
              <w:t>统计量</w:t>
            </w:r>
          </w:p>
        </w:tc>
        <w:tc>
          <w:tcPr>
            <w:tcW w:w="1190"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37.63</w:t>
            </w: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0.722</w:t>
            </w:r>
          </w:p>
        </w:tc>
        <w:tc>
          <w:tcPr>
            <w:tcW w:w="1016"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180.7</w:t>
            </w: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2.338</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59.24</w:t>
            </w: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43.810</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0.482</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166.7</w:t>
            </w: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99.618</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2.492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弱工具变量KP统计量</w:t>
            </w:r>
          </w:p>
        </w:tc>
        <w:tc>
          <w:tcPr>
            <w:tcW w:w="1190"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4.793</w:t>
            </w:r>
          </w:p>
        </w:tc>
        <w:tc>
          <w:tcPr>
            <w:tcW w:w="1016"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91.457</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4.443</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4.982</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73.120</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86.864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不可识别KP统计量</w:t>
            </w:r>
          </w:p>
        </w:tc>
        <w:tc>
          <w:tcPr>
            <w:tcW w:w="1190"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8.270</w:t>
            </w:r>
          </w:p>
        </w:tc>
        <w:tc>
          <w:tcPr>
            <w:tcW w:w="1016"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148.776</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7.043</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8.567</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106.972</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141.467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不可识别统计量</w:t>
            </w:r>
            <w:r>
              <w:rPr>
                <w:rFonts w:hint="eastAsia" w:ascii="仿宋" w:hAnsi="仿宋" w:eastAsia="仿宋" w:cs="仿宋"/>
                <w:i/>
                <w:iCs/>
                <w:sz w:val="20"/>
                <w:szCs w:val="20"/>
              </w:rPr>
              <w:t>P</w:t>
            </w:r>
            <w:r>
              <w:rPr>
                <w:rFonts w:hint="eastAsia" w:ascii="仿宋" w:hAnsi="仿宋" w:eastAsia="仿宋" w:cs="仿宋"/>
                <w:sz w:val="20"/>
                <w:szCs w:val="20"/>
              </w:rPr>
              <w:t>值</w:t>
            </w:r>
          </w:p>
        </w:tc>
        <w:tc>
          <w:tcPr>
            <w:tcW w:w="1190"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161" w:type="dxa"/>
            <w:tcBorders>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0.004</w:t>
            </w:r>
          </w:p>
        </w:tc>
        <w:tc>
          <w:tcPr>
            <w:tcW w:w="1016" w:type="dxa"/>
            <w:tcBorders>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016" w:type="dxa"/>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tcBorders>
              <w:top w:val="nil"/>
              <w:left w:val="single" w:color="auto" w:sz="4" w:space="0"/>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tcBorders>
              <w:top w:val="nil"/>
              <w:bottom w:val="nil"/>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0.008</w:t>
            </w:r>
          </w:p>
        </w:tc>
        <w:tc>
          <w:tcPr>
            <w:tcW w:w="1116" w:type="dxa"/>
            <w:tcBorders>
              <w:top w:val="nil"/>
              <w:bottom w:val="nil"/>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0.003</w:t>
            </w:r>
          </w:p>
        </w:tc>
        <w:tc>
          <w:tcPr>
            <w:tcW w:w="1116" w:type="dxa"/>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5" w:type="dxa"/>
            <w:tcBorders>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过度识别统计量</w:t>
            </w:r>
          </w:p>
        </w:tc>
        <w:tc>
          <w:tcPr>
            <w:tcW w:w="1190" w:type="dxa"/>
            <w:tcBorders>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161" w:type="dxa"/>
            <w:tcBorders>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016" w:type="dxa"/>
            <w:tcBorders>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016" w:type="dxa"/>
            <w:tcBorders>
              <w:bottom w:val="single" w:color="auto" w:sz="4" w:space="0"/>
            </w:tcBorders>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tcBorders>
              <w:top w:val="nil"/>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tcBorders>
              <w:top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tcBorders>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p>
        </w:tc>
        <w:tc>
          <w:tcPr>
            <w:tcW w:w="1466" w:type="dxa"/>
            <w:tcBorders>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c>
          <w:tcPr>
            <w:tcW w:w="1116" w:type="dxa"/>
            <w:tcBorders>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0.000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注：1. 表中</w:t>
      </w:r>
      <w:r>
        <w:rPr>
          <w:rFonts w:hint="eastAsia" w:ascii="仿宋" w:hAnsi="仿宋" w:eastAsia="仿宋" w:cs="仿宋"/>
          <w:snapToGrid w:val="0"/>
          <w:kern w:val="0"/>
          <w:sz w:val="18"/>
          <w:szCs w:val="18"/>
          <w:lang w:val="en-US" w:eastAsia="zh-CN"/>
        </w:rPr>
        <w:t>第</w:t>
      </w:r>
      <w:r>
        <w:rPr>
          <w:rFonts w:hint="eastAsia" w:ascii="仿宋" w:hAnsi="仿宋" w:eastAsia="仿宋" w:cs="仿宋"/>
          <w:snapToGrid w:val="0"/>
          <w:kern w:val="0"/>
          <w:sz w:val="18"/>
          <w:szCs w:val="18"/>
        </w:rPr>
        <w:t>（1）、（3）、（4）、（5）、（8）列的样本期间为2000</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2013年；</w:t>
      </w:r>
      <w:r>
        <w:rPr>
          <w:rFonts w:hint="eastAsia" w:ascii="仿宋" w:hAnsi="仿宋" w:eastAsia="仿宋" w:cs="仿宋"/>
          <w:snapToGrid w:val="0"/>
          <w:kern w:val="0"/>
          <w:sz w:val="18"/>
          <w:szCs w:val="18"/>
          <w:lang w:val="en-US" w:eastAsia="zh-CN"/>
        </w:rPr>
        <w:t>第</w:t>
      </w:r>
      <w:r>
        <w:rPr>
          <w:rFonts w:hint="eastAsia" w:ascii="仿宋" w:hAnsi="仿宋" w:eastAsia="仿宋" w:cs="仿宋"/>
          <w:snapToGrid w:val="0"/>
          <w:kern w:val="0"/>
          <w:sz w:val="18"/>
          <w:szCs w:val="18"/>
        </w:rPr>
        <w:t>（6）</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（9）列的样本期间为2004</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2013年；</w:t>
      </w:r>
      <w:r>
        <w:rPr>
          <w:rFonts w:hint="eastAsia" w:ascii="仿宋" w:hAnsi="仿宋" w:eastAsia="仿宋" w:cs="仿宋"/>
          <w:snapToGrid w:val="0"/>
          <w:kern w:val="0"/>
          <w:sz w:val="18"/>
          <w:szCs w:val="18"/>
          <w:lang w:val="en-US" w:eastAsia="zh-CN"/>
        </w:rPr>
        <w:t>第</w:t>
      </w:r>
      <w:r>
        <w:rPr>
          <w:rFonts w:hint="eastAsia" w:ascii="仿宋" w:hAnsi="仿宋" w:eastAsia="仿宋" w:cs="仿宋"/>
          <w:snapToGrid w:val="0"/>
          <w:kern w:val="0"/>
          <w:sz w:val="18"/>
          <w:szCs w:val="18"/>
        </w:rPr>
        <w:t>（2）、（4）、（7）、（10）列的样本期间为2000</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2003年。2.（1）</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（4）列中，企业生产率高于当年行业中位数的划入高生产率组，否则为低生产率组。（5）</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rPr>
        <w:t>（10）列中，企业去年生产率高于去年行业中位数的，企业今年被划入高生产率组，否则今年被划入低生产率组。</w:t>
      </w:r>
    </w:p>
    <w:p>
      <w:pPr>
        <w:keepNext w:val="0"/>
        <w:keepLines w:val="0"/>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snapToGrid w:val="0"/>
          <w:kern w:val="0"/>
          <w:sz w:val="24"/>
          <w:szCs w:val="24"/>
        </w:rPr>
      </w:pPr>
    </w:p>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4"/>
          <w:szCs w:val="24"/>
        </w:rPr>
        <w:sectPr>
          <w:pgSz w:w="16838" w:h="11906" w:orient="landscape"/>
          <w:pgMar w:top="1440" w:right="1440" w:bottom="1440" w:left="1440" w:header="851" w:footer="992" w:gutter="0"/>
          <w:cols w:space="425" w:num="1"/>
          <w:docGrid w:type="lines" w:linePitch="312" w:charSpace="0"/>
        </w:sectPr>
      </w:pPr>
    </w:p>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C</w:t>
      </w:r>
      <w:r>
        <w:rPr>
          <w:rFonts w:hint="eastAsia" w:ascii="仿宋" w:hAnsi="仿宋" w:eastAsia="仿宋" w:cs="仿宋"/>
          <w:b/>
          <w:bCs/>
          <w:sz w:val="22"/>
          <w:szCs w:val="22"/>
        </w:rPr>
        <w:t>8  细分专利类别的稳健性：多期平均检验结果</w:t>
      </w:r>
    </w:p>
    <w:tbl>
      <w:tblPr>
        <w:tblStyle w:val="12"/>
        <w:tblW w:w="0" w:type="auto"/>
        <w:tblInd w:w="0" w:type="dxa"/>
        <w:tblLayout w:type="autofit"/>
        <w:tblCellMar>
          <w:top w:w="0" w:type="dxa"/>
          <w:left w:w="108" w:type="dxa"/>
          <w:bottom w:w="0" w:type="dxa"/>
          <w:right w:w="108" w:type="dxa"/>
        </w:tblCellMar>
      </w:tblPr>
      <w:tblGrid>
        <w:gridCol w:w="1965"/>
        <w:gridCol w:w="1030"/>
        <w:gridCol w:w="1097"/>
        <w:gridCol w:w="1193"/>
        <w:gridCol w:w="1079"/>
        <w:gridCol w:w="1240"/>
        <w:gridCol w:w="1638"/>
      </w:tblGrid>
      <w:tr>
        <w:tblPrEx>
          <w:tblCellMar>
            <w:top w:w="0" w:type="dxa"/>
            <w:left w:w="108" w:type="dxa"/>
            <w:bottom w:w="0" w:type="dxa"/>
            <w:right w:w="108" w:type="dxa"/>
          </w:tblCellMar>
        </w:tblPrEx>
        <w:trPr>
          <w:trHeight w:val="280" w:hRule="atLeast"/>
          <w:tblHeader/>
        </w:trPr>
        <w:tc>
          <w:tcPr>
            <w:tcW w:w="0" w:type="auto"/>
            <w:gridSpan w:val="7"/>
            <w:tcBorders>
              <w:top w:val="nil"/>
              <w:left w:val="nil"/>
              <w:bottom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lang w:val="en-US" w:eastAsia="zh-CN"/>
              </w:rPr>
              <w:t xml:space="preserve">Panel </w:t>
            </w:r>
            <w:r>
              <w:rPr>
                <w:rFonts w:hint="eastAsia" w:ascii="仿宋" w:hAnsi="仿宋" w:eastAsia="仿宋" w:cs="仿宋"/>
                <w:sz w:val="18"/>
                <w:szCs w:val="18"/>
              </w:rPr>
              <w:t>A</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两期平均（滞后一期与当期）</w:t>
            </w:r>
          </w:p>
        </w:tc>
      </w:tr>
      <w:tr>
        <w:tblPrEx>
          <w:tblCellMar>
            <w:top w:w="0" w:type="dxa"/>
            <w:left w:w="108" w:type="dxa"/>
            <w:bottom w:w="0" w:type="dxa"/>
            <w:right w:w="108" w:type="dxa"/>
          </w:tblCellMar>
        </w:tblPrEx>
        <w:trPr>
          <w:trHeight w:val="280" w:hRule="atLeast"/>
          <w:tblHeader/>
        </w:trPr>
        <w:tc>
          <w:tcPr>
            <w:tcW w:w="20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被解释变量</w:t>
            </w:r>
          </w:p>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p>
        </w:tc>
        <w:tc>
          <w:tcPr>
            <w:tcW w:w="34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18"/>
                <w:szCs w:val="18"/>
              </w:rPr>
            </w:pPr>
            <w:r>
              <w:rPr>
                <w:rFonts w:hint="eastAsia" w:ascii="仿宋" w:hAnsi="仿宋" w:eastAsia="仿宋" w:cs="仿宋"/>
                <w:sz w:val="18"/>
                <w:szCs w:val="18"/>
              </w:rPr>
              <w:t>两期平均发明专利数量</w:t>
            </w:r>
            <w:r>
              <w:rPr>
                <w:rFonts w:hint="eastAsia" w:ascii="仿宋" w:hAnsi="仿宋" w:eastAsia="仿宋" w:cs="仿宋"/>
                <w:kern w:val="0"/>
                <w:sz w:val="18"/>
                <w:szCs w:val="18"/>
              </w:rPr>
              <w:t>（ln）</w:t>
            </w:r>
          </w:p>
        </w:tc>
        <w:tc>
          <w:tcPr>
            <w:tcW w:w="3497" w:type="dxa"/>
            <w:gridSpan w:val="3"/>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18"/>
                <w:szCs w:val="18"/>
              </w:rPr>
            </w:pPr>
            <w:r>
              <w:rPr>
                <w:rFonts w:hint="eastAsia" w:ascii="仿宋" w:hAnsi="仿宋" w:eastAsia="仿宋" w:cs="仿宋"/>
                <w:sz w:val="18"/>
                <w:szCs w:val="18"/>
              </w:rPr>
              <w:t>两期平均实用新型和外观专利数量</w:t>
            </w:r>
            <w:r>
              <w:rPr>
                <w:rFonts w:hint="eastAsia" w:ascii="仿宋" w:hAnsi="仿宋" w:eastAsia="仿宋" w:cs="仿宋"/>
                <w:kern w:val="0"/>
                <w:sz w:val="18"/>
                <w:szCs w:val="18"/>
              </w:rPr>
              <w:t>（ln）</w:t>
            </w:r>
          </w:p>
        </w:tc>
      </w:tr>
      <w:tr>
        <w:tblPrEx>
          <w:tblCellMar>
            <w:top w:w="0" w:type="dxa"/>
            <w:left w:w="108" w:type="dxa"/>
            <w:bottom w:w="0" w:type="dxa"/>
            <w:right w:w="108" w:type="dxa"/>
          </w:tblCellMar>
        </w:tblPrEx>
        <w:trPr>
          <w:trHeight w:val="280" w:hRule="atLeast"/>
          <w:tblHeader/>
        </w:trPr>
        <w:tc>
          <w:tcPr>
            <w:tcW w:w="20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面板固定效应或工具变量第二阶段回归结果</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面板</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关税IV</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美国机器人IV</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面板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关税IV</w:t>
            </w:r>
          </w:p>
        </w:tc>
        <w:tc>
          <w:tcPr>
            <w:tcW w:w="0" w:type="auto"/>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美国机器人IV</w:t>
            </w:r>
          </w:p>
        </w:tc>
      </w:tr>
      <w:tr>
        <w:tblPrEx>
          <w:tblCellMar>
            <w:top w:w="0" w:type="dxa"/>
            <w:left w:w="108" w:type="dxa"/>
            <w:bottom w:w="0" w:type="dxa"/>
            <w:right w:w="108" w:type="dxa"/>
          </w:tblCellMar>
        </w:tblPrEx>
        <w:trPr>
          <w:trHeight w:val="280" w:hRule="atLeast"/>
        </w:trPr>
        <w:tc>
          <w:tcPr>
            <w:tcW w:w="20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解释变量</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(1)</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(2)</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(3)</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(5)</w:t>
            </w:r>
          </w:p>
        </w:tc>
        <w:tc>
          <w:tcPr>
            <w:tcW w:w="0" w:type="auto"/>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(6)</w:t>
            </w:r>
          </w:p>
        </w:tc>
      </w:tr>
      <w:tr>
        <w:tblPrEx>
          <w:tblCellMar>
            <w:top w:w="0" w:type="dxa"/>
            <w:left w:w="108" w:type="dxa"/>
            <w:bottom w:w="0" w:type="dxa"/>
            <w:right w:w="108" w:type="dxa"/>
          </w:tblCellMar>
        </w:tblPrEx>
        <w:trPr>
          <w:trHeight w:val="280" w:hRule="atLeast"/>
        </w:trPr>
        <w:tc>
          <w:tcPr>
            <w:tcW w:w="2062" w:type="dxa"/>
            <w:tcBorders>
              <w:top w:val="single" w:color="auto" w:sz="4" w:space="0"/>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机器人存量（ln）(</w:t>
            </w:r>
            <w:r>
              <w:rPr>
                <w:rFonts w:hint="eastAsia" w:ascii="仿宋" w:hAnsi="仿宋" w:eastAsia="仿宋" w:cs="仿宋"/>
                <w:i/>
                <w:iCs/>
                <w:sz w:val="18"/>
                <w:szCs w:val="18"/>
              </w:rPr>
              <w:t>t</w:t>
            </w:r>
            <w:r>
              <w:rPr>
                <w:rFonts w:hint="eastAsia" w:ascii="仿宋" w:hAnsi="仿宋" w:eastAsia="仿宋" w:cs="仿宋"/>
                <w:sz w:val="18"/>
                <w:szCs w:val="18"/>
              </w:rPr>
              <w:t>-1)</w:t>
            </w:r>
          </w:p>
        </w:tc>
        <w:tc>
          <w:tcPr>
            <w:tcW w:w="1075" w:type="dxa"/>
            <w:tcBorders>
              <w:top w:val="single" w:color="auto" w:sz="4" w:space="0"/>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0.0038***</w:t>
            </w:r>
          </w:p>
        </w:tc>
        <w:tc>
          <w:tcPr>
            <w:tcW w:w="1145"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0.058***</w:t>
            </w:r>
          </w:p>
        </w:tc>
        <w:tc>
          <w:tcPr>
            <w:tcW w:w="1247" w:type="dxa"/>
            <w:tcBorders>
              <w:top w:val="single" w:color="auto" w:sz="4" w:space="0"/>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0.045**</w:t>
            </w:r>
          </w:p>
        </w:tc>
        <w:tc>
          <w:tcPr>
            <w:tcW w:w="1126" w:type="dxa"/>
            <w:tcBorders>
              <w:top w:val="single" w:color="auto" w:sz="4" w:space="0"/>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0.0179***</w:t>
            </w:r>
          </w:p>
        </w:tc>
        <w:tc>
          <w:tcPr>
            <w:tcW w:w="0" w:type="auto"/>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0.081**</w:t>
            </w:r>
          </w:p>
        </w:tc>
        <w:tc>
          <w:tcPr>
            <w:tcW w:w="0" w:type="auto"/>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0.654***</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(3.80)</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(3.91)</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(2.41)</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(10.13)</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(2.10)</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(11.40)</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企业及行业控制变量</w:t>
            </w: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固定效应</w:t>
            </w: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观测值</w:t>
            </w: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2,050,024</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214945</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1313711</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2,050,024</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214945</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1313711</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i/>
                <w:iCs/>
                <w:sz w:val="18"/>
                <w:szCs w:val="18"/>
              </w:rPr>
              <w:t>F</w:t>
            </w:r>
            <w:r>
              <w:rPr>
                <w:rFonts w:hint="eastAsia" w:ascii="仿宋" w:hAnsi="仿宋" w:eastAsia="仿宋" w:cs="仿宋"/>
                <w:sz w:val="18"/>
                <w:szCs w:val="18"/>
              </w:rPr>
              <w:t>统计量</w:t>
            </w: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206.4</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8.550</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83.076</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630.7</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6.753</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276.519</w:t>
            </w:r>
          </w:p>
        </w:tc>
      </w:tr>
      <w:tr>
        <w:tblPrEx>
          <w:tblCellMar>
            <w:top w:w="0" w:type="dxa"/>
            <w:left w:w="108" w:type="dxa"/>
            <w:bottom w:w="0" w:type="dxa"/>
            <w:right w:w="108" w:type="dxa"/>
          </w:tblCellMar>
        </w:tblPrEx>
        <w:trPr>
          <w:trHeight w:val="280" w:hRule="atLeast"/>
        </w:trPr>
        <w:tc>
          <w:tcPr>
            <w:tcW w:w="206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弱工具变量KP统计量</w:t>
            </w:r>
          </w:p>
        </w:tc>
        <w:tc>
          <w:tcPr>
            <w:tcW w:w="107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1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96.969</w:t>
            </w:r>
          </w:p>
        </w:tc>
        <w:tc>
          <w:tcPr>
            <w:tcW w:w="124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256.911</w:t>
            </w:r>
          </w:p>
        </w:tc>
        <w:tc>
          <w:tcPr>
            <w:tcW w:w="1126"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96.969</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256.911</w:t>
            </w:r>
          </w:p>
        </w:tc>
      </w:tr>
      <w:tr>
        <w:tblPrEx>
          <w:tblCellMar>
            <w:top w:w="0" w:type="dxa"/>
            <w:left w:w="108" w:type="dxa"/>
            <w:bottom w:w="0" w:type="dxa"/>
            <w:right w:w="108" w:type="dxa"/>
          </w:tblCellMar>
        </w:tblPrEx>
        <w:trPr>
          <w:trHeight w:val="280" w:hRule="atLeast"/>
        </w:trPr>
        <w:tc>
          <w:tcPr>
            <w:tcW w:w="2062" w:type="dxa"/>
            <w:tcBorders>
              <w:top w:val="nil"/>
              <w:left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不可识别KP统计量</w:t>
            </w:r>
          </w:p>
        </w:tc>
        <w:tc>
          <w:tcPr>
            <w:tcW w:w="1075"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145" w:type="dxa"/>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155.206</w:t>
            </w:r>
          </w:p>
        </w:tc>
        <w:tc>
          <w:tcPr>
            <w:tcW w:w="124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322.774</w:t>
            </w:r>
          </w:p>
        </w:tc>
        <w:tc>
          <w:tcPr>
            <w:tcW w:w="1126"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0" w:type="auto"/>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155.206</w:t>
            </w:r>
          </w:p>
        </w:tc>
        <w:tc>
          <w:tcPr>
            <w:tcW w:w="0" w:type="auto"/>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322.774</w:t>
            </w:r>
          </w:p>
        </w:tc>
      </w:tr>
      <w:tr>
        <w:tblPrEx>
          <w:tblCellMar>
            <w:top w:w="0" w:type="dxa"/>
            <w:left w:w="108" w:type="dxa"/>
            <w:bottom w:w="0" w:type="dxa"/>
            <w:right w:w="108" w:type="dxa"/>
          </w:tblCellMar>
        </w:tblPrEx>
        <w:trPr>
          <w:trHeight w:val="280" w:hRule="atLeast"/>
        </w:trPr>
        <w:tc>
          <w:tcPr>
            <w:tcW w:w="20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不可识别统计量</w:t>
            </w:r>
            <w:r>
              <w:rPr>
                <w:rFonts w:hint="eastAsia" w:ascii="仿宋" w:hAnsi="仿宋" w:eastAsia="仿宋" w:cs="仿宋"/>
                <w:i/>
                <w:iCs/>
                <w:sz w:val="18"/>
                <w:szCs w:val="18"/>
              </w:rPr>
              <w:t>P</w:t>
            </w:r>
            <w:r>
              <w:rPr>
                <w:rFonts w:hint="eastAsia" w:ascii="仿宋" w:hAnsi="仿宋" w:eastAsia="仿宋" w:cs="仿宋"/>
                <w:sz w:val="18"/>
                <w:szCs w:val="18"/>
              </w:rPr>
              <w:t>值</w:t>
            </w:r>
          </w:p>
        </w:tc>
        <w:tc>
          <w:tcPr>
            <w:tcW w:w="1075"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145"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124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1126"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0" w:type="auto"/>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0" w:type="auto"/>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z w:val="18"/>
          <w:szCs w:val="18"/>
        </w:rPr>
        <w:t>注：1.</w:t>
      </w:r>
      <w:r>
        <w:rPr>
          <w:rFonts w:hint="eastAsia" w:ascii="仿宋" w:hAnsi="仿宋" w:eastAsia="仿宋" w:cs="仿宋"/>
          <w:sz w:val="18"/>
          <w:szCs w:val="18"/>
          <w:lang w:val="en-US" w:eastAsia="zh-CN"/>
        </w:rPr>
        <w:t>第</w:t>
      </w:r>
      <w:r>
        <w:rPr>
          <w:rFonts w:hint="eastAsia" w:ascii="仿宋" w:hAnsi="仿宋" w:eastAsia="仿宋" w:cs="仿宋"/>
          <w:sz w:val="18"/>
          <w:szCs w:val="18"/>
        </w:rPr>
        <w:t>（1）、（4）列的样本区间为2000</w:t>
      </w:r>
      <w:r>
        <w:rPr>
          <w:rFonts w:hint="eastAsia" w:ascii="仿宋" w:hAnsi="仿宋" w:eastAsia="仿宋" w:cs="仿宋"/>
          <w:sz w:val="18"/>
          <w:szCs w:val="18"/>
          <w:lang w:eastAsia="zh-CN"/>
        </w:rPr>
        <w:t>—</w:t>
      </w:r>
      <w:r>
        <w:rPr>
          <w:rFonts w:hint="eastAsia" w:ascii="仿宋" w:hAnsi="仿宋" w:eastAsia="仿宋" w:cs="仿宋"/>
          <w:sz w:val="18"/>
          <w:szCs w:val="18"/>
        </w:rPr>
        <w:t>2013年。2.</w:t>
      </w:r>
      <w:r>
        <w:rPr>
          <w:rFonts w:hint="eastAsia" w:ascii="仿宋" w:hAnsi="仿宋" w:eastAsia="仿宋" w:cs="仿宋"/>
          <w:sz w:val="18"/>
          <w:szCs w:val="18"/>
          <w:lang w:val="en-US" w:eastAsia="zh-CN"/>
        </w:rPr>
        <w:t>第</w:t>
      </w:r>
      <w:r>
        <w:rPr>
          <w:rFonts w:hint="eastAsia" w:ascii="仿宋" w:hAnsi="仿宋" w:eastAsia="仿宋" w:cs="仿宋"/>
          <w:sz w:val="18"/>
          <w:szCs w:val="18"/>
        </w:rPr>
        <w:t>（2）、（5）列的样本区间为2000</w:t>
      </w:r>
      <w:r>
        <w:rPr>
          <w:rFonts w:hint="eastAsia" w:ascii="仿宋" w:hAnsi="仿宋" w:eastAsia="仿宋" w:cs="仿宋"/>
          <w:sz w:val="18"/>
          <w:szCs w:val="18"/>
          <w:lang w:eastAsia="zh-CN"/>
        </w:rPr>
        <w:t>—</w:t>
      </w:r>
      <w:r>
        <w:rPr>
          <w:rFonts w:hint="eastAsia" w:ascii="仿宋" w:hAnsi="仿宋" w:eastAsia="仿宋" w:cs="仿宋"/>
          <w:sz w:val="18"/>
          <w:szCs w:val="18"/>
        </w:rPr>
        <w:t>2003年。3.</w:t>
      </w:r>
      <w:r>
        <w:rPr>
          <w:rFonts w:hint="eastAsia" w:ascii="仿宋" w:hAnsi="仿宋" w:eastAsia="仿宋" w:cs="仿宋"/>
          <w:sz w:val="18"/>
          <w:szCs w:val="18"/>
          <w:lang w:val="en-US" w:eastAsia="zh-CN"/>
        </w:rPr>
        <w:t>第</w:t>
      </w:r>
      <w:r>
        <w:rPr>
          <w:rFonts w:hint="eastAsia" w:ascii="仿宋" w:hAnsi="仿宋" w:eastAsia="仿宋" w:cs="仿宋"/>
          <w:sz w:val="18"/>
          <w:szCs w:val="18"/>
        </w:rPr>
        <w:t>（3）、（6）列的样本区间为2004</w:t>
      </w:r>
      <w:r>
        <w:rPr>
          <w:rFonts w:hint="eastAsia" w:ascii="仿宋" w:hAnsi="仿宋" w:eastAsia="仿宋" w:cs="仿宋"/>
          <w:sz w:val="18"/>
          <w:szCs w:val="18"/>
          <w:lang w:eastAsia="zh-CN"/>
        </w:rPr>
        <w:t>—</w:t>
      </w:r>
      <w:r>
        <w:rPr>
          <w:rFonts w:hint="eastAsia" w:ascii="仿宋" w:hAnsi="仿宋" w:eastAsia="仿宋" w:cs="仿宋"/>
          <w:sz w:val="18"/>
          <w:szCs w:val="18"/>
        </w:rPr>
        <w:t>2013年。</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4"/>
          <w:szCs w:val="24"/>
        </w:rPr>
      </w:pPr>
    </w:p>
    <w:tbl>
      <w:tblPr>
        <w:tblStyle w:val="12"/>
        <w:tblW w:w="0" w:type="auto"/>
        <w:tblInd w:w="0" w:type="dxa"/>
        <w:tblLayout w:type="fixed"/>
        <w:tblCellMar>
          <w:top w:w="0" w:type="dxa"/>
          <w:left w:w="108" w:type="dxa"/>
          <w:bottom w:w="0" w:type="dxa"/>
          <w:right w:w="108" w:type="dxa"/>
        </w:tblCellMar>
      </w:tblPr>
      <w:tblGrid>
        <w:gridCol w:w="1860"/>
        <w:gridCol w:w="1110"/>
        <w:gridCol w:w="1060"/>
        <w:gridCol w:w="1082"/>
        <w:gridCol w:w="1045"/>
        <w:gridCol w:w="1045"/>
        <w:gridCol w:w="1385"/>
      </w:tblGrid>
      <w:tr>
        <w:tblPrEx>
          <w:tblCellMar>
            <w:top w:w="0" w:type="dxa"/>
            <w:left w:w="108" w:type="dxa"/>
            <w:bottom w:w="0" w:type="dxa"/>
            <w:right w:w="108" w:type="dxa"/>
          </w:tblCellMar>
        </w:tblPrEx>
        <w:trPr>
          <w:trHeight w:val="280" w:hRule="atLeast"/>
          <w:tblHeader/>
        </w:trPr>
        <w:tc>
          <w:tcPr>
            <w:tcW w:w="8587" w:type="dxa"/>
            <w:gridSpan w:val="7"/>
            <w:tcBorders>
              <w:top w:val="nil"/>
              <w:left w:val="nil"/>
              <w:bottom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lang w:val="en-US" w:eastAsia="zh-CN"/>
              </w:rPr>
              <w:t xml:space="preserve">Panel </w:t>
            </w:r>
            <w:r>
              <w:rPr>
                <w:rFonts w:hint="eastAsia" w:ascii="仿宋" w:hAnsi="仿宋" w:eastAsia="仿宋" w:cs="仿宋"/>
                <w:sz w:val="18"/>
                <w:szCs w:val="18"/>
              </w:rPr>
              <w:t>B</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三期平均（滞后一期、当期以及未来一期）</w:t>
            </w:r>
          </w:p>
        </w:tc>
      </w:tr>
      <w:tr>
        <w:tblPrEx>
          <w:tblCellMar>
            <w:top w:w="0" w:type="dxa"/>
            <w:left w:w="108" w:type="dxa"/>
            <w:bottom w:w="0" w:type="dxa"/>
            <w:right w:w="108" w:type="dxa"/>
          </w:tblCellMar>
        </w:tblPrEx>
        <w:trPr>
          <w:trHeight w:val="280" w:hRule="atLeast"/>
          <w:tblHeader/>
        </w:trPr>
        <w:tc>
          <w:tcPr>
            <w:tcW w:w="18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被解释变量</w:t>
            </w:r>
          </w:p>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p>
        </w:tc>
        <w:tc>
          <w:tcPr>
            <w:tcW w:w="325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18"/>
                <w:szCs w:val="18"/>
              </w:rPr>
            </w:pPr>
            <w:r>
              <w:rPr>
                <w:rFonts w:hint="eastAsia" w:ascii="仿宋" w:hAnsi="仿宋" w:eastAsia="仿宋" w:cs="仿宋"/>
                <w:sz w:val="18"/>
                <w:szCs w:val="18"/>
              </w:rPr>
              <w:t>三期平均发明专利数量</w:t>
            </w:r>
            <w:r>
              <w:rPr>
                <w:rFonts w:hint="eastAsia" w:ascii="仿宋" w:hAnsi="仿宋" w:eastAsia="仿宋" w:cs="仿宋"/>
                <w:kern w:val="0"/>
                <w:sz w:val="18"/>
                <w:szCs w:val="18"/>
              </w:rPr>
              <w:t>（ln）</w:t>
            </w:r>
          </w:p>
        </w:tc>
        <w:tc>
          <w:tcPr>
            <w:tcW w:w="3475" w:type="dxa"/>
            <w:gridSpan w:val="3"/>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center"/>
              <w:rPr>
                <w:rFonts w:hint="eastAsia" w:ascii="仿宋" w:hAnsi="仿宋" w:eastAsia="仿宋" w:cs="仿宋"/>
                <w:sz w:val="18"/>
                <w:szCs w:val="18"/>
              </w:rPr>
            </w:pPr>
            <w:r>
              <w:rPr>
                <w:rFonts w:hint="eastAsia" w:ascii="仿宋" w:hAnsi="仿宋" w:eastAsia="仿宋" w:cs="仿宋"/>
                <w:sz w:val="18"/>
                <w:szCs w:val="18"/>
              </w:rPr>
              <w:t>三期平均实用新型和外观专利数量</w:t>
            </w:r>
            <w:r>
              <w:rPr>
                <w:rFonts w:hint="eastAsia" w:ascii="仿宋" w:hAnsi="仿宋" w:eastAsia="仿宋" w:cs="仿宋"/>
                <w:kern w:val="0"/>
                <w:sz w:val="18"/>
                <w:szCs w:val="18"/>
              </w:rPr>
              <w:t>（ln）</w:t>
            </w:r>
          </w:p>
        </w:tc>
      </w:tr>
      <w:tr>
        <w:tblPrEx>
          <w:tblCellMar>
            <w:top w:w="0" w:type="dxa"/>
            <w:left w:w="108" w:type="dxa"/>
            <w:bottom w:w="0" w:type="dxa"/>
            <w:right w:w="108" w:type="dxa"/>
          </w:tblCellMar>
        </w:tblPrEx>
        <w:trPr>
          <w:trHeight w:val="280" w:hRule="atLeast"/>
          <w:tblHeader/>
        </w:trPr>
        <w:tc>
          <w:tcPr>
            <w:tcW w:w="18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面板固定效应或工具变量第二阶段回归结果</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面板</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关税IV</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美国机器人IV</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面板</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关税IV</w:t>
            </w:r>
          </w:p>
        </w:tc>
        <w:tc>
          <w:tcPr>
            <w:tcW w:w="138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kern w:val="0"/>
                <w:sz w:val="18"/>
                <w:szCs w:val="18"/>
              </w:rPr>
              <w:t>美国机器人IV</w:t>
            </w:r>
          </w:p>
        </w:tc>
      </w:tr>
      <w:tr>
        <w:tblPrEx>
          <w:tblCellMar>
            <w:top w:w="0" w:type="dxa"/>
            <w:left w:w="108" w:type="dxa"/>
            <w:bottom w:w="0" w:type="dxa"/>
            <w:right w:w="108" w:type="dxa"/>
          </w:tblCellMar>
        </w:tblPrEx>
        <w:trPr>
          <w:trHeight w:val="280" w:hRule="atLeast"/>
        </w:trPr>
        <w:tc>
          <w:tcPr>
            <w:tcW w:w="18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解释变量</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(1)</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(2)</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(3)</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(4)</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(5)</w:t>
            </w:r>
          </w:p>
        </w:tc>
        <w:tc>
          <w:tcPr>
            <w:tcW w:w="138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(6)</w:t>
            </w:r>
          </w:p>
        </w:tc>
      </w:tr>
      <w:tr>
        <w:tblPrEx>
          <w:tblCellMar>
            <w:top w:w="0" w:type="dxa"/>
            <w:left w:w="108" w:type="dxa"/>
            <w:bottom w:w="0" w:type="dxa"/>
            <w:right w:w="108" w:type="dxa"/>
          </w:tblCellMar>
        </w:tblPrEx>
        <w:trPr>
          <w:trHeight w:val="280" w:hRule="atLeast"/>
        </w:trPr>
        <w:tc>
          <w:tcPr>
            <w:tcW w:w="1860" w:type="dxa"/>
            <w:tcBorders>
              <w:top w:val="single" w:color="auto" w:sz="4" w:space="0"/>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机器人存量（ln）(</w:t>
            </w:r>
            <w:r>
              <w:rPr>
                <w:rFonts w:hint="eastAsia" w:ascii="仿宋" w:hAnsi="仿宋" w:eastAsia="仿宋" w:cs="仿宋"/>
                <w:i/>
                <w:iCs/>
                <w:sz w:val="18"/>
                <w:szCs w:val="18"/>
              </w:rPr>
              <w:t>t</w:t>
            </w:r>
            <w:r>
              <w:rPr>
                <w:rFonts w:hint="eastAsia" w:ascii="仿宋" w:hAnsi="仿宋" w:eastAsia="仿宋" w:cs="仿宋"/>
                <w:sz w:val="18"/>
                <w:szCs w:val="18"/>
              </w:rPr>
              <w:t>-1)</w:t>
            </w:r>
          </w:p>
        </w:tc>
        <w:tc>
          <w:tcPr>
            <w:tcW w:w="1110" w:type="dxa"/>
            <w:tcBorders>
              <w:top w:val="single" w:color="auto" w:sz="4" w:space="0"/>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0.0051***</w:t>
            </w:r>
          </w:p>
        </w:tc>
        <w:tc>
          <w:tcPr>
            <w:tcW w:w="1060"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0.065***</w:t>
            </w:r>
          </w:p>
        </w:tc>
        <w:tc>
          <w:tcPr>
            <w:tcW w:w="1082" w:type="dxa"/>
            <w:tcBorders>
              <w:top w:val="single" w:color="auto" w:sz="4" w:space="0"/>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0.045**</w:t>
            </w:r>
          </w:p>
        </w:tc>
        <w:tc>
          <w:tcPr>
            <w:tcW w:w="1045" w:type="dxa"/>
            <w:tcBorders>
              <w:top w:val="single" w:color="auto" w:sz="4" w:space="0"/>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0.0129***</w:t>
            </w:r>
          </w:p>
        </w:tc>
        <w:tc>
          <w:tcPr>
            <w:tcW w:w="1045"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0.050**</w:t>
            </w:r>
          </w:p>
        </w:tc>
        <w:tc>
          <w:tcPr>
            <w:tcW w:w="1385"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0.371***</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(4.52)</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(4.85)</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(2.52)</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(8.80)</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(2.11)</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(9.81)</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企业及行业控制变量</w:t>
            </w: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是</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固定效应</w:t>
            </w: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企业;年份</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观测值</w:t>
            </w: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1,440,718</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182149</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960477</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1,440,718</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182149</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960477</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i/>
                <w:iCs/>
                <w:sz w:val="18"/>
                <w:szCs w:val="18"/>
              </w:rPr>
              <w:t>F</w:t>
            </w:r>
            <w:r>
              <w:rPr>
                <w:rFonts w:hint="eastAsia" w:ascii="仿宋" w:hAnsi="仿宋" w:eastAsia="仿宋" w:cs="仿宋"/>
                <w:sz w:val="18"/>
                <w:szCs w:val="18"/>
              </w:rPr>
              <w:t>统计量</w:t>
            </w: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181.7</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10.018</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61.083</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412.4</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8.456</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149.181</w:t>
            </w:r>
          </w:p>
        </w:tc>
      </w:tr>
      <w:tr>
        <w:tblPrEx>
          <w:tblCellMar>
            <w:top w:w="0" w:type="dxa"/>
            <w:left w:w="108" w:type="dxa"/>
            <w:bottom w:w="0" w:type="dxa"/>
            <w:right w:w="108" w:type="dxa"/>
          </w:tblCellMar>
        </w:tblPrEx>
        <w:trPr>
          <w:trHeight w:val="280" w:hRule="atLeast"/>
        </w:trPr>
        <w:tc>
          <w:tcPr>
            <w:tcW w:w="186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弱工具变量KP统计量</w:t>
            </w:r>
          </w:p>
        </w:tc>
        <w:tc>
          <w:tcPr>
            <w:tcW w:w="1110"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96.169</w:t>
            </w:r>
          </w:p>
        </w:tc>
        <w:tc>
          <w:tcPr>
            <w:tcW w:w="10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214.665</w:t>
            </w:r>
          </w:p>
        </w:tc>
        <w:tc>
          <w:tcPr>
            <w:tcW w:w="1045"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4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96.169</w:t>
            </w:r>
          </w:p>
        </w:tc>
        <w:tc>
          <w:tcPr>
            <w:tcW w:w="138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214.665</w:t>
            </w:r>
          </w:p>
        </w:tc>
      </w:tr>
      <w:tr>
        <w:tblPrEx>
          <w:tblCellMar>
            <w:top w:w="0" w:type="dxa"/>
            <w:left w:w="108" w:type="dxa"/>
            <w:bottom w:w="0" w:type="dxa"/>
            <w:right w:w="108" w:type="dxa"/>
          </w:tblCellMar>
        </w:tblPrEx>
        <w:trPr>
          <w:trHeight w:val="280" w:hRule="atLeast"/>
        </w:trPr>
        <w:tc>
          <w:tcPr>
            <w:tcW w:w="1860" w:type="dxa"/>
            <w:tcBorders>
              <w:top w:val="nil"/>
              <w:left w:val="nil"/>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不可识别KP统计量</w:t>
            </w:r>
          </w:p>
        </w:tc>
        <w:tc>
          <w:tcPr>
            <w:tcW w:w="1110"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60" w:type="dxa"/>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151.697</w:t>
            </w:r>
          </w:p>
        </w:tc>
        <w:tc>
          <w:tcPr>
            <w:tcW w:w="1082"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278.206</w:t>
            </w:r>
          </w:p>
        </w:tc>
        <w:tc>
          <w:tcPr>
            <w:tcW w:w="1045"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45" w:type="dxa"/>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151.697</w:t>
            </w:r>
          </w:p>
        </w:tc>
        <w:tc>
          <w:tcPr>
            <w:tcW w:w="1385" w:type="dxa"/>
            <w:tcBorders>
              <w:top w:val="nil"/>
              <w:left w:val="nil"/>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278.206</w:t>
            </w:r>
          </w:p>
        </w:tc>
      </w:tr>
      <w:tr>
        <w:tblPrEx>
          <w:tblCellMar>
            <w:top w:w="0" w:type="dxa"/>
            <w:left w:w="108" w:type="dxa"/>
            <w:bottom w:w="0" w:type="dxa"/>
            <w:right w:w="108" w:type="dxa"/>
          </w:tblCellMar>
        </w:tblPrEx>
        <w:trPr>
          <w:trHeight w:val="280" w:hRule="atLeast"/>
        </w:trPr>
        <w:tc>
          <w:tcPr>
            <w:tcW w:w="1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sz w:val="18"/>
                <w:szCs w:val="18"/>
              </w:rPr>
            </w:pPr>
            <w:r>
              <w:rPr>
                <w:rFonts w:hint="eastAsia" w:ascii="仿宋" w:hAnsi="仿宋" w:eastAsia="仿宋" w:cs="仿宋"/>
                <w:sz w:val="18"/>
                <w:szCs w:val="18"/>
              </w:rPr>
              <w:t>不可识别统计量</w:t>
            </w:r>
            <w:r>
              <w:rPr>
                <w:rFonts w:hint="eastAsia" w:ascii="仿宋" w:hAnsi="仿宋" w:eastAsia="仿宋" w:cs="仿宋"/>
                <w:i/>
                <w:iCs/>
                <w:sz w:val="18"/>
                <w:szCs w:val="18"/>
              </w:rPr>
              <w:t>P</w:t>
            </w:r>
            <w:r>
              <w:rPr>
                <w:rFonts w:hint="eastAsia" w:ascii="仿宋" w:hAnsi="仿宋" w:eastAsia="仿宋" w:cs="仿宋"/>
                <w:sz w:val="18"/>
                <w:szCs w:val="18"/>
              </w:rPr>
              <w:t>值</w:t>
            </w:r>
          </w:p>
        </w:tc>
        <w:tc>
          <w:tcPr>
            <w:tcW w:w="1110"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60"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10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1045"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 </w:t>
            </w:r>
          </w:p>
        </w:tc>
        <w:tc>
          <w:tcPr>
            <w:tcW w:w="1045"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c>
          <w:tcPr>
            <w:tcW w:w="1385"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bidi w:val="0"/>
              <w:spacing w:line="360" w:lineRule="auto"/>
              <w:jc w:val="left"/>
              <w:rPr>
                <w:rFonts w:hint="eastAsia" w:ascii="仿宋" w:hAnsi="仿宋" w:eastAsia="仿宋" w:cs="仿宋"/>
                <w:sz w:val="18"/>
                <w:szCs w:val="18"/>
              </w:rPr>
            </w:pPr>
            <w:r>
              <w:rPr>
                <w:rFonts w:hint="eastAsia" w:ascii="仿宋" w:hAnsi="仿宋" w:eastAsia="仿宋" w:cs="仿宋"/>
                <w:sz w:val="18"/>
                <w:szCs w:val="18"/>
              </w:rPr>
              <w:t>0.000</w:t>
            </w:r>
          </w:p>
        </w:tc>
      </w:tr>
    </w:tbl>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18"/>
          <w:szCs w:val="18"/>
        </w:rPr>
      </w:pPr>
      <w:r>
        <w:rPr>
          <w:rFonts w:hint="eastAsia" w:ascii="仿宋" w:hAnsi="仿宋" w:eastAsia="仿宋" w:cs="仿宋"/>
          <w:sz w:val="18"/>
          <w:szCs w:val="18"/>
        </w:rPr>
        <w:t xml:space="preserve">注：1. </w:t>
      </w:r>
      <w:r>
        <w:rPr>
          <w:rFonts w:hint="eastAsia" w:ascii="仿宋" w:hAnsi="仿宋" w:eastAsia="仿宋" w:cs="仿宋"/>
          <w:sz w:val="18"/>
          <w:szCs w:val="18"/>
          <w:lang w:val="en-US" w:eastAsia="zh-CN"/>
        </w:rPr>
        <w:t>第</w:t>
      </w:r>
      <w:r>
        <w:rPr>
          <w:rFonts w:hint="eastAsia" w:ascii="仿宋" w:hAnsi="仿宋" w:eastAsia="仿宋" w:cs="仿宋"/>
          <w:sz w:val="18"/>
          <w:szCs w:val="18"/>
        </w:rPr>
        <w:t>（1）、（4）列的样本区间为2000</w:t>
      </w:r>
      <w:r>
        <w:rPr>
          <w:rFonts w:hint="eastAsia" w:ascii="仿宋" w:hAnsi="仿宋" w:eastAsia="仿宋" w:cs="仿宋"/>
          <w:sz w:val="18"/>
          <w:szCs w:val="18"/>
          <w:lang w:eastAsia="zh-CN"/>
        </w:rPr>
        <w:t>—</w:t>
      </w:r>
      <w:r>
        <w:rPr>
          <w:rFonts w:hint="eastAsia" w:ascii="仿宋" w:hAnsi="仿宋" w:eastAsia="仿宋" w:cs="仿宋"/>
          <w:sz w:val="18"/>
          <w:szCs w:val="18"/>
        </w:rPr>
        <w:t>2013年。2.</w:t>
      </w:r>
      <w:r>
        <w:rPr>
          <w:rFonts w:hint="eastAsia" w:ascii="仿宋" w:hAnsi="仿宋" w:eastAsia="仿宋" w:cs="仿宋"/>
          <w:sz w:val="18"/>
          <w:szCs w:val="18"/>
          <w:lang w:val="en-US" w:eastAsia="zh-CN"/>
        </w:rPr>
        <w:t>第</w:t>
      </w:r>
      <w:r>
        <w:rPr>
          <w:rFonts w:hint="eastAsia" w:ascii="仿宋" w:hAnsi="仿宋" w:eastAsia="仿宋" w:cs="仿宋"/>
          <w:sz w:val="18"/>
          <w:szCs w:val="18"/>
        </w:rPr>
        <w:t>（2）、（5）列的样本区间为2000</w:t>
      </w:r>
      <w:r>
        <w:rPr>
          <w:rFonts w:hint="eastAsia" w:ascii="仿宋" w:hAnsi="仿宋" w:eastAsia="仿宋" w:cs="仿宋"/>
          <w:sz w:val="18"/>
          <w:szCs w:val="18"/>
          <w:lang w:eastAsia="zh-CN"/>
        </w:rPr>
        <w:t>—</w:t>
      </w:r>
      <w:r>
        <w:rPr>
          <w:rFonts w:hint="eastAsia" w:ascii="仿宋" w:hAnsi="仿宋" w:eastAsia="仿宋" w:cs="仿宋"/>
          <w:sz w:val="18"/>
          <w:szCs w:val="18"/>
        </w:rPr>
        <w:t>2003年。3.</w:t>
      </w:r>
      <w:r>
        <w:rPr>
          <w:rFonts w:hint="eastAsia" w:ascii="仿宋" w:hAnsi="仿宋" w:eastAsia="仿宋" w:cs="仿宋"/>
          <w:sz w:val="18"/>
          <w:szCs w:val="18"/>
          <w:lang w:val="en-US" w:eastAsia="zh-CN"/>
        </w:rPr>
        <w:t>第</w:t>
      </w:r>
      <w:r>
        <w:rPr>
          <w:rFonts w:hint="eastAsia" w:ascii="仿宋" w:hAnsi="仿宋" w:eastAsia="仿宋" w:cs="仿宋"/>
          <w:sz w:val="18"/>
          <w:szCs w:val="18"/>
        </w:rPr>
        <w:t>（3）、（6）列的样本区间为2004</w:t>
      </w:r>
      <w:r>
        <w:rPr>
          <w:rFonts w:hint="eastAsia" w:ascii="仿宋" w:hAnsi="仿宋" w:eastAsia="仿宋" w:cs="仿宋"/>
          <w:sz w:val="18"/>
          <w:szCs w:val="18"/>
          <w:lang w:eastAsia="zh-CN"/>
        </w:rPr>
        <w:t>—</w:t>
      </w:r>
      <w:r>
        <w:rPr>
          <w:rFonts w:hint="eastAsia" w:ascii="仿宋" w:hAnsi="仿宋" w:eastAsia="仿宋" w:cs="仿宋"/>
          <w:sz w:val="18"/>
          <w:szCs w:val="18"/>
        </w:rPr>
        <w:t>2013年。</w:t>
      </w:r>
    </w:p>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4"/>
          <w:szCs w:val="24"/>
        </w:rPr>
      </w:pP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bCs/>
          <w:sz w:val="24"/>
          <w:szCs w:val="24"/>
        </w:rPr>
      </w:pP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1044"/>
        <w:gridCol w:w="1044"/>
        <w:gridCol w:w="1044"/>
        <w:gridCol w:w="1044"/>
        <w:gridCol w:w="1044"/>
        <w:gridCol w:w="104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0" w:type="auto"/>
            <w:gridSpan w:val="7"/>
            <w:tcBorders>
              <w:top w:val="nil"/>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表</w:t>
            </w:r>
            <w:r>
              <w:rPr>
                <w:rFonts w:hint="eastAsia" w:ascii="仿宋" w:hAnsi="仿宋" w:eastAsia="仿宋" w:cs="仿宋"/>
                <w:sz w:val="22"/>
                <w:szCs w:val="22"/>
                <w:lang w:val="en-US" w:eastAsia="zh-CN"/>
              </w:rPr>
              <w:t>C</w:t>
            </w:r>
            <w:r>
              <w:rPr>
                <w:rFonts w:hint="eastAsia" w:ascii="仿宋" w:hAnsi="仿宋" w:eastAsia="仿宋" w:cs="仿宋"/>
                <w:sz w:val="22"/>
                <w:szCs w:val="22"/>
              </w:rPr>
              <w:t>9  学习效应的稳健性：亚洲机器人工具变量、面板检验结果</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0" w:type="auto"/>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被解释变量</w:t>
            </w:r>
          </w:p>
        </w:tc>
        <w:tc>
          <w:tcPr>
            <w:tcW w:w="0" w:type="auto"/>
            <w:gridSpan w:val="6"/>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专利规模（ln）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0" w:type="auto"/>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面板或工具变量第二阶段回归结果</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亚洲机器人IV</w:t>
            </w:r>
          </w:p>
        </w:tc>
        <w:tc>
          <w:tcPr>
            <w:tcW w:w="0" w:type="auto"/>
            <w:gridSpan w:val="3"/>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面板</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行业分类及代码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大类35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中类357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细类3579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大类35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中类357</w:t>
            </w:r>
          </w:p>
        </w:tc>
        <w:tc>
          <w:tcPr>
            <w:tcW w:w="0" w:type="auto"/>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细类3579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解释变量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(5)</w:t>
            </w:r>
          </w:p>
        </w:tc>
        <w:tc>
          <w:tcPr>
            <w:tcW w:w="0" w:type="auto"/>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机器人存量（ln）</w:t>
            </w:r>
          </w:p>
        </w:tc>
        <w:tc>
          <w:tcPr>
            <w:tcW w:w="0" w:type="auto"/>
            <w:tcBorders>
              <w:top w:val="single" w:color="auto" w:sz="4" w:space="0"/>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0.446***</w:t>
            </w:r>
          </w:p>
        </w:tc>
        <w:tc>
          <w:tcPr>
            <w:tcW w:w="0" w:type="auto"/>
            <w:tcBorders>
              <w:top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-0.037</w:t>
            </w:r>
          </w:p>
        </w:tc>
        <w:tc>
          <w:tcPr>
            <w:tcW w:w="0" w:type="auto"/>
            <w:tcBorders>
              <w:top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2.157</w:t>
            </w:r>
          </w:p>
        </w:tc>
        <w:tc>
          <w:tcPr>
            <w:tcW w:w="0" w:type="auto"/>
            <w:tcBorders>
              <w:top w:val="single" w:color="auto" w:sz="4" w:space="0"/>
            </w:tcBorders>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0.2059**</w:t>
            </w:r>
          </w:p>
        </w:tc>
        <w:tc>
          <w:tcPr>
            <w:tcW w:w="0" w:type="auto"/>
            <w:tcBorders>
              <w:top w:val="single" w:color="auto" w:sz="4" w:space="0"/>
            </w:tcBorders>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-0.0924</w:t>
            </w:r>
          </w:p>
        </w:tc>
        <w:tc>
          <w:tcPr>
            <w:tcW w:w="0" w:type="auto"/>
            <w:tcBorders>
              <w:top w:val="single" w:color="auto" w:sz="4" w:space="0"/>
            </w:tcBorders>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0.2334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(3.04)</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(-0.11)</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(0.46)</w:t>
            </w:r>
          </w:p>
        </w:tc>
        <w:tc>
          <w:tcPr>
            <w:tcW w:w="0" w:type="auto"/>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(2.38)</w:t>
            </w:r>
          </w:p>
        </w:tc>
        <w:tc>
          <w:tcPr>
            <w:tcW w:w="0" w:type="auto"/>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(-0.62)</w:t>
            </w:r>
          </w:p>
        </w:tc>
        <w:tc>
          <w:tcPr>
            <w:tcW w:w="0" w:type="auto"/>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企业及行业控制变量</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固定效应</w:t>
            </w:r>
          </w:p>
        </w:tc>
        <w:tc>
          <w:tcPr>
            <w:tcW w:w="0" w:type="auto"/>
            <w:tcBorders>
              <w:lef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0" w:type="auto"/>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0" w:type="auto"/>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0" w:type="auto"/>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0" w:type="auto"/>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c>
          <w:tcPr>
            <w:tcW w:w="0" w:type="auto"/>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企业;年份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观测值</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148018</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18723</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3615</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170,133</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21,188</w:t>
            </w:r>
          </w:p>
        </w:tc>
        <w:tc>
          <w:tcPr>
            <w:tcW w:w="0" w:type="auto"/>
            <w:shd w:val="clear" w:color="auto" w:fill="auto"/>
            <w:noWrap/>
            <w:vAlign w:val="bottom"/>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4,135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F统计量</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18.815</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3.798</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2.096</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33.09</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5.450</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2.333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弱工具变量KP统计量</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29.320</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5.251</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1.180</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highlight w:val="yellow"/>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不可识别KP统计量</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37.414</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6.904</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1.645</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不可识别统计量P值</w:t>
            </w:r>
          </w:p>
        </w:tc>
        <w:tc>
          <w:tcPr>
            <w:tcW w:w="0" w:type="auto"/>
            <w:tcBorders>
              <w:lef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0.000</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0.009</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0.200</w:t>
            </w: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c>
          <w:tcPr>
            <w:tcW w:w="0" w:type="auto"/>
            <w:shd w:val="clear" w:color="auto" w:fill="auto"/>
            <w:noWrap/>
            <w:vAlign w:val="center"/>
          </w:tcPr>
          <w:p>
            <w:pPr>
              <w:keepNext w:val="0"/>
              <w:keepLines w:val="0"/>
              <w:pageBreakBefore w:val="0"/>
              <w:widowControl/>
              <w:kinsoku/>
              <w:wordWrap/>
              <w:overflowPunct/>
              <w:topLinePunct w:val="0"/>
              <w:bidi w:val="0"/>
              <w:adjustRightInd w:val="0"/>
              <w:snapToGrid w:val="0"/>
              <w:spacing w:line="360" w:lineRule="auto"/>
              <w:jc w:val="left"/>
              <w:rPr>
                <w:rFonts w:hint="eastAsia" w:ascii="仿宋" w:hAnsi="仿宋" w:eastAsia="仿宋" w:cs="仿宋"/>
                <w:kern w:val="0"/>
                <w:sz w:val="21"/>
                <w:szCs w:val="21"/>
              </w:rPr>
            </w:pPr>
          </w:p>
        </w:tc>
      </w:tr>
    </w:tbl>
    <w:p>
      <w:pPr>
        <w:keepNext w:val="0"/>
        <w:keepLines w:val="0"/>
        <w:pageBreakBefore w:val="0"/>
        <w:widowControl/>
        <w:kinsoku/>
        <w:wordWrap/>
        <w:overflowPunct/>
        <w:topLinePunct w:val="0"/>
        <w:bidi w:val="0"/>
        <w:spacing w:line="360" w:lineRule="auto"/>
        <w:jc w:val="left"/>
        <w:rPr>
          <w:rFonts w:hint="eastAsia" w:ascii="仿宋" w:hAnsi="仿宋" w:eastAsia="仿宋" w:cs="仿宋"/>
          <w:bCs/>
          <w:sz w:val="18"/>
          <w:szCs w:val="18"/>
        </w:rPr>
      </w:pPr>
      <w:r>
        <w:rPr>
          <w:rFonts w:hint="eastAsia" w:ascii="仿宋" w:hAnsi="仿宋" w:eastAsia="仿宋" w:cs="仿宋"/>
          <w:bCs/>
          <w:sz w:val="18"/>
          <w:szCs w:val="18"/>
        </w:rPr>
        <w:t>注：样本区间为2004</w:t>
      </w:r>
      <w:r>
        <w:rPr>
          <w:rFonts w:hint="eastAsia" w:ascii="仿宋" w:hAnsi="仿宋" w:eastAsia="仿宋" w:cs="仿宋"/>
          <w:bCs/>
          <w:sz w:val="18"/>
          <w:szCs w:val="18"/>
          <w:lang w:eastAsia="zh-CN"/>
        </w:rPr>
        <w:t>—</w:t>
      </w:r>
      <w:r>
        <w:rPr>
          <w:rFonts w:hint="eastAsia" w:ascii="仿宋" w:hAnsi="仿宋" w:eastAsia="仿宋" w:cs="仿宋"/>
          <w:bCs/>
          <w:sz w:val="18"/>
          <w:szCs w:val="18"/>
        </w:rPr>
        <w:t>2013年。</w:t>
      </w:r>
    </w:p>
    <w:p>
      <w:pPr>
        <w:pStyle w:val="2"/>
        <w:keepNext w:val="0"/>
        <w:keepLines w:val="0"/>
        <w:pageBreakBefore w:val="0"/>
        <w:kinsoku/>
        <w:wordWrap/>
        <w:overflowPunct/>
        <w:topLinePunct w:val="0"/>
        <w:bidi w:val="0"/>
        <w:spacing w:before="312" w:after="156" w:line="360" w:lineRule="auto"/>
        <w:jc w:val="left"/>
        <w:rPr>
          <w:rFonts w:hint="eastAsia" w:ascii="仿宋" w:hAnsi="仿宋" w:eastAsia="仿宋" w:cs="仿宋"/>
          <w:sz w:val="21"/>
          <w:szCs w:val="21"/>
        </w:rPr>
      </w:pPr>
    </w:p>
    <w:p>
      <w:pPr>
        <w:pStyle w:val="2"/>
        <w:keepNext w:val="0"/>
        <w:keepLines w:val="0"/>
        <w:pageBreakBefore w:val="0"/>
        <w:kinsoku/>
        <w:wordWrap/>
        <w:overflowPunct/>
        <w:topLinePunct w:val="0"/>
        <w:bidi w:val="0"/>
        <w:spacing w:before="312" w:after="156" w:line="360" w:lineRule="auto"/>
        <w:jc w:val="left"/>
        <w:rPr>
          <w:rFonts w:hint="eastAsia" w:ascii="仿宋" w:hAnsi="仿宋" w:eastAsia="仿宋" w:cs="仿宋"/>
          <w:sz w:val="21"/>
          <w:szCs w:val="21"/>
        </w:rPr>
      </w:pPr>
    </w:p>
    <w:p>
      <w:pPr>
        <w:pStyle w:val="2"/>
        <w:keepNext w:val="0"/>
        <w:keepLines w:val="0"/>
        <w:pageBreakBefore w:val="0"/>
        <w:kinsoku/>
        <w:wordWrap/>
        <w:overflowPunct/>
        <w:topLinePunct w:val="0"/>
        <w:bidi w:val="0"/>
        <w:spacing w:before="312" w:after="156" w:line="360" w:lineRule="auto"/>
        <w:jc w:val="left"/>
        <w:rPr>
          <w:rFonts w:hint="eastAsia" w:ascii="仿宋" w:hAnsi="仿宋" w:eastAsia="仿宋" w:cs="仿宋"/>
          <w:sz w:val="21"/>
          <w:szCs w:val="21"/>
        </w:rPr>
      </w:pPr>
      <w:r>
        <w:rPr>
          <w:rFonts w:hint="eastAsia" w:ascii="仿宋" w:hAnsi="仿宋" w:eastAsia="仿宋" w:cs="仿宋"/>
          <w:sz w:val="21"/>
          <w:szCs w:val="21"/>
        </w:rPr>
        <w:t>参考文献</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Acemoglu, D</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L. Claire, and P. Restrepo,“Competing with Robots: Firm-Level Evidence from France”, </w:t>
      </w:r>
      <w:r>
        <w:rPr>
          <w:rFonts w:hint="eastAsia" w:ascii="仿宋" w:hAnsi="仿宋" w:eastAsia="仿宋" w:cs="仿宋"/>
          <w:i/>
          <w:sz w:val="21"/>
          <w:szCs w:val="21"/>
        </w:rPr>
        <w:t>AEA Papers and Proceedings</w:t>
      </w:r>
      <w:r>
        <w:rPr>
          <w:rFonts w:hint="eastAsia" w:ascii="仿宋" w:hAnsi="仿宋" w:eastAsia="仿宋" w:cs="仿宋"/>
          <w:sz w:val="21"/>
          <w:szCs w:val="21"/>
        </w:rPr>
        <w:t>, 2020, 110, 383-88.</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 xml:space="preserve">Autor, D. H., D. Dorn, and G. H. Hanson,“Untangling Trade and Technology: Evidence from Local Labour Markets”, </w:t>
      </w:r>
      <w:r>
        <w:rPr>
          <w:rFonts w:hint="eastAsia" w:ascii="仿宋" w:hAnsi="仿宋" w:eastAsia="仿宋" w:cs="仿宋"/>
          <w:i/>
          <w:iCs/>
          <w:sz w:val="21"/>
          <w:szCs w:val="21"/>
        </w:rPr>
        <w:t>The Economic Journal</w:t>
      </w:r>
      <w:r>
        <w:rPr>
          <w:rFonts w:hint="eastAsia" w:ascii="仿宋" w:hAnsi="仿宋" w:eastAsia="仿宋" w:cs="仿宋"/>
          <w:sz w:val="21"/>
          <w:szCs w:val="21"/>
        </w:rPr>
        <w:t>, 2015, </w:t>
      </w:r>
      <w:r>
        <w:rPr>
          <w:rFonts w:hint="eastAsia" w:ascii="仿宋" w:hAnsi="仿宋" w:eastAsia="仿宋" w:cs="仿宋"/>
          <w:iCs/>
          <w:sz w:val="21"/>
          <w:szCs w:val="21"/>
        </w:rPr>
        <w:t>125</w:t>
      </w:r>
      <w:r>
        <w:rPr>
          <w:rFonts w:hint="eastAsia" w:ascii="仿宋" w:hAnsi="仿宋" w:eastAsia="仿宋" w:cs="仿宋"/>
          <w:sz w:val="21"/>
          <w:szCs w:val="21"/>
        </w:rPr>
        <w:t>(584), 621-646.</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Autor, D., G. H. Hanson, G. Pisano, and P. Shu,“Foreign Competition and Domestic Innovation: Evidence from US Patents”,</w:t>
      </w:r>
      <w:r>
        <w:rPr>
          <w:rFonts w:hint="eastAsia" w:ascii="仿宋" w:hAnsi="仿宋" w:eastAsia="仿宋" w:cs="仿宋"/>
          <w:i/>
          <w:iCs/>
          <w:sz w:val="21"/>
          <w:szCs w:val="21"/>
        </w:rPr>
        <w:t>American Economic Review:</w:t>
      </w:r>
      <w:r>
        <w:rPr>
          <w:rFonts w:hint="eastAsia" w:ascii="仿宋" w:hAnsi="仿宋" w:eastAsia="仿宋" w:cs="仿宋"/>
          <w:i/>
          <w:iCs/>
          <w:sz w:val="21"/>
          <w:szCs w:val="21"/>
          <w:lang w:val="en-US" w:eastAsia="zh-CN"/>
        </w:rPr>
        <w:t xml:space="preserve"> </w:t>
      </w:r>
      <w:r>
        <w:rPr>
          <w:rFonts w:hint="eastAsia" w:ascii="仿宋" w:hAnsi="仿宋" w:eastAsia="仿宋" w:cs="仿宋"/>
          <w:i/>
          <w:iCs/>
          <w:sz w:val="21"/>
          <w:szCs w:val="21"/>
        </w:rPr>
        <w:t>Insights</w:t>
      </w:r>
      <w:r>
        <w:rPr>
          <w:rFonts w:hint="eastAsia" w:ascii="仿宋" w:hAnsi="仿宋" w:eastAsia="仿宋" w:cs="仿宋"/>
          <w:sz w:val="21"/>
          <w:szCs w:val="21"/>
        </w:rPr>
        <w:t>, 2020, </w:t>
      </w:r>
      <w:r>
        <w:rPr>
          <w:rFonts w:hint="eastAsia" w:ascii="仿宋" w:hAnsi="仿宋" w:eastAsia="仿宋" w:cs="仿宋"/>
          <w:iCs/>
          <w:sz w:val="21"/>
          <w:szCs w:val="21"/>
        </w:rPr>
        <w:t>2</w:t>
      </w:r>
      <w:r>
        <w:rPr>
          <w:rFonts w:hint="eastAsia" w:ascii="仿宋" w:hAnsi="仿宋" w:eastAsia="仿宋" w:cs="仿宋"/>
          <w:sz w:val="21"/>
          <w:szCs w:val="21"/>
        </w:rPr>
        <w:t>(3), 357-74.</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Bloom, N., M. Draca, and J. Van Reenen,“Trade Induced Technical Change? The Impact of Chinese Imports on Innovation, IT and Productivity”, </w:t>
      </w:r>
      <w:r>
        <w:rPr>
          <w:rFonts w:hint="eastAsia" w:ascii="仿宋" w:hAnsi="仿宋" w:eastAsia="仿宋" w:cs="仿宋"/>
          <w:i/>
          <w:iCs/>
          <w:sz w:val="21"/>
          <w:szCs w:val="21"/>
        </w:rPr>
        <w:t>The Review of Economic Studie</w:t>
      </w:r>
      <w:r>
        <w:rPr>
          <w:rFonts w:hint="eastAsia" w:ascii="仿宋" w:hAnsi="仿宋" w:eastAsia="仿宋" w:cs="仿宋"/>
          <w:iCs/>
          <w:sz w:val="21"/>
          <w:szCs w:val="21"/>
        </w:rPr>
        <w:t>s</w:t>
      </w:r>
      <w:r>
        <w:rPr>
          <w:rFonts w:hint="eastAsia" w:ascii="仿宋" w:hAnsi="仿宋" w:eastAsia="仿宋" w:cs="仿宋"/>
          <w:sz w:val="21"/>
          <w:szCs w:val="21"/>
        </w:rPr>
        <w:t xml:space="preserve">, 2016, </w:t>
      </w:r>
      <w:r>
        <w:rPr>
          <w:rFonts w:hint="eastAsia" w:ascii="仿宋" w:hAnsi="仿宋" w:eastAsia="仿宋" w:cs="仿宋"/>
          <w:iCs/>
          <w:sz w:val="21"/>
          <w:szCs w:val="21"/>
        </w:rPr>
        <w:t>83</w:t>
      </w:r>
      <w:r>
        <w:rPr>
          <w:rFonts w:hint="eastAsia" w:ascii="仿宋" w:hAnsi="仿宋" w:eastAsia="仿宋" w:cs="仿宋"/>
          <w:sz w:val="21"/>
          <w:szCs w:val="21"/>
        </w:rPr>
        <w:t>(1), 87-117.</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 xml:space="preserve">Chen, Z., J. Zhang, and W. Zheng,“Import and Innovation: Evidence from Chinese Firms”, </w:t>
      </w:r>
      <w:r>
        <w:rPr>
          <w:rFonts w:hint="eastAsia" w:ascii="仿宋" w:hAnsi="仿宋" w:eastAsia="仿宋" w:cs="仿宋"/>
          <w:i/>
          <w:sz w:val="21"/>
          <w:szCs w:val="21"/>
        </w:rPr>
        <w:t>European Economic Review</w:t>
      </w:r>
      <w:r>
        <w:rPr>
          <w:rFonts w:hint="eastAsia" w:ascii="仿宋" w:hAnsi="仿宋" w:eastAsia="仿宋" w:cs="仿宋"/>
          <w:sz w:val="21"/>
          <w:szCs w:val="21"/>
        </w:rPr>
        <w:t>, 2017, 94, 205-220.</w:t>
      </w:r>
    </w:p>
    <w:p>
      <w:pPr>
        <w:keepNext w:val="0"/>
        <w:keepLines w:val="0"/>
        <w:pageBreakBefore w:val="0"/>
        <w:numPr>
          <w:ilvl w:val="0"/>
          <w:numId w:val="2"/>
        </w:numPr>
        <w:kinsoku/>
        <w:wordWrap/>
        <w:overflowPunct/>
        <w:topLinePunct w:val="0"/>
        <w:bidi w:val="0"/>
        <w:spacing w:line="360" w:lineRule="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Colantone, I., and R. Crinò,“New Imported Inputs, New Domestic Products”, </w:t>
      </w:r>
      <w:r>
        <w:rPr>
          <w:rFonts w:hint="eastAsia" w:ascii="仿宋" w:hAnsi="仿宋" w:eastAsia="仿宋" w:cs="仿宋"/>
          <w:i/>
          <w:iCs/>
          <w:sz w:val="21"/>
          <w:szCs w:val="21"/>
          <w:shd w:val="clear" w:color="auto" w:fill="FFFFFF"/>
        </w:rPr>
        <w:t>Journal of International Economics,</w:t>
      </w:r>
      <w:r>
        <w:rPr>
          <w:rFonts w:hint="eastAsia" w:ascii="仿宋" w:hAnsi="仿宋" w:eastAsia="仿宋" w:cs="仿宋"/>
          <w:sz w:val="21"/>
          <w:szCs w:val="21"/>
          <w:shd w:val="clear" w:color="auto" w:fill="FFFFFF"/>
        </w:rPr>
        <w:t xml:space="preserve"> 2014, </w:t>
      </w:r>
      <w:r>
        <w:rPr>
          <w:rFonts w:hint="eastAsia" w:ascii="仿宋" w:hAnsi="仿宋" w:eastAsia="仿宋" w:cs="仿宋"/>
          <w:iCs/>
          <w:sz w:val="21"/>
          <w:szCs w:val="21"/>
          <w:shd w:val="clear" w:color="auto" w:fill="FFFFFF"/>
        </w:rPr>
        <w:t>92</w:t>
      </w:r>
      <w:r>
        <w:rPr>
          <w:rFonts w:hint="eastAsia" w:ascii="仿宋" w:hAnsi="仿宋" w:eastAsia="仿宋" w:cs="仿宋"/>
          <w:sz w:val="21"/>
          <w:szCs w:val="21"/>
          <w:shd w:val="clear" w:color="auto" w:fill="FFFFFF"/>
        </w:rPr>
        <w:t>(1), 147-165.</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Dauth, W</w:t>
      </w:r>
      <w:r>
        <w:rPr>
          <w:rFonts w:hint="eastAsia" w:ascii="仿宋" w:hAnsi="仿宋" w:eastAsia="仿宋" w:cs="仿宋"/>
          <w:sz w:val="21"/>
          <w:szCs w:val="21"/>
          <w:lang w:val="en-US" w:eastAsia="zh-CN"/>
        </w:rPr>
        <w:t>.</w:t>
      </w:r>
      <w:r>
        <w:rPr>
          <w:rFonts w:hint="eastAsia" w:ascii="仿宋" w:hAnsi="仿宋" w:eastAsia="仿宋" w:cs="仿宋"/>
          <w:sz w:val="21"/>
          <w:szCs w:val="21"/>
        </w:rPr>
        <w:t>, F. Sebastian, S. Jens, and W. Nicole</w:t>
      </w:r>
      <w:r>
        <w:rPr>
          <w:rFonts w:hint="eastAsia" w:ascii="仿宋" w:hAnsi="仿宋" w:eastAsia="仿宋" w:cs="仿宋"/>
          <w:sz w:val="21"/>
          <w:szCs w:val="21"/>
          <w:lang w:val="en-US" w:eastAsia="zh-CN"/>
        </w:rPr>
        <w:t>,</w:t>
      </w:r>
      <w:r>
        <w:rPr>
          <w:rFonts w:hint="eastAsia" w:ascii="仿宋" w:hAnsi="仿宋" w:eastAsia="仿宋" w:cs="仿宋"/>
          <w:sz w:val="21"/>
          <w:szCs w:val="21"/>
        </w:rPr>
        <w:t>“German Robots-The Impact of Industrial Robots on Workers”, CEPR Discussion Paper, No. DP12306, 2017.</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Dixon, J</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H. Bryan, and W. Lynn,“The Robot Revolution: Managerial and Employment Consequences for Firms”, </w:t>
      </w:r>
      <w:r>
        <w:rPr>
          <w:rFonts w:hint="eastAsia" w:ascii="仿宋" w:hAnsi="仿宋" w:eastAsia="仿宋" w:cs="仿宋"/>
          <w:i/>
          <w:sz w:val="21"/>
          <w:szCs w:val="21"/>
        </w:rPr>
        <w:t>Management Science</w:t>
      </w:r>
      <w:r>
        <w:rPr>
          <w:rFonts w:hint="eastAsia" w:ascii="仿宋" w:hAnsi="仿宋" w:eastAsia="仿宋" w:cs="仿宋"/>
          <w:sz w:val="21"/>
          <w:szCs w:val="21"/>
        </w:rPr>
        <w:t>, 2021, 67(9), 5586-5605.</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Eaton, J., and S. Kortum, “Trade in Capital Goods”, </w:t>
      </w:r>
      <w:r>
        <w:rPr>
          <w:rFonts w:hint="eastAsia" w:ascii="仿宋" w:hAnsi="仿宋" w:eastAsia="仿宋" w:cs="仿宋"/>
          <w:i/>
          <w:iCs/>
          <w:sz w:val="21"/>
          <w:szCs w:val="21"/>
        </w:rPr>
        <w:t>European Economic Review</w:t>
      </w:r>
      <w:r>
        <w:rPr>
          <w:rFonts w:hint="eastAsia" w:ascii="仿宋" w:hAnsi="仿宋" w:eastAsia="仿宋" w:cs="仿宋"/>
          <w:sz w:val="21"/>
          <w:szCs w:val="21"/>
        </w:rPr>
        <w:t xml:space="preserve">, 2001, </w:t>
      </w:r>
      <w:r>
        <w:rPr>
          <w:rFonts w:hint="eastAsia" w:ascii="仿宋" w:hAnsi="仿宋" w:eastAsia="仿宋" w:cs="仿宋"/>
          <w:iCs/>
          <w:sz w:val="21"/>
          <w:szCs w:val="21"/>
        </w:rPr>
        <w:t>45</w:t>
      </w:r>
      <w:r>
        <w:rPr>
          <w:rFonts w:hint="eastAsia" w:ascii="仿宋" w:hAnsi="仿宋" w:eastAsia="仿宋" w:cs="仿宋"/>
          <w:sz w:val="21"/>
          <w:szCs w:val="21"/>
        </w:rPr>
        <w:t>(7), 1195-1235.</w:t>
      </w:r>
    </w:p>
    <w:p>
      <w:pPr>
        <w:keepNext w:val="0"/>
        <w:keepLines w:val="0"/>
        <w:pageBreakBefore w:val="0"/>
        <w:numPr>
          <w:ilvl w:val="0"/>
          <w:numId w:val="2"/>
        </w:numPr>
        <w:kinsoku/>
        <w:wordWrap/>
        <w:overflowPunct/>
        <w:topLinePunct w:val="0"/>
        <w:bidi w:val="0"/>
        <w:spacing w:line="360" w:lineRule="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Goldberg, P. K., A. K. Khandelwal, N. Pavcnik, and P. Topalova, “Imported Intermediate Inputs and Domestic Product Growth: Evidence from India”, </w:t>
      </w:r>
      <w:r>
        <w:rPr>
          <w:rFonts w:hint="eastAsia" w:ascii="仿宋" w:hAnsi="仿宋" w:eastAsia="仿宋" w:cs="仿宋"/>
          <w:i/>
          <w:iCs/>
          <w:sz w:val="21"/>
          <w:szCs w:val="21"/>
          <w:shd w:val="clear" w:color="auto" w:fill="FFFFFF"/>
        </w:rPr>
        <w:t>The Quarterly Journal of Economics</w:t>
      </w:r>
      <w:r>
        <w:rPr>
          <w:rFonts w:hint="eastAsia" w:ascii="仿宋" w:hAnsi="仿宋" w:eastAsia="仿宋" w:cs="仿宋"/>
          <w:sz w:val="21"/>
          <w:szCs w:val="21"/>
          <w:shd w:val="clear" w:color="auto" w:fill="FFFFFF"/>
        </w:rPr>
        <w:t>, 2010, </w:t>
      </w:r>
      <w:r>
        <w:rPr>
          <w:rFonts w:hint="eastAsia" w:ascii="仿宋" w:hAnsi="仿宋" w:eastAsia="仿宋" w:cs="仿宋"/>
          <w:iCs/>
          <w:sz w:val="21"/>
          <w:szCs w:val="21"/>
          <w:shd w:val="clear" w:color="auto" w:fill="FFFFFF"/>
        </w:rPr>
        <w:t>125</w:t>
      </w:r>
      <w:r>
        <w:rPr>
          <w:rFonts w:hint="eastAsia" w:ascii="仿宋" w:hAnsi="仿宋" w:eastAsia="仿宋" w:cs="仿宋"/>
          <w:sz w:val="21"/>
          <w:szCs w:val="21"/>
          <w:shd w:val="clear" w:color="auto" w:fill="FFFFFF"/>
        </w:rPr>
        <w:t>(4), 1727-1767.</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 xml:space="preserve">Grieco, P. L., S. Li, and H. Zhang,“Input Prices, Productivity and Trade Dynamics: Long-Run Effects of Liberalization on Chinese Paint Manufacturers”, Working Paper, 2022. </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Katz, L.F.</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and R. A. Margo, </w:t>
      </w:r>
      <w:r>
        <w:rPr>
          <w:rFonts w:hint="eastAsia" w:ascii="仿宋" w:hAnsi="仿宋" w:eastAsia="仿宋" w:cs="仿宋"/>
          <w:i/>
          <w:sz w:val="21"/>
          <w:szCs w:val="21"/>
        </w:rPr>
        <w:t>Technical Change and the Relative Demand for Skilled Labor: The United States in Historical Perspective</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Chicago: University of Chicago Press, 2014.</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Keller,</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W.,“International Technology Diffusion”, </w:t>
      </w:r>
      <w:r>
        <w:rPr>
          <w:rFonts w:hint="eastAsia" w:ascii="仿宋" w:hAnsi="仿宋" w:eastAsia="仿宋" w:cs="仿宋"/>
          <w:i/>
          <w:iCs/>
          <w:sz w:val="21"/>
          <w:szCs w:val="21"/>
        </w:rPr>
        <w:t>Journal of Economic Literature</w:t>
      </w:r>
      <w:r>
        <w:rPr>
          <w:rFonts w:hint="eastAsia" w:ascii="仿宋" w:hAnsi="仿宋" w:eastAsia="仿宋" w:cs="仿宋"/>
          <w:sz w:val="21"/>
          <w:szCs w:val="21"/>
        </w:rPr>
        <w:t xml:space="preserve">, 2004, </w:t>
      </w:r>
      <w:r>
        <w:rPr>
          <w:rFonts w:hint="eastAsia" w:ascii="仿宋" w:hAnsi="仿宋" w:eastAsia="仿宋" w:cs="仿宋"/>
          <w:iCs/>
          <w:sz w:val="21"/>
          <w:szCs w:val="21"/>
        </w:rPr>
        <w:t>42</w:t>
      </w:r>
      <w:r>
        <w:rPr>
          <w:rFonts w:hint="eastAsia" w:ascii="仿宋" w:hAnsi="仿宋" w:eastAsia="仿宋" w:cs="仿宋"/>
          <w:sz w:val="21"/>
          <w:szCs w:val="21"/>
        </w:rPr>
        <w:t>(3), 752-782.</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Liu, Q., and H. Ma,</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“Trade Policy Uncertainty and Innovation: Firm Level Evidence from China’s WTO Accession”, </w:t>
      </w:r>
      <w:r>
        <w:rPr>
          <w:rFonts w:hint="eastAsia" w:ascii="仿宋" w:hAnsi="仿宋" w:eastAsia="仿宋" w:cs="仿宋"/>
          <w:i/>
          <w:sz w:val="21"/>
          <w:szCs w:val="21"/>
        </w:rPr>
        <w:t>Journal of International Economics</w:t>
      </w:r>
      <w:r>
        <w:rPr>
          <w:rFonts w:hint="eastAsia" w:ascii="仿宋" w:hAnsi="仿宋" w:eastAsia="仿宋" w:cs="仿宋"/>
          <w:sz w:val="21"/>
          <w:szCs w:val="21"/>
        </w:rPr>
        <w:t>, 2020, 127</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103387.</w:t>
      </w:r>
    </w:p>
    <w:p>
      <w:pPr>
        <w:pStyle w:val="27"/>
        <w:keepNext w:val="0"/>
        <w:keepLines w:val="0"/>
        <w:pageBreakBefore w:val="0"/>
        <w:widowControl/>
        <w:numPr>
          <w:ilvl w:val="0"/>
          <w:numId w:val="2"/>
        </w:numPr>
        <w:kinsoku/>
        <w:wordWrap/>
        <w:overflowPunct/>
        <w:topLinePunct w:val="0"/>
        <w:bidi w:val="0"/>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 xml:space="preserve">Liu, Q., and L. D. Qiu, “Intermediate Input Imports and Innovations: Evidence from Chinese Firms' Patent Filings”, </w:t>
      </w:r>
      <w:r>
        <w:rPr>
          <w:rFonts w:hint="eastAsia" w:ascii="仿宋" w:hAnsi="仿宋" w:eastAsia="仿宋" w:cs="仿宋"/>
          <w:i/>
          <w:iCs/>
          <w:sz w:val="21"/>
          <w:szCs w:val="21"/>
        </w:rPr>
        <w:t>Journal of International Economics</w:t>
      </w:r>
      <w:r>
        <w:rPr>
          <w:rFonts w:hint="eastAsia" w:ascii="仿宋" w:hAnsi="仿宋" w:eastAsia="仿宋" w:cs="仿宋"/>
          <w:sz w:val="21"/>
          <w:szCs w:val="21"/>
        </w:rPr>
        <w:t>, 2016, </w:t>
      </w:r>
      <w:r>
        <w:rPr>
          <w:rFonts w:hint="eastAsia" w:ascii="仿宋" w:hAnsi="仿宋" w:eastAsia="仿宋" w:cs="仿宋"/>
          <w:iCs/>
          <w:sz w:val="21"/>
          <w:szCs w:val="21"/>
        </w:rPr>
        <w:t>103</w:t>
      </w:r>
      <w:r>
        <w:rPr>
          <w:rFonts w:hint="eastAsia" w:ascii="仿宋" w:hAnsi="仿宋" w:eastAsia="仿宋" w:cs="仿宋"/>
          <w:sz w:val="21"/>
          <w:szCs w:val="21"/>
        </w:rPr>
        <w:t>, 166-183.</w:t>
      </w:r>
    </w:p>
    <w:p>
      <w:pPr>
        <w:keepNext w:val="0"/>
        <w:keepLines w:val="0"/>
        <w:pageBreakBefore w:val="0"/>
        <w:numPr>
          <w:ilvl w:val="0"/>
          <w:numId w:val="2"/>
        </w:numPr>
        <w:kinsoku/>
        <w:wordWrap/>
        <w:overflowPunct/>
        <w:topLinePunct w:val="0"/>
        <w:bidi w:val="0"/>
        <w:spacing w:line="360" w:lineRule="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Mo, J., L. D. Qiu, H. Zhang, and X. Dong,“What You Import Matters for Productivity Growth: Experience from Chinese Manufacturing Firms”, </w:t>
      </w:r>
      <w:r>
        <w:rPr>
          <w:rFonts w:hint="eastAsia" w:ascii="仿宋" w:hAnsi="仿宋" w:eastAsia="仿宋" w:cs="仿宋"/>
          <w:i/>
          <w:sz w:val="21"/>
          <w:szCs w:val="21"/>
          <w:shd w:val="clear" w:color="auto" w:fill="FFFFFF"/>
        </w:rPr>
        <w:t>Journal of Development Economics</w:t>
      </w:r>
      <w:r>
        <w:rPr>
          <w:rFonts w:hint="eastAsia" w:ascii="仿宋" w:hAnsi="仿宋" w:eastAsia="仿宋" w:cs="仿宋"/>
          <w:sz w:val="21"/>
          <w:szCs w:val="21"/>
          <w:shd w:val="clear" w:color="auto" w:fill="FFFFFF"/>
        </w:rPr>
        <w:t xml:space="preserve">, 2021, 152, 102677. </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Sun, X., H. Li, and V. Ghosal, “Firm-Level Human Capital and Innovation: Evidence from China”, </w:t>
      </w:r>
      <w:r>
        <w:rPr>
          <w:rFonts w:hint="eastAsia" w:ascii="仿宋" w:hAnsi="仿宋" w:eastAsia="仿宋" w:cs="仿宋"/>
          <w:i/>
          <w:sz w:val="21"/>
          <w:szCs w:val="21"/>
          <w:shd w:val="clear" w:color="auto" w:fill="FFFFFF"/>
        </w:rPr>
        <w:t>China Economic Review</w:t>
      </w:r>
      <w:r>
        <w:rPr>
          <w:rFonts w:hint="eastAsia" w:ascii="仿宋" w:hAnsi="仿宋" w:eastAsia="仿宋" w:cs="仿宋"/>
          <w:sz w:val="21"/>
          <w:szCs w:val="21"/>
          <w:shd w:val="clear" w:color="auto" w:fill="FFFFFF"/>
        </w:rPr>
        <w:t>, 2020, 59, 101388.</w:t>
      </w:r>
    </w:p>
    <w:p>
      <w:pPr>
        <w:pStyle w:val="27"/>
        <w:keepNext w:val="0"/>
        <w:keepLines w:val="0"/>
        <w:pageBreakBefore w:val="0"/>
        <w:numPr>
          <w:ilvl w:val="0"/>
          <w:numId w:val="2"/>
        </w:numPr>
        <w:kinsoku/>
        <w:wordWrap/>
        <w:overflowPunct/>
        <w:topLinePunct w:val="0"/>
        <w:bidi w:val="0"/>
        <w:spacing w:line="360" w:lineRule="auto"/>
        <w:ind w:firstLineChars="0"/>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Yu, M</w:t>
      </w:r>
      <w:r>
        <w:rPr>
          <w:rFonts w:hint="eastAsia" w:ascii="仿宋" w:hAnsi="仿宋" w:eastAsia="仿宋" w:cs="仿宋"/>
          <w:sz w:val="21"/>
          <w:szCs w:val="21"/>
          <w:shd w:val="clear" w:color="auto" w:fill="FFFFFF"/>
          <w:lang w:val="en-US" w:eastAsia="zh-CN"/>
        </w:rPr>
        <w:t>.</w:t>
      </w:r>
      <w:r>
        <w:rPr>
          <w:rFonts w:hint="eastAsia" w:ascii="仿宋" w:hAnsi="仿宋" w:eastAsia="仿宋" w:cs="仿宋"/>
          <w:sz w:val="21"/>
          <w:szCs w:val="21"/>
          <w:shd w:val="clear" w:color="auto" w:fill="FFFFFF"/>
        </w:rPr>
        <w:t xml:space="preserve">, “Processing Trade, Tariff Reductions and Firm Productivity: Evidence from Chinese Firms”, </w:t>
      </w:r>
      <w:r>
        <w:rPr>
          <w:rFonts w:hint="eastAsia" w:ascii="仿宋" w:hAnsi="仿宋" w:eastAsia="仿宋" w:cs="仿宋"/>
          <w:i/>
          <w:sz w:val="21"/>
          <w:szCs w:val="21"/>
          <w:shd w:val="clear" w:color="auto" w:fill="FFFFFF"/>
        </w:rPr>
        <w:t>The Economic Journal</w:t>
      </w:r>
      <w:r>
        <w:rPr>
          <w:rFonts w:hint="eastAsia" w:ascii="仿宋" w:hAnsi="仿宋" w:eastAsia="仿宋" w:cs="仿宋"/>
          <w:sz w:val="21"/>
          <w:szCs w:val="21"/>
          <w:shd w:val="clear" w:color="auto" w:fill="FFFFFF"/>
        </w:rPr>
        <w:t>, 2015, 125(585), 943-988.</w:t>
      </w: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pStyle w:val="27"/>
        <w:keepNext w:val="0"/>
        <w:keepLines w:val="0"/>
        <w:pageBreakBefore w:val="0"/>
        <w:kinsoku/>
        <w:wordWrap/>
        <w:overflowPunct/>
        <w:topLinePunct w:val="0"/>
        <w:bidi w:val="0"/>
        <w:spacing w:line="360" w:lineRule="auto"/>
        <w:ind w:firstLine="422"/>
        <w:rPr>
          <w:rFonts w:hint="eastAsia" w:ascii="仿宋" w:hAnsi="仿宋" w:eastAsia="仿宋" w:cs="仿宋"/>
          <w:b/>
          <w:sz w:val="24"/>
          <w:szCs w:val="24"/>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GNEP D+ Gulliver">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83433"/>
      <w:docPartObj>
        <w:docPartGallery w:val="autotext"/>
      </w:docPartObj>
    </w:sdtPr>
    <w:sdtEndPr>
      <w:rPr>
        <w:rFonts w:ascii="Times New Roman" w:hAnsi="Times New Roman" w:cs="Times New Roman"/>
      </w:rPr>
    </w:sdtEndPr>
    <w:sdtContent>
      <w:p>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25</w:t>
        </w:r>
        <w:r>
          <w:rPr>
            <w:rFonts w:ascii="Times New Roman" w:hAnsi="Times New Roman" w:cs="Times New Roma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 xml:space="preserve">经济学》（季刊）          </w:t>
    </w:r>
    <w:r>
      <w:rPr>
        <w:rFonts w:hint="eastAsia" w:ascii="宋体" w:hAnsi="宋体" w:eastAsia="宋体" w:cs="宋体"/>
      </w:rPr>
      <w:t>工业机器人与企业创新——来自中国制造业企业的证据</w:t>
    </w:r>
    <w:r>
      <w:rPr>
        <w:rFonts w:hint="eastAsia" w:ascii="宋体" w:hAnsi="宋体" w:eastAsia="宋体" w:cs="宋体"/>
        <w:lang w:val="en-US" w:eastAsia="zh-CN"/>
      </w:rPr>
      <w:t xml:space="preserve">           第23卷第4期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75003"/>
    <w:multiLevelType w:val="multilevel"/>
    <w:tmpl w:val="14775003"/>
    <w:lvl w:ilvl="0" w:tentative="0">
      <w:start w:val="1"/>
      <w:numFmt w:val="decimal"/>
      <w:lvlText w:val="[%1]"/>
      <w:lvlJc w:val="left"/>
      <w:pPr>
        <w:ind w:left="463" w:hanging="420"/>
      </w:pPr>
      <w:rPr>
        <w:rFonts w:hint="default"/>
      </w:rPr>
    </w:lvl>
    <w:lvl w:ilvl="1" w:tentative="0">
      <w:start w:val="1"/>
      <w:numFmt w:val="lowerLetter"/>
      <w:lvlText w:val="%2)"/>
      <w:lvlJc w:val="left"/>
      <w:pPr>
        <w:ind w:left="883" w:hanging="420"/>
      </w:pPr>
    </w:lvl>
    <w:lvl w:ilvl="2" w:tentative="0">
      <w:start w:val="1"/>
      <w:numFmt w:val="lowerRoman"/>
      <w:lvlText w:val="%3."/>
      <w:lvlJc w:val="right"/>
      <w:pPr>
        <w:ind w:left="1303" w:hanging="420"/>
      </w:pPr>
    </w:lvl>
    <w:lvl w:ilvl="3" w:tentative="0">
      <w:start w:val="1"/>
      <w:numFmt w:val="decimal"/>
      <w:lvlText w:val="%4."/>
      <w:lvlJc w:val="left"/>
      <w:pPr>
        <w:ind w:left="1723" w:hanging="420"/>
      </w:pPr>
    </w:lvl>
    <w:lvl w:ilvl="4" w:tentative="0">
      <w:start w:val="1"/>
      <w:numFmt w:val="lowerLetter"/>
      <w:lvlText w:val="%5)"/>
      <w:lvlJc w:val="left"/>
      <w:pPr>
        <w:ind w:left="2143" w:hanging="420"/>
      </w:pPr>
    </w:lvl>
    <w:lvl w:ilvl="5" w:tentative="0">
      <w:start w:val="1"/>
      <w:numFmt w:val="lowerRoman"/>
      <w:lvlText w:val="%6."/>
      <w:lvlJc w:val="right"/>
      <w:pPr>
        <w:ind w:left="2563" w:hanging="420"/>
      </w:pPr>
    </w:lvl>
    <w:lvl w:ilvl="6" w:tentative="0">
      <w:start w:val="1"/>
      <w:numFmt w:val="decimal"/>
      <w:lvlText w:val="%7."/>
      <w:lvlJc w:val="left"/>
      <w:pPr>
        <w:ind w:left="2983" w:hanging="420"/>
      </w:pPr>
    </w:lvl>
    <w:lvl w:ilvl="7" w:tentative="0">
      <w:start w:val="1"/>
      <w:numFmt w:val="lowerLetter"/>
      <w:lvlText w:val="%8)"/>
      <w:lvlJc w:val="left"/>
      <w:pPr>
        <w:ind w:left="3403" w:hanging="420"/>
      </w:pPr>
    </w:lvl>
    <w:lvl w:ilvl="8" w:tentative="0">
      <w:start w:val="1"/>
      <w:numFmt w:val="lowerRoman"/>
      <w:lvlText w:val="%9."/>
      <w:lvlJc w:val="right"/>
      <w:pPr>
        <w:ind w:left="3823" w:hanging="420"/>
      </w:pPr>
    </w:lvl>
  </w:abstractNum>
  <w:abstractNum w:abstractNumId="1">
    <w:nsid w:val="5B547C12"/>
    <w:multiLevelType w:val="multilevel"/>
    <w:tmpl w:val="5B547C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wMDI1NTMzMrAwMjdU0lEKTi0uzszPAykwtKgFAAAkMB4tAAAA"/>
    <w:docVar w:name="commondata" w:val="eyJoZGlkIjoiMzk5YTY5MzAxODJhZDAxMGMwZGQwZTA0ZDg0NjA2ZDkifQ=="/>
  </w:docVars>
  <w:rsids>
    <w:rsidRoot w:val="00C65D75"/>
    <w:rsid w:val="000009BB"/>
    <w:rsid w:val="00001C96"/>
    <w:rsid w:val="00002437"/>
    <w:rsid w:val="00002A60"/>
    <w:rsid w:val="00002AF2"/>
    <w:rsid w:val="0000312A"/>
    <w:rsid w:val="000031E1"/>
    <w:rsid w:val="000034C8"/>
    <w:rsid w:val="00003536"/>
    <w:rsid w:val="00003591"/>
    <w:rsid w:val="000035AD"/>
    <w:rsid w:val="00004045"/>
    <w:rsid w:val="0000404C"/>
    <w:rsid w:val="000047AF"/>
    <w:rsid w:val="00004821"/>
    <w:rsid w:val="00004EFB"/>
    <w:rsid w:val="00004FB0"/>
    <w:rsid w:val="00005704"/>
    <w:rsid w:val="00005867"/>
    <w:rsid w:val="000059E6"/>
    <w:rsid w:val="000061B8"/>
    <w:rsid w:val="00006275"/>
    <w:rsid w:val="0000631E"/>
    <w:rsid w:val="000068B1"/>
    <w:rsid w:val="000069CD"/>
    <w:rsid w:val="00007480"/>
    <w:rsid w:val="00007A77"/>
    <w:rsid w:val="00007C3C"/>
    <w:rsid w:val="00010252"/>
    <w:rsid w:val="000102AB"/>
    <w:rsid w:val="00010C47"/>
    <w:rsid w:val="00010CA3"/>
    <w:rsid w:val="000113EF"/>
    <w:rsid w:val="00011538"/>
    <w:rsid w:val="000118EC"/>
    <w:rsid w:val="00012BB6"/>
    <w:rsid w:val="00012DC2"/>
    <w:rsid w:val="00013934"/>
    <w:rsid w:val="00013A29"/>
    <w:rsid w:val="00013BA2"/>
    <w:rsid w:val="00013BE4"/>
    <w:rsid w:val="00013EC3"/>
    <w:rsid w:val="000141B1"/>
    <w:rsid w:val="0001420C"/>
    <w:rsid w:val="00014CA0"/>
    <w:rsid w:val="00014CA3"/>
    <w:rsid w:val="000155E4"/>
    <w:rsid w:val="00016457"/>
    <w:rsid w:val="0001656B"/>
    <w:rsid w:val="0001666E"/>
    <w:rsid w:val="00016846"/>
    <w:rsid w:val="0001724C"/>
    <w:rsid w:val="00017313"/>
    <w:rsid w:val="00020253"/>
    <w:rsid w:val="000203E9"/>
    <w:rsid w:val="000206A2"/>
    <w:rsid w:val="000207CA"/>
    <w:rsid w:val="000209F3"/>
    <w:rsid w:val="00020F94"/>
    <w:rsid w:val="00021BDD"/>
    <w:rsid w:val="000225AD"/>
    <w:rsid w:val="00023327"/>
    <w:rsid w:val="00023A80"/>
    <w:rsid w:val="00023BA9"/>
    <w:rsid w:val="0002418D"/>
    <w:rsid w:val="00024677"/>
    <w:rsid w:val="00024961"/>
    <w:rsid w:val="00024C50"/>
    <w:rsid w:val="00024C76"/>
    <w:rsid w:val="00024CBC"/>
    <w:rsid w:val="00024F77"/>
    <w:rsid w:val="00025743"/>
    <w:rsid w:val="00025F3F"/>
    <w:rsid w:val="00026935"/>
    <w:rsid w:val="0002696C"/>
    <w:rsid w:val="00026D03"/>
    <w:rsid w:val="000277FD"/>
    <w:rsid w:val="000279C3"/>
    <w:rsid w:val="00027A23"/>
    <w:rsid w:val="000302E1"/>
    <w:rsid w:val="000310D4"/>
    <w:rsid w:val="00031A4A"/>
    <w:rsid w:val="00031BE1"/>
    <w:rsid w:val="00031F40"/>
    <w:rsid w:val="000321DC"/>
    <w:rsid w:val="000326DD"/>
    <w:rsid w:val="0003324F"/>
    <w:rsid w:val="00033A78"/>
    <w:rsid w:val="00033B0B"/>
    <w:rsid w:val="00033CCD"/>
    <w:rsid w:val="000340C0"/>
    <w:rsid w:val="00034885"/>
    <w:rsid w:val="00034915"/>
    <w:rsid w:val="0003590F"/>
    <w:rsid w:val="00035C46"/>
    <w:rsid w:val="000378A7"/>
    <w:rsid w:val="00037AB5"/>
    <w:rsid w:val="0004225F"/>
    <w:rsid w:val="000423BF"/>
    <w:rsid w:val="00043148"/>
    <w:rsid w:val="00043435"/>
    <w:rsid w:val="0004376C"/>
    <w:rsid w:val="000444ED"/>
    <w:rsid w:val="00044A16"/>
    <w:rsid w:val="00045362"/>
    <w:rsid w:val="000454CC"/>
    <w:rsid w:val="00045657"/>
    <w:rsid w:val="00045BB7"/>
    <w:rsid w:val="00045EE0"/>
    <w:rsid w:val="00046703"/>
    <w:rsid w:val="00047477"/>
    <w:rsid w:val="00047BC1"/>
    <w:rsid w:val="000503D5"/>
    <w:rsid w:val="00050C8D"/>
    <w:rsid w:val="00050CD7"/>
    <w:rsid w:val="00050FCF"/>
    <w:rsid w:val="00051142"/>
    <w:rsid w:val="00051600"/>
    <w:rsid w:val="000534E9"/>
    <w:rsid w:val="000536A5"/>
    <w:rsid w:val="00053958"/>
    <w:rsid w:val="00053D49"/>
    <w:rsid w:val="00053DBE"/>
    <w:rsid w:val="0005465C"/>
    <w:rsid w:val="00054940"/>
    <w:rsid w:val="00054BBC"/>
    <w:rsid w:val="00054D03"/>
    <w:rsid w:val="00055198"/>
    <w:rsid w:val="0005549B"/>
    <w:rsid w:val="000554FD"/>
    <w:rsid w:val="00055526"/>
    <w:rsid w:val="00055AE9"/>
    <w:rsid w:val="00055CA3"/>
    <w:rsid w:val="000570EB"/>
    <w:rsid w:val="00057540"/>
    <w:rsid w:val="000600F1"/>
    <w:rsid w:val="00061508"/>
    <w:rsid w:val="00061F3B"/>
    <w:rsid w:val="00061F9B"/>
    <w:rsid w:val="00062278"/>
    <w:rsid w:val="000631CE"/>
    <w:rsid w:val="000634AA"/>
    <w:rsid w:val="00063D25"/>
    <w:rsid w:val="00064134"/>
    <w:rsid w:val="0006441C"/>
    <w:rsid w:val="0006458A"/>
    <w:rsid w:val="00064D59"/>
    <w:rsid w:val="00066347"/>
    <w:rsid w:val="00066788"/>
    <w:rsid w:val="0006679C"/>
    <w:rsid w:val="00066CF9"/>
    <w:rsid w:val="00066DEC"/>
    <w:rsid w:val="00066FCC"/>
    <w:rsid w:val="00067348"/>
    <w:rsid w:val="00067470"/>
    <w:rsid w:val="00067515"/>
    <w:rsid w:val="00067972"/>
    <w:rsid w:val="00067E2B"/>
    <w:rsid w:val="000700FA"/>
    <w:rsid w:val="000701B4"/>
    <w:rsid w:val="0007029B"/>
    <w:rsid w:val="00070BDA"/>
    <w:rsid w:val="0007134C"/>
    <w:rsid w:val="00071567"/>
    <w:rsid w:val="00071EF7"/>
    <w:rsid w:val="000733A2"/>
    <w:rsid w:val="00073EBF"/>
    <w:rsid w:val="000743CE"/>
    <w:rsid w:val="00074978"/>
    <w:rsid w:val="00074B4B"/>
    <w:rsid w:val="000750A5"/>
    <w:rsid w:val="000767BC"/>
    <w:rsid w:val="0007682A"/>
    <w:rsid w:val="00076CEE"/>
    <w:rsid w:val="00077541"/>
    <w:rsid w:val="0007785E"/>
    <w:rsid w:val="00077B2C"/>
    <w:rsid w:val="00077E0D"/>
    <w:rsid w:val="000800C1"/>
    <w:rsid w:val="0008034A"/>
    <w:rsid w:val="00080355"/>
    <w:rsid w:val="0008040A"/>
    <w:rsid w:val="0008040B"/>
    <w:rsid w:val="00080509"/>
    <w:rsid w:val="0008099A"/>
    <w:rsid w:val="00080CD5"/>
    <w:rsid w:val="00082936"/>
    <w:rsid w:val="00082AA7"/>
    <w:rsid w:val="0008356D"/>
    <w:rsid w:val="00083596"/>
    <w:rsid w:val="00083D36"/>
    <w:rsid w:val="00084309"/>
    <w:rsid w:val="00085B9A"/>
    <w:rsid w:val="00085C82"/>
    <w:rsid w:val="000863A2"/>
    <w:rsid w:val="00087914"/>
    <w:rsid w:val="00091CBF"/>
    <w:rsid w:val="00091E75"/>
    <w:rsid w:val="00091FA9"/>
    <w:rsid w:val="000924C7"/>
    <w:rsid w:val="00092FAF"/>
    <w:rsid w:val="00094417"/>
    <w:rsid w:val="00094C0B"/>
    <w:rsid w:val="0009516C"/>
    <w:rsid w:val="000958DE"/>
    <w:rsid w:val="00095B89"/>
    <w:rsid w:val="0009717C"/>
    <w:rsid w:val="00097302"/>
    <w:rsid w:val="00097CB2"/>
    <w:rsid w:val="00097DAF"/>
    <w:rsid w:val="00097EF6"/>
    <w:rsid w:val="00097FF1"/>
    <w:rsid w:val="000A048D"/>
    <w:rsid w:val="000A09DA"/>
    <w:rsid w:val="000A18A0"/>
    <w:rsid w:val="000A1C5C"/>
    <w:rsid w:val="000A1D47"/>
    <w:rsid w:val="000A1FB5"/>
    <w:rsid w:val="000A2336"/>
    <w:rsid w:val="000A26B5"/>
    <w:rsid w:val="000A2B09"/>
    <w:rsid w:val="000A36DF"/>
    <w:rsid w:val="000A3DEF"/>
    <w:rsid w:val="000A4586"/>
    <w:rsid w:val="000A5561"/>
    <w:rsid w:val="000A5A0A"/>
    <w:rsid w:val="000A5E12"/>
    <w:rsid w:val="000A62B8"/>
    <w:rsid w:val="000A6818"/>
    <w:rsid w:val="000A68EC"/>
    <w:rsid w:val="000A7205"/>
    <w:rsid w:val="000A7435"/>
    <w:rsid w:val="000A7770"/>
    <w:rsid w:val="000A7DD7"/>
    <w:rsid w:val="000B08A0"/>
    <w:rsid w:val="000B0CB1"/>
    <w:rsid w:val="000B155D"/>
    <w:rsid w:val="000B32B4"/>
    <w:rsid w:val="000B38C2"/>
    <w:rsid w:val="000B3E54"/>
    <w:rsid w:val="000B403F"/>
    <w:rsid w:val="000B4559"/>
    <w:rsid w:val="000B50C5"/>
    <w:rsid w:val="000B50E7"/>
    <w:rsid w:val="000B55E8"/>
    <w:rsid w:val="000B5D84"/>
    <w:rsid w:val="000B6629"/>
    <w:rsid w:val="000B7027"/>
    <w:rsid w:val="000B7150"/>
    <w:rsid w:val="000B7572"/>
    <w:rsid w:val="000B7643"/>
    <w:rsid w:val="000C00E4"/>
    <w:rsid w:val="000C1AFC"/>
    <w:rsid w:val="000C23CE"/>
    <w:rsid w:val="000C23E5"/>
    <w:rsid w:val="000C31AD"/>
    <w:rsid w:val="000C3BE4"/>
    <w:rsid w:val="000C4FA3"/>
    <w:rsid w:val="000C5547"/>
    <w:rsid w:val="000C5B9F"/>
    <w:rsid w:val="000C5FBF"/>
    <w:rsid w:val="000C6676"/>
    <w:rsid w:val="000C6F95"/>
    <w:rsid w:val="000C71EA"/>
    <w:rsid w:val="000C72DF"/>
    <w:rsid w:val="000C7441"/>
    <w:rsid w:val="000D08CD"/>
    <w:rsid w:val="000D0C2D"/>
    <w:rsid w:val="000D2257"/>
    <w:rsid w:val="000D375D"/>
    <w:rsid w:val="000D3D8D"/>
    <w:rsid w:val="000D47A5"/>
    <w:rsid w:val="000D4822"/>
    <w:rsid w:val="000D4958"/>
    <w:rsid w:val="000D55FC"/>
    <w:rsid w:val="000D561F"/>
    <w:rsid w:val="000D5A6D"/>
    <w:rsid w:val="000D6428"/>
    <w:rsid w:val="000D677F"/>
    <w:rsid w:val="000D6CEB"/>
    <w:rsid w:val="000D6E8C"/>
    <w:rsid w:val="000D7264"/>
    <w:rsid w:val="000D7A54"/>
    <w:rsid w:val="000E01CA"/>
    <w:rsid w:val="000E02AB"/>
    <w:rsid w:val="000E0B82"/>
    <w:rsid w:val="000E0FA4"/>
    <w:rsid w:val="000E13EE"/>
    <w:rsid w:val="000E1F37"/>
    <w:rsid w:val="000E25EA"/>
    <w:rsid w:val="000E25EE"/>
    <w:rsid w:val="000E2CA0"/>
    <w:rsid w:val="000E300E"/>
    <w:rsid w:val="000E30A9"/>
    <w:rsid w:val="000E32B9"/>
    <w:rsid w:val="000E3B33"/>
    <w:rsid w:val="000E3C29"/>
    <w:rsid w:val="000E4241"/>
    <w:rsid w:val="000E49AD"/>
    <w:rsid w:val="000E50CD"/>
    <w:rsid w:val="000E5882"/>
    <w:rsid w:val="000E6292"/>
    <w:rsid w:val="000E65E7"/>
    <w:rsid w:val="000E6C50"/>
    <w:rsid w:val="000E7DED"/>
    <w:rsid w:val="000E7F6B"/>
    <w:rsid w:val="000F0A6E"/>
    <w:rsid w:val="000F1244"/>
    <w:rsid w:val="000F129B"/>
    <w:rsid w:val="000F16F9"/>
    <w:rsid w:val="000F1B03"/>
    <w:rsid w:val="000F1B2B"/>
    <w:rsid w:val="000F2BF8"/>
    <w:rsid w:val="000F3328"/>
    <w:rsid w:val="000F33F5"/>
    <w:rsid w:val="000F3A3F"/>
    <w:rsid w:val="000F3F44"/>
    <w:rsid w:val="000F5753"/>
    <w:rsid w:val="000F5E1F"/>
    <w:rsid w:val="000F607B"/>
    <w:rsid w:val="000F6198"/>
    <w:rsid w:val="000F63F8"/>
    <w:rsid w:val="000F6616"/>
    <w:rsid w:val="000F6830"/>
    <w:rsid w:val="000F6BFF"/>
    <w:rsid w:val="000F6E0E"/>
    <w:rsid w:val="000F710D"/>
    <w:rsid w:val="00100D0E"/>
    <w:rsid w:val="0010109C"/>
    <w:rsid w:val="001015BD"/>
    <w:rsid w:val="001020CC"/>
    <w:rsid w:val="00102FCD"/>
    <w:rsid w:val="001032A3"/>
    <w:rsid w:val="00105141"/>
    <w:rsid w:val="001053EB"/>
    <w:rsid w:val="001058F0"/>
    <w:rsid w:val="00105A04"/>
    <w:rsid w:val="001061BD"/>
    <w:rsid w:val="001068E0"/>
    <w:rsid w:val="001072AC"/>
    <w:rsid w:val="00107AAF"/>
    <w:rsid w:val="00110A83"/>
    <w:rsid w:val="00111935"/>
    <w:rsid w:val="00111A00"/>
    <w:rsid w:val="00112D2C"/>
    <w:rsid w:val="00112F33"/>
    <w:rsid w:val="001135B9"/>
    <w:rsid w:val="0011477E"/>
    <w:rsid w:val="0011522C"/>
    <w:rsid w:val="00116FF9"/>
    <w:rsid w:val="00117061"/>
    <w:rsid w:val="001172A8"/>
    <w:rsid w:val="001172B4"/>
    <w:rsid w:val="001172B5"/>
    <w:rsid w:val="0011765E"/>
    <w:rsid w:val="00117754"/>
    <w:rsid w:val="00117D75"/>
    <w:rsid w:val="00117F03"/>
    <w:rsid w:val="00120536"/>
    <w:rsid w:val="00120845"/>
    <w:rsid w:val="00120939"/>
    <w:rsid w:val="001229CC"/>
    <w:rsid w:val="00122A70"/>
    <w:rsid w:val="001239AF"/>
    <w:rsid w:val="00123E56"/>
    <w:rsid w:val="0012412B"/>
    <w:rsid w:val="00124662"/>
    <w:rsid w:val="00124A47"/>
    <w:rsid w:val="00124FB8"/>
    <w:rsid w:val="00124FD3"/>
    <w:rsid w:val="00125128"/>
    <w:rsid w:val="001254A1"/>
    <w:rsid w:val="00125517"/>
    <w:rsid w:val="00125A23"/>
    <w:rsid w:val="001264AE"/>
    <w:rsid w:val="001265FD"/>
    <w:rsid w:val="0012662F"/>
    <w:rsid w:val="00126F56"/>
    <w:rsid w:val="00127208"/>
    <w:rsid w:val="00127716"/>
    <w:rsid w:val="00127D93"/>
    <w:rsid w:val="001301A4"/>
    <w:rsid w:val="0013124E"/>
    <w:rsid w:val="00131A50"/>
    <w:rsid w:val="00131D05"/>
    <w:rsid w:val="00131EE1"/>
    <w:rsid w:val="001320B6"/>
    <w:rsid w:val="00132249"/>
    <w:rsid w:val="00132325"/>
    <w:rsid w:val="001329F4"/>
    <w:rsid w:val="001333B1"/>
    <w:rsid w:val="001336B2"/>
    <w:rsid w:val="0013380A"/>
    <w:rsid w:val="001339E3"/>
    <w:rsid w:val="00133BEB"/>
    <w:rsid w:val="00133F1C"/>
    <w:rsid w:val="001340CA"/>
    <w:rsid w:val="001341BC"/>
    <w:rsid w:val="001348B1"/>
    <w:rsid w:val="00134D97"/>
    <w:rsid w:val="00135628"/>
    <w:rsid w:val="00135642"/>
    <w:rsid w:val="00136D3C"/>
    <w:rsid w:val="00137AE1"/>
    <w:rsid w:val="0014122F"/>
    <w:rsid w:val="001413A8"/>
    <w:rsid w:val="00143694"/>
    <w:rsid w:val="00143EE8"/>
    <w:rsid w:val="00144CD3"/>
    <w:rsid w:val="00144EB8"/>
    <w:rsid w:val="00145105"/>
    <w:rsid w:val="001455E6"/>
    <w:rsid w:val="001458EF"/>
    <w:rsid w:val="001460D4"/>
    <w:rsid w:val="0015005D"/>
    <w:rsid w:val="00150551"/>
    <w:rsid w:val="00151493"/>
    <w:rsid w:val="00151FB5"/>
    <w:rsid w:val="00152814"/>
    <w:rsid w:val="00153589"/>
    <w:rsid w:val="00153784"/>
    <w:rsid w:val="00154288"/>
    <w:rsid w:val="00154471"/>
    <w:rsid w:val="00154742"/>
    <w:rsid w:val="00154A0C"/>
    <w:rsid w:val="0015549F"/>
    <w:rsid w:val="001558D8"/>
    <w:rsid w:val="001561D7"/>
    <w:rsid w:val="00157131"/>
    <w:rsid w:val="00157B00"/>
    <w:rsid w:val="00157F10"/>
    <w:rsid w:val="00160780"/>
    <w:rsid w:val="001616B7"/>
    <w:rsid w:val="00161C04"/>
    <w:rsid w:val="00161FA9"/>
    <w:rsid w:val="001626DF"/>
    <w:rsid w:val="00162F3C"/>
    <w:rsid w:val="00163383"/>
    <w:rsid w:val="001637BF"/>
    <w:rsid w:val="00163858"/>
    <w:rsid w:val="00164210"/>
    <w:rsid w:val="001651C3"/>
    <w:rsid w:val="001661CC"/>
    <w:rsid w:val="00166369"/>
    <w:rsid w:val="001665A0"/>
    <w:rsid w:val="00166DAD"/>
    <w:rsid w:val="00166E18"/>
    <w:rsid w:val="001670C6"/>
    <w:rsid w:val="001674EC"/>
    <w:rsid w:val="001675B0"/>
    <w:rsid w:val="0016766E"/>
    <w:rsid w:val="00167E9D"/>
    <w:rsid w:val="0017088C"/>
    <w:rsid w:val="00170EC0"/>
    <w:rsid w:val="00170F4A"/>
    <w:rsid w:val="00171185"/>
    <w:rsid w:val="001718C0"/>
    <w:rsid w:val="001720C0"/>
    <w:rsid w:val="00173114"/>
    <w:rsid w:val="001749E6"/>
    <w:rsid w:val="00175367"/>
    <w:rsid w:val="00175523"/>
    <w:rsid w:val="0017704C"/>
    <w:rsid w:val="00177172"/>
    <w:rsid w:val="00177CE3"/>
    <w:rsid w:val="00177D76"/>
    <w:rsid w:val="00177E87"/>
    <w:rsid w:val="00180307"/>
    <w:rsid w:val="00180A2C"/>
    <w:rsid w:val="001813CA"/>
    <w:rsid w:val="001818BC"/>
    <w:rsid w:val="0018190C"/>
    <w:rsid w:val="00181C3C"/>
    <w:rsid w:val="00181EC7"/>
    <w:rsid w:val="00182246"/>
    <w:rsid w:val="0018235C"/>
    <w:rsid w:val="00182530"/>
    <w:rsid w:val="00182889"/>
    <w:rsid w:val="00182B67"/>
    <w:rsid w:val="00183E4C"/>
    <w:rsid w:val="001840AE"/>
    <w:rsid w:val="00184137"/>
    <w:rsid w:val="001841E9"/>
    <w:rsid w:val="00184521"/>
    <w:rsid w:val="00184B37"/>
    <w:rsid w:val="00184BBC"/>
    <w:rsid w:val="00184F9B"/>
    <w:rsid w:val="00185833"/>
    <w:rsid w:val="00185E07"/>
    <w:rsid w:val="00185E62"/>
    <w:rsid w:val="0018658B"/>
    <w:rsid w:val="00186B60"/>
    <w:rsid w:val="00187BE8"/>
    <w:rsid w:val="00187E92"/>
    <w:rsid w:val="001905F6"/>
    <w:rsid w:val="00190C21"/>
    <w:rsid w:val="0019146F"/>
    <w:rsid w:val="001914E8"/>
    <w:rsid w:val="001919B7"/>
    <w:rsid w:val="00191B35"/>
    <w:rsid w:val="00191DF7"/>
    <w:rsid w:val="00191F18"/>
    <w:rsid w:val="001921D4"/>
    <w:rsid w:val="001922BE"/>
    <w:rsid w:val="00192B37"/>
    <w:rsid w:val="00192E46"/>
    <w:rsid w:val="0019386A"/>
    <w:rsid w:val="00193A68"/>
    <w:rsid w:val="00193F86"/>
    <w:rsid w:val="00194531"/>
    <w:rsid w:val="00194BB5"/>
    <w:rsid w:val="0019579C"/>
    <w:rsid w:val="001962A1"/>
    <w:rsid w:val="00197034"/>
    <w:rsid w:val="001972D7"/>
    <w:rsid w:val="00197D61"/>
    <w:rsid w:val="00197DBD"/>
    <w:rsid w:val="001A06B7"/>
    <w:rsid w:val="001A08B6"/>
    <w:rsid w:val="001A0CED"/>
    <w:rsid w:val="001A10B0"/>
    <w:rsid w:val="001A11F9"/>
    <w:rsid w:val="001A1881"/>
    <w:rsid w:val="001A21A5"/>
    <w:rsid w:val="001A21F0"/>
    <w:rsid w:val="001A2DBD"/>
    <w:rsid w:val="001A310D"/>
    <w:rsid w:val="001A49F5"/>
    <w:rsid w:val="001A556D"/>
    <w:rsid w:val="001A67C5"/>
    <w:rsid w:val="001A7941"/>
    <w:rsid w:val="001B00AB"/>
    <w:rsid w:val="001B00C4"/>
    <w:rsid w:val="001B00DA"/>
    <w:rsid w:val="001B06F8"/>
    <w:rsid w:val="001B1201"/>
    <w:rsid w:val="001B12AE"/>
    <w:rsid w:val="001B260A"/>
    <w:rsid w:val="001B2710"/>
    <w:rsid w:val="001B298C"/>
    <w:rsid w:val="001B29F4"/>
    <w:rsid w:val="001B2F3B"/>
    <w:rsid w:val="001B3296"/>
    <w:rsid w:val="001B3610"/>
    <w:rsid w:val="001B3873"/>
    <w:rsid w:val="001B3D76"/>
    <w:rsid w:val="001B3DD6"/>
    <w:rsid w:val="001B41A4"/>
    <w:rsid w:val="001B5440"/>
    <w:rsid w:val="001B63E6"/>
    <w:rsid w:val="001B644C"/>
    <w:rsid w:val="001B6B50"/>
    <w:rsid w:val="001B767C"/>
    <w:rsid w:val="001B7BBF"/>
    <w:rsid w:val="001C02AB"/>
    <w:rsid w:val="001C035A"/>
    <w:rsid w:val="001C0779"/>
    <w:rsid w:val="001C12E9"/>
    <w:rsid w:val="001C15EC"/>
    <w:rsid w:val="001C1B98"/>
    <w:rsid w:val="001C2890"/>
    <w:rsid w:val="001C2B38"/>
    <w:rsid w:val="001C3086"/>
    <w:rsid w:val="001C34F7"/>
    <w:rsid w:val="001C3654"/>
    <w:rsid w:val="001C376B"/>
    <w:rsid w:val="001C3A50"/>
    <w:rsid w:val="001C3B99"/>
    <w:rsid w:val="001C5179"/>
    <w:rsid w:val="001C54C6"/>
    <w:rsid w:val="001C5640"/>
    <w:rsid w:val="001C5A46"/>
    <w:rsid w:val="001C5B09"/>
    <w:rsid w:val="001C6041"/>
    <w:rsid w:val="001C622B"/>
    <w:rsid w:val="001C6750"/>
    <w:rsid w:val="001C68EF"/>
    <w:rsid w:val="001C6CDC"/>
    <w:rsid w:val="001C6FEA"/>
    <w:rsid w:val="001C7925"/>
    <w:rsid w:val="001C7A9F"/>
    <w:rsid w:val="001D0EED"/>
    <w:rsid w:val="001D245E"/>
    <w:rsid w:val="001D2A88"/>
    <w:rsid w:val="001D3961"/>
    <w:rsid w:val="001D3E8F"/>
    <w:rsid w:val="001D4718"/>
    <w:rsid w:val="001D474F"/>
    <w:rsid w:val="001D4970"/>
    <w:rsid w:val="001D4B84"/>
    <w:rsid w:val="001D4CE2"/>
    <w:rsid w:val="001D640E"/>
    <w:rsid w:val="001D648D"/>
    <w:rsid w:val="001D6500"/>
    <w:rsid w:val="001D6B9F"/>
    <w:rsid w:val="001D6FD0"/>
    <w:rsid w:val="001D70EC"/>
    <w:rsid w:val="001D7241"/>
    <w:rsid w:val="001D7BAF"/>
    <w:rsid w:val="001D7C63"/>
    <w:rsid w:val="001E0676"/>
    <w:rsid w:val="001E2133"/>
    <w:rsid w:val="001E2529"/>
    <w:rsid w:val="001E27EA"/>
    <w:rsid w:val="001E294F"/>
    <w:rsid w:val="001E30D1"/>
    <w:rsid w:val="001E33DF"/>
    <w:rsid w:val="001E4C31"/>
    <w:rsid w:val="001E58FF"/>
    <w:rsid w:val="001E6344"/>
    <w:rsid w:val="001E6679"/>
    <w:rsid w:val="001E7189"/>
    <w:rsid w:val="001E71B9"/>
    <w:rsid w:val="001E723D"/>
    <w:rsid w:val="001F10E2"/>
    <w:rsid w:val="001F1905"/>
    <w:rsid w:val="001F1F36"/>
    <w:rsid w:val="001F215D"/>
    <w:rsid w:val="001F2904"/>
    <w:rsid w:val="001F2AE1"/>
    <w:rsid w:val="001F2CA0"/>
    <w:rsid w:val="001F31BA"/>
    <w:rsid w:val="001F3F1F"/>
    <w:rsid w:val="001F5545"/>
    <w:rsid w:val="001F5925"/>
    <w:rsid w:val="001F6FB2"/>
    <w:rsid w:val="001F762E"/>
    <w:rsid w:val="001F7DA5"/>
    <w:rsid w:val="0020063B"/>
    <w:rsid w:val="00200D15"/>
    <w:rsid w:val="00202BC4"/>
    <w:rsid w:val="00202C4F"/>
    <w:rsid w:val="002032CE"/>
    <w:rsid w:val="00203872"/>
    <w:rsid w:val="00205BD5"/>
    <w:rsid w:val="002062DD"/>
    <w:rsid w:val="002066FE"/>
    <w:rsid w:val="00206D6E"/>
    <w:rsid w:val="00207006"/>
    <w:rsid w:val="00207FDE"/>
    <w:rsid w:val="00210C5A"/>
    <w:rsid w:val="00211F70"/>
    <w:rsid w:val="00211FC4"/>
    <w:rsid w:val="002127EE"/>
    <w:rsid w:val="00212A9B"/>
    <w:rsid w:val="00212C0E"/>
    <w:rsid w:val="0021320D"/>
    <w:rsid w:val="00213362"/>
    <w:rsid w:val="0021338E"/>
    <w:rsid w:val="002134AA"/>
    <w:rsid w:val="00213C55"/>
    <w:rsid w:val="00214B0D"/>
    <w:rsid w:val="00214B22"/>
    <w:rsid w:val="00214B29"/>
    <w:rsid w:val="00214B78"/>
    <w:rsid w:val="002155FF"/>
    <w:rsid w:val="00215684"/>
    <w:rsid w:val="00215724"/>
    <w:rsid w:val="00215A4C"/>
    <w:rsid w:val="00215E2C"/>
    <w:rsid w:val="0021682D"/>
    <w:rsid w:val="00216B1C"/>
    <w:rsid w:val="00216F0D"/>
    <w:rsid w:val="002172FB"/>
    <w:rsid w:val="0022007A"/>
    <w:rsid w:val="00220A36"/>
    <w:rsid w:val="00220FD9"/>
    <w:rsid w:val="002210E4"/>
    <w:rsid w:val="00221AAD"/>
    <w:rsid w:val="00221C24"/>
    <w:rsid w:val="00221F8F"/>
    <w:rsid w:val="00223354"/>
    <w:rsid w:val="00223813"/>
    <w:rsid w:val="00224C80"/>
    <w:rsid w:val="00224FC9"/>
    <w:rsid w:val="00225472"/>
    <w:rsid w:val="00225F12"/>
    <w:rsid w:val="00227098"/>
    <w:rsid w:val="00227D8A"/>
    <w:rsid w:val="002303BE"/>
    <w:rsid w:val="00230564"/>
    <w:rsid w:val="00230C89"/>
    <w:rsid w:val="00230F35"/>
    <w:rsid w:val="00230FFC"/>
    <w:rsid w:val="00231059"/>
    <w:rsid w:val="002312CD"/>
    <w:rsid w:val="00231715"/>
    <w:rsid w:val="00231F52"/>
    <w:rsid w:val="00232532"/>
    <w:rsid w:val="00232808"/>
    <w:rsid w:val="00232A03"/>
    <w:rsid w:val="00232B63"/>
    <w:rsid w:val="00232EA0"/>
    <w:rsid w:val="0023305E"/>
    <w:rsid w:val="002338FE"/>
    <w:rsid w:val="002340EA"/>
    <w:rsid w:val="00234955"/>
    <w:rsid w:val="00234E40"/>
    <w:rsid w:val="002358A7"/>
    <w:rsid w:val="00235FA3"/>
    <w:rsid w:val="0023648D"/>
    <w:rsid w:val="00237214"/>
    <w:rsid w:val="0023776A"/>
    <w:rsid w:val="00237EBC"/>
    <w:rsid w:val="00241109"/>
    <w:rsid w:val="00241163"/>
    <w:rsid w:val="00241280"/>
    <w:rsid w:val="00241591"/>
    <w:rsid w:val="00241DE2"/>
    <w:rsid w:val="00242004"/>
    <w:rsid w:val="002429D3"/>
    <w:rsid w:val="00242B82"/>
    <w:rsid w:val="00242E09"/>
    <w:rsid w:val="002430E5"/>
    <w:rsid w:val="0024378C"/>
    <w:rsid w:val="0024416C"/>
    <w:rsid w:val="00244D29"/>
    <w:rsid w:val="00244D96"/>
    <w:rsid w:val="0024516F"/>
    <w:rsid w:val="00245741"/>
    <w:rsid w:val="002466C1"/>
    <w:rsid w:val="002468E1"/>
    <w:rsid w:val="00246FAE"/>
    <w:rsid w:val="002503B6"/>
    <w:rsid w:val="00250503"/>
    <w:rsid w:val="00250AB6"/>
    <w:rsid w:val="00251600"/>
    <w:rsid w:val="00252095"/>
    <w:rsid w:val="00252BD1"/>
    <w:rsid w:val="00252E5F"/>
    <w:rsid w:val="0025301D"/>
    <w:rsid w:val="00253292"/>
    <w:rsid w:val="00253B89"/>
    <w:rsid w:val="002549CB"/>
    <w:rsid w:val="00254B32"/>
    <w:rsid w:val="00255219"/>
    <w:rsid w:val="00255427"/>
    <w:rsid w:val="0025558C"/>
    <w:rsid w:val="00256049"/>
    <w:rsid w:val="002563D1"/>
    <w:rsid w:val="0025674E"/>
    <w:rsid w:val="00257AEB"/>
    <w:rsid w:val="00257BD1"/>
    <w:rsid w:val="00257F92"/>
    <w:rsid w:val="00261A5F"/>
    <w:rsid w:val="00261FF4"/>
    <w:rsid w:val="0026220F"/>
    <w:rsid w:val="00262CA0"/>
    <w:rsid w:val="00262CCA"/>
    <w:rsid w:val="0026307D"/>
    <w:rsid w:val="00263F70"/>
    <w:rsid w:val="00264B66"/>
    <w:rsid w:val="002669F5"/>
    <w:rsid w:val="002676DB"/>
    <w:rsid w:val="0027117B"/>
    <w:rsid w:val="002712B9"/>
    <w:rsid w:val="00271519"/>
    <w:rsid w:val="002719BC"/>
    <w:rsid w:val="00271A1C"/>
    <w:rsid w:val="00272A59"/>
    <w:rsid w:val="00272DC3"/>
    <w:rsid w:val="0027309F"/>
    <w:rsid w:val="002733E9"/>
    <w:rsid w:val="00273A09"/>
    <w:rsid w:val="00273DF8"/>
    <w:rsid w:val="002744AE"/>
    <w:rsid w:val="00274A05"/>
    <w:rsid w:val="002753A7"/>
    <w:rsid w:val="002754DE"/>
    <w:rsid w:val="00275735"/>
    <w:rsid w:val="0027588B"/>
    <w:rsid w:val="00275BDC"/>
    <w:rsid w:val="00275DF4"/>
    <w:rsid w:val="0027721D"/>
    <w:rsid w:val="00280015"/>
    <w:rsid w:val="002801AC"/>
    <w:rsid w:val="0028055D"/>
    <w:rsid w:val="00281872"/>
    <w:rsid w:val="00281C6D"/>
    <w:rsid w:val="002826D4"/>
    <w:rsid w:val="002835EB"/>
    <w:rsid w:val="00283A09"/>
    <w:rsid w:val="002845BD"/>
    <w:rsid w:val="002846DD"/>
    <w:rsid w:val="00284E5B"/>
    <w:rsid w:val="00285762"/>
    <w:rsid w:val="00285BF9"/>
    <w:rsid w:val="00286362"/>
    <w:rsid w:val="002868A0"/>
    <w:rsid w:val="0028693D"/>
    <w:rsid w:val="00286996"/>
    <w:rsid w:val="00286EC2"/>
    <w:rsid w:val="002870F5"/>
    <w:rsid w:val="002871D7"/>
    <w:rsid w:val="0028746D"/>
    <w:rsid w:val="00287FE1"/>
    <w:rsid w:val="00291BFA"/>
    <w:rsid w:val="00292682"/>
    <w:rsid w:val="00292A8B"/>
    <w:rsid w:val="00292CA0"/>
    <w:rsid w:val="002943E9"/>
    <w:rsid w:val="00294936"/>
    <w:rsid w:val="00294B09"/>
    <w:rsid w:val="00294E7C"/>
    <w:rsid w:val="00294FF9"/>
    <w:rsid w:val="002950BD"/>
    <w:rsid w:val="002951AB"/>
    <w:rsid w:val="0029526F"/>
    <w:rsid w:val="00296FCA"/>
    <w:rsid w:val="00297714"/>
    <w:rsid w:val="002977BE"/>
    <w:rsid w:val="00297E69"/>
    <w:rsid w:val="00297F61"/>
    <w:rsid w:val="002A0892"/>
    <w:rsid w:val="002A0B4B"/>
    <w:rsid w:val="002A0C68"/>
    <w:rsid w:val="002A0EDE"/>
    <w:rsid w:val="002A16DD"/>
    <w:rsid w:val="002A1971"/>
    <w:rsid w:val="002A1EC1"/>
    <w:rsid w:val="002A243D"/>
    <w:rsid w:val="002A270A"/>
    <w:rsid w:val="002A3375"/>
    <w:rsid w:val="002A50FF"/>
    <w:rsid w:val="002A5AAA"/>
    <w:rsid w:val="002A5B85"/>
    <w:rsid w:val="002A5BDE"/>
    <w:rsid w:val="002A66FA"/>
    <w:rsid w:val="002A6CDF"/>
    <w:rsid w:val="002A7163"/>
    <w:rsid w:val="002A71B6"/>
    <w:rsid w:val="002A7F72"/>
    <w:rsid w:val="002B14B7"/>
    <w:rsid w:val="002B157D"/>
    <w:rsid w:val="002B2413"/>
    <w:rsid w:val="002B29C2"/>
    <w:rsid w:val="002B3301"/>
    <w:rsid w:val="002B45CB"/>
    <w:rsid w:val="002B4EED"/>
    <w:rsid w:val="002B53A5"/>
    <w:rsid w:val="002B5407"/>
    <w:rsid w:val="002B57AC"/>
    <w:rsid w:val="002B5CCB"/>
    <w:rsid w:val="002B6286"/>
    <w:rsid w:val="002B69BF"/>
    <w:rsid w:val="002B6A33"/>
    <w:rsid w:val="002B6CBD"/>
    <w:rsid w:val="002B7E7C"/>
    <w:rsid w:val="002B7FC8"/>
    <w:rsid w:val="002C0185"/>
    <w:rsid w:val="002C0566"/>
    <w:rsid w:val="002C09D8"/>
    <w:rsid w:val="002C1216"/>
    <w:rsid w:val="002C1414"/>
    <w:rsid w:val="002C1857"/>
    <w:rsid w:val="002C18D0"/>
    <w:rsid w:val="002C1FFB"/>
    <w:rsid w:val="002C2835"/>
    <w:rsid w:val="002C345E"/>
    <w:rsid w:val="002C36E2"/>
    <w:rsid w:val="002C3931"/>
    <w:rsid w:val="002C4842"/>
    <w:rsid w:val="002C4D4A"/>
    <w:rsid w:val="002C4EB6"/>
    <w:rsid w:val="002C515B"/>
    <w:rsid w:val="002C518C"/>
    <w:rsid w:val="002C57DD"/>
    <w:rsid w:val="002C586E"/>
    <w:rsid w:val="002C5EEF"/>
    <w:rsid w:val="002C66AE"/>
    <w:rsid w:val="002C7006"/>
    <w:rsid w:val="002D010F"/>
    <w:rsid w:val="002D0C14"/>
    <w:rsid w:val="002D0EC4"/>
    <w:rsid w:val="002D18A7"/>
    <w:rsid w:val="002D2761"/>
    <w:rsid w:val="002D31DA"/>
    <w:rsid w:val="002D387E"/>
    <w:rsid w:val="002D3E26"/>
    <w:rsid w:val="002D51AD"/>
    <w:rsid w:val="002D533B"/>
    <w:rsid w:val="002D74C3"/>
    <w:rsid w:val="002D7841"/>
    <w:rsid w:val="002D7CA2"/>
    <w:rsid w:val="002E0394"/>
    <w:rsid w:val="002E0E2E"/>
    <w:rsid w:val="002E1553"/>
    <w:rsid w:val="002E1560"/>
    <w:rsid w:val="002E1971"/>
    <w:rsid w:val="002E1EB4"/>
    <w:rsid w:val="002E1F33"/>
    <w:rsid w:val="002E2482"/>
    <w:rsid w:val="002E3D24"/>
    <w:rsid w:val="002E47AD"/>
    <w:rsid w:val="002E4BFB"/>
    <w:rsid w:val="002E5068"/>
    <w:rsid w:val="002E5362"/>
    <w:rsid w:val="002E5815"/>
    <w:rsid w:val="002E58CD"/>
    <w:rsid w:val="002E61F0"/>
    <w:rsid w:val="002E6BAD"/>
    <w:rsid w:val="002E70F2"/>
    <w:rsid w:val="002E79D0"/>
    <w:rsid w:val="002F018E"/>
    <w:rsid w:val="002F08FB"/>
    <w:rsid w:val="002F0A79"/>
    <w:rsid w:val="002F0AF6"/>
    <w:rsid w:val="002F11A9"/>
    <w:rsid w:val="002F13C6"/>
    <w:rsid w:val="002F244B"/>
    <w:rsid w:val="002F2A28"/>
    <w:rsid w:val="002F2DF8"/>
    <w:rsid w:val="002F41AB"/>
    <w:rsid w:val="002F52CE"/>
    <w:rsid w:val="002F537B"/>
    <w:rsid w:val="002F57D0"/>
    <w:rsid w:val="002F5A4A"/>
    <w:rsid w:val="002F5EDA"/>
    <w:rsid w:val="002F6636"/>
    <w:rsid w:val="002F668F"/>
    <w:rsid w:val="002F6DFE"/>
    <w:rsid w:val="00300044"/>
    <w:rsid w:val="00300080"/>
    <w:rsid w:val="00302272"/>
    <w:rsid w:val="00302294"/>
    <w:rsid w:val="00303618"/>
    <w:rsid w:val="00303C6E"/>
    <w:rsid w:val="00304321"/>
    <w:rsid w:val="00304BD3"/>
    <w:rsid w:val="00304BEB"/>
    <w:rsid w:val="00306051"/>
    <w:rsid w:val="0030627F"/>
    <w:rsid w:val="0030673A"/>
    <w:rsid w:val="003067A3"/>
    <w:rsid w:val="00306F3C"/>
    <w:rsid w:val="0030791F"/>
    <w:rsid w:val="00307942"/>
    <w:rsid w:val="003105CD"/>
    <w:rsid w:val="00310F28"/>
    <w:rsid w:val="00311C03"/>
    <w:rsid w:val="00312072"/>
    <w:rsid w:val="003121D4"/>
    <w:rsid w:val="00312B1B"/>
    <w:rsid w:val="00312C1F"/>
    <w:rsid w:val="00312EB5"/>
    <w:rsid w:val="00313304"/>
    <w:rsid w:val="003145F2"/>
    <w:rsid w:val="0031492A"/>
    <w:rsid w:val="00314B3F"/>
    <w:rsid w:val="00315945"/>
    <w:rsid w:val="00315A50"/>
    <w:rsid w:val="00315B64"/>
    <w:rsid w:val="00315CD7"/>
    <w:rsid w:val="00315E72"/>
    <w:rsid w:val="00316243"/>
    <w:rsid w:val="00316353"/>
    <w:rsid w:val="003163DD"/>
    <w:rsid w:val="00316810"/>
    <w:rsid w:val="00317D02"/>
    <w:rsid w:val="00317D73"/>
    <w:rsid w:val="003202B8"/>
    <w:rsid w:val="0032129B"/>
    <w:rsid w:val="0032160F"/>
    <w:rsid w:val="003217F1"/>
    <w:rsid w:val="00321C50"/>
    <w:rsid w:val="003224FC"/>
    <w:rsid w:val="00322934"/>
    <w:rsid w:val="00323753"/>
    <w:rsid w:val="0032379B"/>
    <w:rsid w:val="00323A30"/>
    <w:rsid w:val="00323CC3"/>
    <w:rsid w:val="0032435F"/>
    <w:rsid w:val="00324845"/>
    <w:rsid w:val="00324B1A"/>
    <w:rsid w:val="00324E03"/>
    <w:rsid w:val="00325129"/>
    <w:rsid w:val="00325631"/>
    <w:rsid w:val="00325E00"/>
    <w:rsid w:val="00325E38"/>
    <w:rsid w:val="00327108"/>
    <w:rsid w:val="003271C5"/>
    <w:rsid w:val="00327296"/>
    <w:rsid w:val="003275D8"/>
    <w:rsid w:val="00327694"/>
    <w:rsid w:val="003277D6"/>
    <w:rsid w:val="00327889"/>
    <w:rsid w:val="00327D03"/>
    <w:rsid w:val="00330595"/>
    <w:rsid w:val="00330B44"/>
    <w:rsid w:val="003311C0"/>
    <w:rsid w:val="00332065"/>
    <w:rsid w:val="00332757"/>
    <w:rsid w:val="00333046"/>
    <w:rsid w:val="003336ED"/>
    <w:rsid w:val="003338B7"/>
    <w:rsid w:val="00333C06"/>
    <w:rsid w:val="00333D89"/>
    <w:rsid w:val="00333DBE"/>
    <w:rsid w:val="00333E65"/>
    <w:rsid w:val="00333F77"/>
    <w:rsid w:val="00334BD0"/>
    <w:rsid w:val="00334DB1"/>
    <w:rsid w:val="00334F44"/>
    <w:rsid w:val="00334FA0"/>
    <w:rsid w:val="0033511B"/>
    <w:rsid w:val="0033513C"/>
    <w:rsid w:val="00335FC3"/>
    <w:rsid w:val="0033625E"/>
    <w:rsid w:val="00336294"/>
    <w:rsid w:val="003367F9"/>
    <w:rsid w:val="00336AA1"/>
    <w:rsid w:val="00336F25"/>
    <w:rsid w:val="00337240"/>
    <w:rsid w:val="00340FE2"/>
    <w:rsid w:val="003418ED"/>
    <w:rsid w:val="00341D99"/>
    <w:rsid w:val="00342407"/>
    <w:rsid w:val="003425E3"/>
    <w:rsid w:val="0034304A"/>
    <w:rsid w:val="00343684"/>
    <w:rsid w:val="00343F4B"/>
    <w:rsid w:val="003441A7"/>
    <w:rsid w:val="0034428C"/>
    <w:rsid w:val="00344476"/>
    <w:rsid w:val="003446E9"/>
    <w:rsid w:val="003448C3"/>
    <w:rsid w:val="00345601"/>
    <w:rsid w:val="003458C1"/>
    <w:rsid w:val="00345F15"/>
    <w:rsid w:val="003471E0"/>
    <w:rsid w:val="00350091"/>
    <w:rsid w:val="00350A08"/>
    <w:rsid w:val="00350BA6"/>
    <w:rsid w:val="00351A62"/>
    <w:rsid w:val="00351D0D"/>
    <w:rsid w:val="00351E73"/>
    <w:rsid w:val="00352948"/>
    <w:rsid w:val="00352C40"/>
    <w:rsid w:val="0035310D"/>
    <w:rsid w:val="003531DE"/>
    <w:rsid w:val="0035336F"/>
    <w:rsid w:val="003533C7"/>
    <w:rsid w:val="0035364C"/>
    <w:rsid w:val="003541A7"/>
    <w:rsid w:val="0035552C"/>
    <w:rsid w:val="00357CE0"/>
    <w:rsid w:val="00360092"/>
    <w:rsid w:val="0036020C"/>
    <w:rsid w:val="00360955"/>
    <w:rsid w:val="00360F71"/>
    <w:rsid w:val="00361743"/>
    <w:rsid w:val="003617A5"/>
    <w:rsid w:val="00361A4C"/>
    <w:rsid w:val="00361D65"/>
    <w:rsid w:val="003621AF"/>
    <w:rsid w:val="00362309"/>
    <w:rsid w:val="00362DE4"/>
    <w:rsid w:val="00362FFE"/>
    <w:rsid w:val="0036312F"/>
    <w:rsid w:val="003633A1"/>
    <w:rsid w:val="003636A3"/>
    <w:rsid w:val="00364740"/>
    <w:rsid w:val="00364A16"/>
    <w:rsid w:val="00364BC6"/>
    <w:rsid w:val="00364CBF"/>
    <w:rsid w:val="003658F1"/>
    <w:rsid w:val="00365D4B"/>
    <w:rsid w:val="00366679"/>
    <w:rsid w:val="00366DED"/>
    <w:rsid w:val="003672FD"/>
    <w:rsid w:val="00370183"/>
    <w:rsid w:val="003701E5"/>
    <w:rsid w:val="00370A27"/>
    <w:rsid w:val="00370A37"/>
    <w:rsid w:val="00370E98"/>
    <w:rsid w:val="00372AED"/>
    <w:rsid w:val="003734AE"/>
    <w:rsid w:val="00373DA4"/>
    <w:rsid w:val="003749AB"/>
    <w:rsid w:val="00374A21"/>
    <w:rsid w:val="00374A62"/>
    <w:rsid w:val="00375717"/>
    <w:rsid w:val="0037581E"/>
    <w:rsid w:val="00375B66"/>
    <w:rsid w:val="00375E03"/>
    <w:rsid w:val="0037684D"/>
    <w:rsid w:val="00376F34"/>
    <w:rsid w:val="003778AB"/>
    <w:rsid w:val="003778E6"/>
    <w:rsid w:val="003808E4"/>
    <w:rsid w:val="003813DB"/>
    <w:rsid w:val="00381637"/>
    <w:rsid w:val="00381E9E"/>
    <w:rsid w:val="00383DBF"/>
    <w:rsid w:val="0038420B"/>
    <w:rsid w:val="00384232"/>
    <w:rsid w:val="0038541C"/>
    <w:rsid w:val="003854FD"/>
    <w:rsid w:val="00385D38"/>
    <w:rsid w:val="003860BA"/>
    <w:rsid w:val="00386D6E"/>
    <w:rsid w:val="00387152"/>
    <w:rsid w:val="00387CA1"/>
    <w:rsid w:val="003904D3"/>
    <w:rsid w:val="00390995"/>
    <w:rsid w:val="00390E29"/>
    <w:rsid w:val="003911F1"/>
    <w:rsid w:val="00391B52"/>
    <w:rsid w:val="00391F03"/>
    <w:rsid w:val="0039273D"/>
    <w:rsid w:val="00392863"/>
    <w:rsid w:val="003928CC"/>
    <w:rsid w:val="00392F5E"/>
    <w:rsid w:val="00393DC1"/>
    <w:rsid w:val="00394140"/>
    <w:rsid w:val="00394692"/>
    <w:rsid w:val="00394A82"/>
    <w:rsid w:val="00394C9F"/>
    <w:rsid w:val="00395F96"/>
    <w:rsid w:val="003966E0"/>
    <w:rsid w:val="00396E0E"/>
    <w:rsid w:val="00397918"/>
    <w:rsid w:val="00397BE6"/>
    <w:rsid w:val="003A047D"/>
    <w:rsid w:val="003A285C"/>
    <w:rsid w:val="003A288A"/>
    <w:rsid w:val="003A38BE"/>
    <w:rsid w:val="003A4327"/>
    <w:rsid w:val="003A444F"/>
    <w:rsid w:val="003A54A1"/>
    <w:rsid w:val="003A5BE3"/>
    <w:rsid w:val="003A6459"/>
    <w:rsid w:val="003A677D"/>
    <w:rsid w:val="003A67A5"/>
    <w:rsid w:val="003A7C42"/>
    <w:rsid w:val="003A7D1D"/>
    <w:rsid w:val="003B06CC"/>
    <w:rsid w:val="003B08AA"/>
    <w:rsid w:val="003B0A0C"/>
    <w:rsid w:val="003B0DF5"/>
    <w:rsid w:val="003B1595"/>
    <w:rsid w:val="003B2540"/>
    <w:rsid w:val="003B2662"/>
    <w:rsid w:val="003B29C3"/>
    <w:rsid w:val="003B2CC8"/>
    <w:rsid w:val="003B41D5"/>
    <w:rsid w:val="003B443F"/>
    <w:rsid w:val="003B4540"/>
    <w:rsid w:val="003B50B9"/>
    <w:rsid w:val="003B522E"/>
    <w:rsid w:val="003B591F"/>
    <w:rsid w:val="003B6867"/>
    <w:rsid w:val="003B6F51"/>
    <w:rsid w:val="003B7E20"/>
    <w:rsid w:val="003C0F45"/>
    <w:rsid w:val="003C13E1"/>
    <w:rsid w:val="003C1A55"/>
    <w:rsid w:val="003C1B01"/>
    <w:rsid w:val="003C1BBB"/>
    <w:rsid w:val="003C1CCB"/>
    <w:rsid w:val="003C1D2E"/>
    <w:rsid w:val="003C2217"/>
    <w:rsid w:val="003C2600"/>
    <w:rsid w:val="003C274C"/>
    <w:rsid w:val="003C2C6F"/>
    <w:rsid w:val="003C2F62"/>
    <w:rsid w:val="003C304A"/>
    <w:rsid w:val="003C31FF"/>
    <w:rsid w:val="003C395D"/>
    <w:rsid w:val="003C3D25"/>
    <w:rsid w:val="003C5699"/>
    <w:rsid w:val="003C59C0"/>
    <w:rsid w:val="003C5A82"/>
    <w:rsid w:val="003C6436"/>
    <w:rsid w:val="003C643F"/>
    <w:rsid w:val="003C673A"/>
    <w:rsid w:val="003C6C22"/>
    <w:rsid w:val="003C6FD4"/>
    <w:rsid w:val="003C7FB9"/>
    <w:rsid w:val="003D0E57"/>
    <w:rsid w:val="003D26AD"/>
    <w:rsid w:val="003D2CCD"/>
    <w:rsid w:val="003D2DA2"/>
    <w:rsid w:val="003D3010"/>
    <w:rsid w:val="003D4D1F"/>
    <w:rsid w:val="003D4D6C"/>
    <w:rsid w:val="003D5287"/>
    <w:rsid w:val="003D6016"/>
    <w:rsid w:val="003D6D65"/>
    <w:rsid w:val="003D6EC1"/>
    <w:rsid w:val="003D7D0D"/>
    <w:rsid w:val="003E0295"/>
    <w:rsid w:val="003E0D47"/>
    <w:rsid w:val="003E0E7F"/>
    <w:rsid w:val="003E0F88"/>
    <w:rsid w:val="003E12F2"/>
    <w:rsid w:val="003E1D4D"/>
    <w:rsid w:val="003E2476"/>
    <w:rsid w:val="003E340B"/>
    <w:rsid w:val="003E3C8A"/>
    <w:rsid w:val="003E3CBE"/>
    <w:rsid w:val="003E3DB8"/>
    <w:rsid w:val="003E3FBB"/>
    <w:rsid w:val="003E4277"/>
    <w:rsid w:val="003E45F5"/>
    <w:rsid w:val="003E59AF"/>
    <w:rsid w:val="003E5A0F"/>
    <w:rsid w:val="003E79E4"/>
    <w:rsid w:val="003E7F96"/>
    <w:rsid w:val="003F0490"/>
    <w:rsid w:val="003F09B8"/>
    <w:rsid w:val="003F0EE4"/>
    <w:rsid w:val="003F0F9E"/>
    <w:rsid w:val="003F1172"/>
    <w:rsid w:val="003F1180"/>
    <w:rsid w:val="003F17FA"/>
    <w:rsid w:val="003F2518"/>
    <w:rsid w:val="003F28A7"/>
    <w:rsid w:val="003F2F7D"/>
    <w:rsid w:val="003F3268"/>
    <w:rsid w:val="003F34B8"/>
    <w:rsid w:val="003F3C0B"/>
    <w:rsid w:val="003F3CDD"/>
    <w:rsid w:val="003F432E"/>
    <w:rsid w:val="003F56EE"/>
    <w:rsid w:val="003F628B"/>
    <w:rsid w:val="003F737D"/>
    <w:rsid w:val="003F771E"/>
    <w:rsid w:val="00400E27"/>
    <w:rsid w:val="00401002"/>
    <w:rsid w:val="00401684"/>
    <w:rsid w:val="00401E12"/>
    <w:rsid w:val="00402506"/>
    <w:rsid w:val="004025CA"/>
    <w:rsid w:val="00402F3E"/>
    <w:rsid w:val="00402F60"/>
    <w:rsid w:val="00404BC6"/>
    <w:rsid w:val="004065D9"/>
    <w:rsid w:val="00406704"/>
    <w:rsid w:val="00407222"/>
    <w:rsid w:val="00407290"/>
    <w:rsid w:val="004076B7"/>
    <w:rsid w:val="0041094C"/>
    <w:rsid w:val="00412175"/>
    <w:rsid w:val="004138CA"/>
    <w:rsid w:val="00414D00"/>
    <w:rsid w:val="004154D1"/>
    <w:rsid w:val="00416137"/>
    <w:rsid w:val="004161ED"/>
    <w:rsid w:val="004162D7"/>
    <w:rsid w:val="004168CE"/>
    <w:rsid w:val="00417C43"/>
    <w:rsid w:val="00420559"/>
    <w:rsid w:val="004206B0"/>
    <w:rsid w:val="00420E0C"/>
    <w:rsid w:val="00420E85"/>
    <w:rsid w:val="00421ABA"/>
    <w:rsid w:val="00421F58"/>
    <w:rsid w:val="00422238"/>
    <w:rsid w:val="004224B5"/>
    <w:rsid w:val="0042270A"/>
    <w:rsid w:val="004238EE"/>
    <w:rsid w:val="004239A3"/>
    <w:rsid w:val="00423EF3"/>
    <w:rsid w:val="004244CD"/>
    <w:rsid w:val="0042458C"/>
    <w:rsid w:val="004245B6"/>
    <w:rsid w:val="00424953"/>
    <w:rsid w:val="00424E58"/>
    <w:rsid w:val="00425191"/>
    <w:rsid w:val="004251E2"/>
    <w:rsid w:val="00425213"/>
    <w:rsid w:val="00425C1A"/>
    <w:rsid w:val="00425C7E"/>
    <w:rsid w:val="00425D5D"/>
    <w:rsid w:val="00425E8A"/>
    <w:rsid w:val="00426330"/>
    <w:rsid w:val="00426B2B"/>
    <w:rsid w:val="00427A29"/>
    <w:rsid w:val="00427D3D"/>
    <w:rsid w:val="00430494"/>
    <w:rsid w:val="0043071F"/>
    <w:rsid w:val="00430BE8"/>
    <w:rsid w:val="00431005"/>
    <w:rsid w:val="0043122A"/>
    <w:rsid w:val="004321AB"/>
    <w:rsid w:val="004327D0"/>
    <w:rsid w:val="0043326C"/>
    <w:rsid w:val="00433A25"/>
    <w:rsid w:val="00433CC1"/>
    <w:rsid w:val="00434571"/>
    <w:rsid w:val="00434622"/>
    <w:rsid w:val="00435829"/>
    <w:rsid w:val="00435E16"/>
    <w:rsid w:val="004360D1"/>
    <w:rsid w:val="00437191"/>
    <w:rsid w:val="004407FF"/>
    <w:rsid w:val="0044085F"/>
    <w:rsid w:val="00440E6A"/>
    <w:rsid w:val="00441960"/>
    <w:rsid w:val="00443214"/>
    <w:rsid w:val="00444112"/>
    <w:rsid w:val="00444DD0"/>
    <w:rsid w:val="00445B9B"/>
    <w:rsid w:val="00445D39"/>
    <w:rsid w:val="00446034"/>
    <w:rsid w:val="00446552"/>
    <w:rsid w:val="00446909"/>
    <w:rsid w:val="00446CAC"/>
    <w:rsid w:val="0044703A"/>
    <w:rsid w:val="004473BB"/>
    <w:rsid w:val="004473CA"/>
    <w:rsid w:val="00447ACB"/>
    <w:rsid w:val="004515FA"/>
    <w:rsid w:val="0045167C"/>
    <w:rsid w:val="004518B7"/>
    <w:rsid w:val="00453CE9"/>
    <w:rsid w:val="00453CFA"/>
    <w:rsid w:val="00453D75"/>
    <w:rsid w:val="00453E11"/>
    <w:rsid w:val="004545D1"/>
    <w:rsid w:val="00454639"/>
    <w:rsid w:val="00454BD4"/>
    <w:rsid w:val="00455098"/>
    <w:rsid w:val="00455619"/>
    <w:rsid w:val="00455813"/>
    <w:rsid w:val="00455921"/>
    <w:rsid w:val="00455A84"/>
    <w:rsid w:val="00455A9D"/>
    <w:rsid w:val="00455FF5"/>
    <w:rsid w:val="004560A1"/>
    <w:rsid w:val="00456112"/>
    <w:rsid w:val="004567B6"/>
    <w:rsid w:val="00456812"/>
    <w:rsid w:val="00456A6B"/>
    <w:rsid w:val="00456BC8"/>
    <w:rsid w:val="00457431"/>
    <w:rsid w:val="004576F2"/>
    <w:rsid w:val="00457F13"/>
    <w:rsid w:val="0046057F"/>
    <w:rsid w:val="00461E91"/>
    <w:rsid w:val="00462A84"/>
    <w:rsid w:val="0046380A"/>
    <w:rsid w:val="00463EFF"/>
    <w:rsid w:val="0046465B"/>
    <w:rsid w:val="0046465F"/>
    <w:rsid w:val="00464EF8"/>
    <w:rsid w:val="00464F26"/>
    <w:rsid w:val="00464FF6"/>
    <w:rsid w:val="00465BA1"/>
    <w:rsid w:val="0046650D"/>
    <w:rsid w:val="004666C6"/>
    <w:rsid w:val="004666F6"/>
    <w:rsid w:val="00466AAF"/>
    <w:rsid w:val="00466D9B"/>
    <w:rsid w:val="00466E56"/>
    <w:rsid w:val="0046764A"/>
    <w:rsid w:val="00467A51"/>
    <w:rsid w:val="00467C1A"/>
    <w:rsid w:val="00467D6C"/>
    <w:rsid w:val="0047028F"/>
    <w:rsid w:val="00470B86"/>
    <w:rsid w:val="00470C4F"/>
    <w:rsid w:val="004713A1"/>
    <w:rsid w:val="0047240D"/>
    <w:rsid w:val="00472A67"/>
    <w:rsid w:val="00472EA9"/>
    <w:rsid w:val="00473097"/>
    <w:rsid w:val="00473922"/>
    <w:rsid w:val="00473C30"/>
    <w:rsid w:val="00473F14"/>
    <w:rsid w:val="00474E15"/>
    <w:rsid w:val="0047555E"/>
    <w:rsid w:val="00475EE2"/>
    <w:rsid w:val="004766C1"/>
    <w:rsid w:val="004769C1"/>
    <w:rsid w:val="00476A54"/>
    <w:rsid w:val="00476C2F"/>
    <w:rsid w:val="00476E05"/>
    <w:rsid w:val="00477CC6"/>
    <w:rsid w:val="00477F80"/>
    <w:rsid w:val="00480A40"/>
    <w:rsid w:val="00480D84"/>
    <w:rsid w:val="00481964"/>
    <w:rsid w:val="004819B5"/>
    <w:rsid w:val="00481DA3"/>
    <w:rsid w:val="004820E3"/>
    <w:rsid w:val="004823C9"/>
    <w:rsid w:val="00482B09"/>
    <w:rsid w:val="004838A7"/>
    <w:rsid w:val="00483C3C"/>
    <w:rsid w:val="0048479C"/>
    <w:rsid w:val="0048604D"/>
    <w:rsid w:val="00486973"/>
    <w:rsid w:val="00486BC5"/>
    <w:rsid w:val="00486E52"/>
    <w:rsid w:val="0048729B"/>
    <w:rsid w:val="0048742C"/>
    <w:rsid w:val="004875D3"/>
    <w:rsid w:val="00487B39"/>
    <w:rsid w:val="00490357"/>
    <w:rsid w:val="00490386"/>
    <w:rsid w:val="0049292C"/>
    <w:rsid w:val="00492B06"/>
    <w:rsid w:val="00492DA9"/>
    <w:rsid w:val="00493421"/>
    <w:rsid w:val="00493859"/>
    <w:rsid w:val="00493A2A"/>
    <w:rsid w:val="00493AED"/>
    <w:rsid w:val="004944BE"/>
    <w:rsid w:val="0049458C"/>
    <w:rsid w:val="0049474A"/>
    <w:rsid w:val="00494B37"/>
    <w:rsid w:val="0049508C"/>
    <w:rsid w:val="00495754"/>
    <w:rsid w:val="004958BF"/>
    <w:rsid w:val="004962DC"/>
    <w:rsid w:val="00496902"/>
    <w:rsid w:val="00496DB1"/>
    <w:rsid w:val="00497233"/>
    <w:rsid w:val="004973AB"/>
    <w:rsid w:val="004A006A"/>
    <w:rsid w:val="004A021A"/>
    <w:rsid w:val="004A06F3"/>
    <w:rsid w:val="004A075B"/>
    <w:rsid w:val="004A146C"/>
    <w:rsid w:val="004A18C7"/>
    <w:rsid w:val="004A3292"/>
    <w:rsid w:val="004A4950"/>
    <w:rsid w:val="004A54A6"/>
    <w:rsid w:val="004A561E"/>
    <w:rsid w:val="004A6469"/>
    <w:rsid w:val="004A6BF9"/>
    <w:rsid w:val="004A7744"/>
    <w:rsid w:val="004A77CC"/>
    <w:rsid w:val="004A7D3C"/>
    <w:rsid w:val="004B0B9B"/>
    <w:rsid w:val="004B2252"/>
    <w:rsid w:val="004B23B3"/>
    <w:rsid w:val="004B25CB"/>
    <w:rsid w:val="004B2AE0"/>
    <w:rsid w:val="004B344A"/>
    <w:rsid w:val="004B366B"/>
    <w:rsid w:val="004B37AA"/>
    <w:rsid w:val="004B4665"/>
    <w:rsid w:val="004B48E4"/>
    <w:rsid w:val="004B54F6"/>
    <w:rsid w:val="004B54FA"/>
    <w:rsid w:val="004B6D71"/>
    <w:rsid w:val="004B6F72"/>
    <w:rsid w:val="004B701E"/>
    <w:rsid w:val="004B7B58"/>
    <w:rsid w:val="004B7CEA"/>
    <w:rsid w:val="004C01FC"/>
    <w:rsid w:val="004C06DC"/>
    <w:rsid w:val="004C07B9"/>
    <w:rsid w:val="004C08CB"/>
    <w:rsid w:val="004C0999"/>
    <w:rsid w:val="004C1227"/>
    <w:rsid w:val="004C1F95"/>
    <w:rsid w:val="004C2095"/>
    <w:rsid w:val="004C3750"/>
    <w:rsid w:val="004C3AF2"/>
    <w:rsid w:val="004C3CB8"/>
    <w:rsid w:val="004C3DEC"/>
    <w:rsid w:val="004C4BD5"/>
    <w:rsid w:val="004C5951"/>
    <w:rsid w:val="004C65BD"/>
    <w:rsid w:val="004C673D"/>
    <w:rsid w:val="004C6D28"/>
    <w:rsid w:val="004C7D21"/>
    <w:rsid w:val="004D119D"/>
    <w:rsid w:val="004D1482"/>
    <w:rsid w:val="004D17E2"/>
    <w:rsid w:val="004D1B25"/>
    <w:rsid w:val="004D1C74"/>
    <w:rsid w:val="004D2AF6"/>
    <w:rsid w:val="004D31A0"/>
    <w:rsid w:val="004D3944"/>
    <w:rsid w:val="004D3954"/>
    <w:rsid w:val="004D3E02"/>
    <w:rsid w:val="004D49F2"/>
    <w:rsid w:val="004D4ECA"/>
    <w:rsid w:val="004D4F78"/>
    <w:rsid w:val="004D5FCE"/>
    <w:rsid w:val="004D6922"/>
    <w:rsid w:val="004D73E6"/>
    <w:rsid w:val="004D744C"/>
    <w:rsid w:val="004D75F6"/>
    <w:rsid w:val="004E0B53"/>
    <w:rsid w:val="004E135A"/>
    <w:rsid w:val="004E27A3"/>
    <w:rsid w:val="004E322B"/>
    <w:rsid w:val="004E5894"/>
    <w:rsid w:val="004E6233"/>
    <w:rsid w:val="004E6237"/>
    <w:rsid w:val="004E6377"/>
    <w:rsid w:val="004E77F2"/>
    <w:rsid w:val="004E789E"/>
    <w:rsid w:val="004E7D4A"/>
    <w:rsid w:val="004F0052"/>
    <w:rsid w:val="004F0388"/>
    <w:rsid w:val="004F0675"/>
    <w:rsid w:val="004F095F"/>
    <w:rsid w:val="004F1039"/>
    <w:rsid w:val="004F1235"/>
    <w:rsid w:val="004F1EFA"/>
    <w:rsid w:val="004F2860"/>
    <w:rsid w:val="004F2D34"/>
    <w:rsid w:val="004F2E5D"/>
    <w:rsid w:val="004F359B"/>
    <w:rsid w:val="004F3D57"/>
    <w:rsid w:val="004F3EE5"/>
    <w:rsid w:val="004F40D0"/>
    <w:rsid w:val="004F4AC8"/>
    <w:rsid w:val="004F579D"/>
    <w:rsid w:val="004F6291"/>
    <w:rsid w:val="004F6B66"/>
    <w:rsid w:val="004F6CD3"/>
    <w:rsid w:val="004F775F"/>
    <w:rsid w:val="004F7CAF"/>
    <w:rsid w:val="00500917"/>
    <w:rsid w:val="0050116F"/>
    <w:rsid w:val="005015BF"/>
    <w:rsid w:val="0050192F"/>
    <w:rsid w:val="00501A00"/>
    <w:rsid w:val="005021A4"/>
    <w:rsid w:val="005030CA"/>
    <w:rsid w:val="005034A5"/>
    <w:rsid w:val="00503E2C"/>
    <w:rsid w:val="005043DD"/>
    <w:rsid w:val="005045F9"/>
    <w:rsid w:val="005055FA"/>
    <w:rsid w:val="00505B93"/>
    <w:rsid w:val="0050628D"/>
    <w:rsid w:val="005062E5"/>
    <w:rsid w:val="0050638E"/>
    <w:rsid w:val="0050665A"/>
    <w:rsid w:val="00506ACD"/>
    <w:rsid w:val="00506B8E"/>
    <w:rsid w:val="00506BF0"/>
    <w:rsid w:val="00506F4C"/>
    <w:rsid w:val="00507C3C"/>
    <w:rsid w:val="005101FE"/>
    <w:rsid w:val="005109F3"/>
    <w:rsid w:val="00510AC1"/>
    <w:rsid w:val="005112BE"/>
    <w:rsid w:val="00511BF3"/>
    <w:rsid w:val="00513D09"/>
    <w:rsid w:val="005148C5"/>
    <w:rsid w:val="0051563E"/>
    <w:rsid w:val="00515B12"/>
    <w:rsid w:val="00516BD4"/>
    <w:rsid w:val="005178C2"/>
    <w:rsid w:val="005208F2"/>
    <w:rsid w:val="00521280"/>
    <w:rsid w:val="0052157D"/>
    <w:rsid w:val="00522107"/>
    <w:rsid w:val="005229EE"/>
    <w:rsid w:val="00522CD2"/>
    <w:rsid w:val="005234D2"/>
    <w:rsid w:val="0052354D"/>
    <w:rsid w:val="00523F6C"/>
    <w:rsid w:val="00524444"/>
    <w:rsid w:val="00524E0A"/>
    <w:rsid w:val="00525380"/>
    <w:rsid w:val="00525474"/>
    <w:rsid w:val="005258BC"/>
    <w:rsid w:val="00525BBC"/>
    <w:rsid w:val="00526B86"/>
    <w:rsid w:val="00527F46"/>
    <w:rsid w:val="00530887"/>
    <w:rsid w:val="00530BF0"/>
    <w:rsid w:val="00531085"/>
    <w:rsid w:val="00531B89"/>
    <w:rsid w:val="00531B99"/>
    <w:rsid w:val="00532260"/>
    <w:rsid w:val="00533211"/>
    <w:rsid w:val="0053334B"/>
    <w:rsid w:val="005339E7"/>
    <w:rsid w:val="00533C8C"/>
    <w:rsid w:val="0053403C"/>
    <w:rsid w:val="005342CB"/>
    <w:rsid w:val="00534460"/>
    <w:rsid w:val="00535B67"/>
    <w:rsid w:val="005361AD"/>
    <w:rsid w:val="00536AF5"/>
    <w:rsid w:val="00536CCA"/>
    <w:rsid w:val="00536FA7"/>
    <w:rsid w:val="005370DD"/>
    <w:rsid w:val="005374C2"/>
    <w:rsid w:val="005375DD"/>
    <w:rsid w:val="00540D89"/>
    <w:rsid w:val="0054124A"/>
    <w:rsid w:val="005412FE"/>
    <w:rsid w:val="005418F6"/>
    <w:rsid w:val="00541B47"/>
    <w:rsid w:val="00541C1B"/>
    <w:rsid w:val="00543305"/>
    <w:rsid w:val="00543FFE"/>
    <w:rsid w:val="005442B0"/>
    <w:rsid w:val="005442CF"/>
    <w:rsid w:val="00544494"/>
    <w:rsid w:val="00544BD8"/>
    <w:rsid w:val="0054622A"/>
    <w:rsid w:val="005466EE"/>
    <w:rsid w:val="005478C2"/>
    <w:rsid w:val="00547ACF"/>
    <w:rsid w:val="0055031B"/>
    <w:rsid w:val="0055067F"/>
    <w:rsid w:val="00550840"/>
    <w:rsid w:val="0055188C"/>
    <w:rsid w:val="00551CD9"/>
    <w:rsid w:val="00552566"/>
    <w:rsid w:val="00552827"/>
    <w:rsid w:val="00552D8F"/>
    <w:rsid w:val="00553696"/>
    <w:rsid w:val="0055372F"/>
    <w:rsid w:val="00553AF1"/>
    <w:rsid w:val="00553B4A"/>
    <w:rsid w:val="00553C9E"/>
    <w:rsid w:val="00553DAC"/>
    <w:rsid w:val="00555207"/>
    <w:rsid w:val="00555764"/>
    <w:rsid w:val="00555809"/>
    <w:rsid w:val="005562E2"/>
    <w:rsid w:val="00556651"/>
    <w:rsid w:val="00556A4D"/>
    <w:rsid w:val="005579CF"/>
    <w:rsid w:val="00557CB2"/>
    <w:rsid w:val="005608F1"/>
    <w:rsid w:val="00561512"/>
    <w:rsid w:val="00561971"/>
    <w:rsid w:val="00562AA6"/>
    <w:rsid w:val="00562CFB"/>
    <w:rsid w:val="00562FF3"/>
    <w:rsid w:val="00563B84"/>
    <w:rsid w:val="0056473C"/>
    <w:rsid w:val="00564D65"/>
    <w:rsid w:val="00564FEA"/>
    <w:rsid w:val="005652FD"/>
    <w:rsid w:val="00565758"/>
    <w:rsid w:val="0056664F"/>
    <w:rsid w:val="00566A75"/>
    <w:rsid w:val="00566AFD"/>
    <w:rsid w:val="00566B7A"/>
    <w:rsid w:val="00566F61"/>
    <w:rsid w:val="00567D8E"/>
    <w:rsid w:val="005706C2"/>
    <w:rsid w:val="00570A54"/>
    <w:rsid w:val="00570E40"/>
    <w:rsid w:val="00570ED2"/>
    <w:rsid w:val="0057108D"/>
    <w:rsid w:val="0057196F"/>
    <w:rsid w:val="00572C91"/>
    <w:rsid w:val="00573098"/>
    <w:rsid w:val="00573767"/>
    <w:rsid w:val="00573B31"/>
    <w:rsid w:val="0057406B"/>
    <w:rsid w:val="00574138"/>
    <w:rsid w:val="0057446F"/>
    <w:rsid w:val="0057613B"/>
    <w:rsid w:val="005761B0"/>
    <w:rsid w:val="005803BF"/>
    <w:rsid w:val="00580A57"/>
    <w:rsid w:val="00580A8E"/>
    <w:rsid w:val="00581028"/>
    <w:rsid w:val="0058106D"/>
    <w:rsid w:val="00582621"/>
    <w:rsid w:val="00582B33"/>
    <w:rsid w:val="00583C72"/>
    <w:rsid w:val="005847CF"/>
    <w:rsid w:val="00584D36"/>
    <w:rsid w:val="005854A8"/>
    <w:rsid w:val="0058584F"/>
    <w:rsid w:val="00586174"/>
    <w:rsid w:val="00586588"/>
    <w:rsid w:val="00586761"/>
    <w:rsid w:val="00587120"/>
    <w:rsid w:val="00587217"/>
    <w:rsid w:val="00587783"/>
    <w:rsid w:val="00587F5B"/>
    <w:rsid w:val="005901FC"/>
    <w:rsid w:val="005910C1"/>
    <w:rsid w:val="00591C89"/>
    <w:rsid w:val="00591CA9"/>
    <w:rsid w:val="005928AA"/>
    <w:rsid w:val="0059292C"/>
    <w:rsid w:val="00592E96"/>
    <w:rsid w:val="0059303A"/>
    <w:rsid w:val="005938F2"/>
    <w:rsid w:val="00593A44"/>
    <w:rsid w:val="00594398"/>
    <w:rsid w:val="005950C6"/>
    <w:rsid w:val="00595388"/>
    <w:rsid w:val="00595A9F"/>
    <w:rsid w:val="005962A8"/>
    <w:rsid w:val="00596395"/>
    <w:rsid w:val="005967DE"/>
    <w:rsid w:val="0059688C"/>
    <w:rsid w:val="005976A4"/>
    <w:rsid w:val="00597974"/>
    <w:rsid w:val="00597A66"/>
    <w:rsid w:val="00597BD8"/>
    <w:rsid w:val="005A026A"/>
    <w:rsid w:val="005A11CD"/>
    <w:rsid w:val="005A1D5B"/>
    <w:rsid w:val="005A2554"/>
    <w:rsid w:val="005A2D17"/>
    <w:rsid w:val="005A3324"/>
    <w:rsid w:val="005A3A8B"/>
    <w:rsid w:val="005A3AC2"/>
    <w:rsid w:val="005A404F"/>
    <w:rsid w:val="005A4EB5"/>
    <w:rsid w:val="005A4ECF"/>
    <w:rsid w:val="005A5E87"/>
    <w:rsid w:val="005A5E8B"/>
    <w:rsid w:val="005A6D68"/>
    <w:rsid w:val="005A71B6"/>
    <w:rsid w:val="005A7450"/>
    <w:rsid w:val="005B0AAA"/>
    <w:rsid w:val="005B1E95"/>
    <w:rsid w:val="005B2AF2"/>
    <w:rsid w:val="005B2C10"/>
    <w:rsid w:val="005B3466"/>
    <w:rsid w:val="005B35CD"/>
    <w:rsid w:val="005B3D64"/>
    <w:rsid w:val="005B402F"/>
    <w:rsid w:val="005B4BFB"/>
    <w:rsid w:val="005B5218"/>
    <w:rsid w:val="005B5D8D"/>
    <w:rsid w:val="005B67D9"/>
    <w:rsid w:val="005B74EE"/>
    <w:rsid w:val="005B763D"/>
    <w:rsid w:val="005B76FA"/>
    <w:rsid w:val="005B7946"/>
    <w:rsid w:val="005C0A87"/>
    <w:rsid w:val="005C0C57"/>
    <w:rsid w:val="005C10BA"/>
    <w:rsid w:val="005C11B8"/>
    <w:rsid w:val="005C1AC9"/>
    <w:rsid w:val="005C1EB8"/>
    <w:rsid w:val="005C1F47"/>
    <w:rsid w:val="005C2F25"/>
    <w:rsid w:val="005C3218"/>
    <w:rsid w:val="005C3AA5"/>
    <w:rsid w:val="005C3BC1"/>
    <w:rsid w:val="005C42E8"/>
    <w:rsid w:val="005C4A08"/>
    <w:rsid w:val="005C67E7"/>
    <w:rsid w:val="005C77BB"/>
    <w:rsid w:val="005C7EF3"/>
    <w:rsid w:val="005D0E31"/>
    <w:rsid w:val="005D1AA5"/>
    <w:rsid w:val="005D1D8B"/>
    <w:rsid w:val="005D2775"/>
    <w:rsid w:val="005D317B"/>
    <w:rsid w:val="005D3A87"/>
    <w:rsid w:val="005D3C10"/>
    <w:rsid w:val="005D3FD9"/>
    <w:rsid w:val="005D400C"/>
    <w:rsid w:val="005D40EC"/>
    <w:rsid w:val="005D4501"/>
    <w:rsid w:val="005D4DCE"/>
    <w:rsid w:val="005D53C6"/>
    <w:rsid w:val="005D5698"/>
    <w:rsid w:val="005D5E12"/>
    <w:rsid w:val="005D6370"/>
    <w:rsid w:val="005D6553"/>
    <w:rsid w:val="005D6A24"/>
    <w:rsid w:val="005E01EA"/>
    <w:rsid w:val="005E06CE"/>
    <w:rsid w:val="005E1451"/>
    <w:rsid w:val="005E14B3"/>
    <w:rsid w:val="005E2B45"/>
    <w:rsid w:val="005E2FCC"/>
    <w:rsid w:val="005E3918"/>
    <w:rsid w:val="005E3D22"/>
    <w:rsid w:val="005E3F57"/>
    <w:rsid w:val="005E4D56"/>
    <w:rsid w:val="005E4F52"/>
    <w:rsid w:val="005E57FF"/>
    <w:rsid w:val="005E58DC"/>
    <w:rsid w:val="005E6648"/>
    <w:rsid w:val="005E6858"/>
    <w:rsid w:val="005E747D"/>
    <w:rsid w:val="005E7B60"/>
    <w:rsid w:val="005F031C"/>
    <w:rsid w:val="005F070E"/>
    <w:rsid w:val="005F0B72"/>
    <w:rsid w:val="005F100A"/>
    <w:rsid w:val="005F19B6"/>
    <w:rsid w:val="005F1A33"/>
    <w:rsid w:val="005F1D00"/>
    <w:rsid w:val="005F1DA3"/>
    <w:rsid w:val="005F1FB0"/>
    <w:rsid w:val="005F325F"/>
    <w:rsid w:val="005F37EF"/>
    <w:rsid w:val="005F53CC"/>
    <w:rsid w:val="005F54DC"/>
    <w:rsid w:val="005F5783"/>
    <w:rsid w:val="005F5911"/>
    <w:rsid w:val="005F5956"/>
    <w:rsid w:val="005F5CC9"/>
    <w:rsid w:val="005F5E91"/>
    <w:rsid w:val="005F6157"/>
    <w:rsid w:val="005F61C8"/>
    <w:rsid w:val="005F64BC"/>
    <w:rsid w:val="005F64CB"/>
    <w:rsid w:val="005F7466"/>
    <w:rsid w:val="005F7B25"/>
    <w:rsid w:val="0060039A"/>
    <w:rsid w:val="00600503"/>
    <w:rsid w:val="00600A40"/>
    <w:rsid w:val="00600BFB"/>
    <w:rsid w:val="00600C6E"/>
    <w:rsid w:val="00601BB5"/>
    <w:rsid w:val="00601C82"/>
    <w:rsid w:val="00601D00"/>
    <w:rsid w:val="00602959"/>
    <w:rsid w:val="00602C72"/>
    <w:rsid w:val="006036BC"/>
    <w:rsid w:val="00603765"/>
    <w:rsid w:val="00604CC3"/>
    <w:rsid w:val="006052C4"/>
    <w:rsid w:val="006052DB"/>
    <w:rsid w:val="0060588F"/>
    <w:rsid w:val="006058FF"/>
    <w:rsid w:val="006106B3"/>
    <w:rsid w:val="00610D22"/>
    <w:rsid w:val="00610D71"/>
    <w:rsid w:val="00611576"/>
    <w:rsid w:val="00611B31"/>
    <w:rsid w:val="00612A4A"/>
    <w:rsid w:val="00613E56"/>
    <w:rsid w:val="0061421E"/>
    <w:rsid w:val="00615189"/>
    <w:rsid w:val="0061548C"/>
    <w:rsid w:val="00615706"/>
    <w:rsid w:val="00615908"/>
    <w:rsid w:val="00615A07"/>
    <w:rsid w:val="006160E0"/>
    <w:rsid w:val="00616E13"/>
    <w:rsid w:val="00617580"/>
    <w:rsid w:val="00617CEC"/>
    <w:rsid w:val="00620798"/>
    <w:rsid w:val="00620A66"/>
    <w:rsid w:val="00621786"/>
    <w:rsid w:val="0062184D"/>
    <w:rsid w:val="00621B5C"/>
    <w:rsid w:val="0062286A"/>
    <w:rsid w:val="00622ABA"/>
    <w:rsid w:val="006230B9"/>
    <w:rsid w:val="006230FB"/>
    <w:rsid w:val="0062348B"/>
    <w:rsid w:val="0062352D"/>
    <w:rsid w:val="006236AA"/>
    <w:rsid w:val="006238D5"/>
    <w:rsid w:val="0062404A"/>
    <w:rsid w:val="0062414F"/>
    <w:rsid w:val="006243F1"/>
    <w:rsid w:val="00624840"/>
    <w:rsid w:val="00624E22"/>
    <w:rsid w:val="006254D7"/>
    <w:rsid w:val="006257E7"/>
    <w:rsid w:val="00627939"/>
    <w:rsid w:val="00630C7A"/>
    <w:rsid w:val="00630D55"/>
    <w:rsid w:val="006311EB"/>
    <w:rsid w:val="00631333"/>
    <w:rsid w:val="006320FD"/>
    <w:rsid w:val="00632133"/>
    <w:rsid w:val="006321FD"/>
    <w:rsid w:val="006323FB"/>
    <w:rsid w:val="00632D37"/>
    <w:rsid w:val="00632D54"/>
    <w:rsid w:val="006331E6"/>
    <w:rsid w:val="00633734"/>
    <w:rsid w:val="00633A1F"/>
    <w:rsid w:val="00634124"/>
    <w:rsid w:val="00635296"/>
    <w:rsid w:val="006352A1"/>
    <w:rsid w:val="00635F99"/>
    <w:rsid w:val="0063668D"/>
    <w:rsid w:val="0063710B"/>
    <w:rsid w:val="00640088"/>
    <w:rsid w:val="00640625"/>
    <w:rsid w:val="0064069A"/>
    <w:rsid w:val="00640AF8"/>
    <w:rsid w:val="006411F4"/>
    <w:rsid w:val="00641D96"/>
    <w:rsid w:val="006428C1"/>
    <w:rsid w:val="00642946"/>
    <w:rsid w:val="00642CA4"/>
    <w:rsid w:val="00643FCE"/>
    <w:rsid w:val="00644280"/>
    <w:rsid w:val="00644348"/>
    <w:rsid w:val="006451A0"/>
    <w:rsid w:val="00645CF0"/>
    <w:rsid w:val="00647445"/>
    <w:rsid w:val="00647774"/>
    <w:rsid w:val="00647850"/>
    <w:rsid w:val="006479D8"/>
    <w:rsid w:val="00647B8C"/>
    <w:rsid w:val="00647D4B"/>
    <w:rsid w:val="0065004E"/>
    <w:rsid w:val="006505C5"/>
    <w:rsid w:val="006507CF"/>
    <w:rsid w:val="00650F6F"/>
    <w:rsid w:val="006512B9"/>
    <w:rsid w:val="0065160B"/>
    <w:rsid w:val="006519A6"/>
    <w:rsid w:val="00653BFF"/>
    <w:rsid w:val="00656C93"/>
    <w:rsid w:val="0065758D"/>
    <w:rsid w:val="00657595"/>
    <w:rsid w:val="00657FFC"/>
    <w:rsid w:val="00660601"/>
    <w:rsid w:val="00661225"/>
    <w:rsid w:val="00661EA3"/>
    <w:rsid w:val="00662032"/>
    <w:rsid w:val="0066326D"/>
    <w:rsid w:val="00663272"/>
    <w:rsid w:val="00663F85"/>
    <w:rsid w:val="00665191"/>
    <w:rsid w:val="00665CBB"/>
    <w:rsid w:val="00666EDE"/>
    <w:rsid w:val="00667071"/>
    <w:rsid w:val="006675CB"/>
    <w:rsid w:val="006676B6"/>
    <w:rsid w:val="006677E5"/>
    <w:rsid w:val="00667C7B"/>
    <w:rsid w:val="00667CE4"/>
    <w:rsid w:val="00667F1B"/>
    <w:rsid w:val="00670A6B"/>
    <w:rsid w:val="00670CA8"/>
    <w:rsid w:val="00672139"/>
    <w:rsid w:val="00672CA3"/>
    <w:rsid w:val="00673512"/>
    <w:rsid w:val="00673784"/>
    <w:rsid w:val="00674777"/>
    <w:rsid w:val="006747F9"/>
    <w:rsid w:val="00674B47"/>
    <w:rsid w:val="006756FA"/>
    <w:rsid w:val="0067575F"/>
    <w:rsid w:val="0067580D"/>
    <w:rsid w:val="00675E2B"/>
    <w:rsid w:val="006762E2"/>
    <w:rsid w:val="006764AF"/>
    <w:rsid w:val="0067669E"/>
    <w:rsid w:val="0067673D"/>
    <w:rsid w:val="00676CF5"/>
    <w:rsid w:val="006771A7"/>
    <w:rsid w:val="006776D4"/>
    <w:rsid w:val="006776E9"/>
    <w:rsid w:val="00677BC3"/>
    <w:rsid w:val="00680940"/>
    <w:rsid w:val="0068166D"/>
    <w:rsid w:val="00681796"/>
    <w:rsid w:val="00681C21"/>
    <w:rsid w:val="00681FE7"/>
    <w:rsid w:val="00682075"/>
    <w:rsid w:val="006827E7"/>
    <w:rsid w:val="00682A8E"/>
    <w:rsid w:val="00682B2C"/>
    <w:rsid w:val="00683926"/>
    <w:rsid w:val="00683A58"/>
    <w:rsid w:val="00683BA6"/>
    <w:rsid w:val="00684A9E"/>
    <w:rsid w:val="00684C4E"/>
    <w:rsid w:val="00684E75"/>
    <w:rsid w:val="00685984"/>
    <w:rsid w:val="00685B6D"/>
    <w:rsid w:val="00686152"/>
    <w:rsid w:val="00687BB8"/>
    <w:rsid w:val="00687C31"/>
    <w:rsid w:val="00687F5F"/>
    <w:rsid w:val="006905AC"/>
    <w:rsid w:val="00691767"/>
    <w:rsid w:val="00691C6E"/>
    <w:rsid w:val="00691CA3"/>
    <w:rsid w:val="00692DE7"/>
    <w:rsid w:val="006932E0"/>
    <w:rsid w:val="00693571"/>
    <w:rsid w:val="00693A7B"/>
    <w:rsid w:val="00693AA7"/>
    <w:rsid w:val="0069422A"/>
    <w:rsid w:val="00694774"/>
    <w:rsid w:val="006952A8"/>
    <w:rsid w:val="006955FD"/>
    <w:rsid w:val="00695E2D"/>
    <w:rsid w:val="00695F12"/>
    <w:rsid w:val="006960E7"/>
    <w:rsid w:val="006A0A0F"/>
    <w:rsid w:val="006A0A5E"/>
    <w:rsid w:val="006A0D4F"/>
    <w:rsid w:val="006A149B"/>
    <w:rsid w:val="006A17CC"/>
    <w:rsid w:val="006A1A5E"/>
    <w:rsid w:val="006A1AFF"/>
    <w:rsid w:val="006A1D73"/>
    <w:rsid w:val="006A320F"/>
    <w:rsid w:val="006A389C"/>
    <w:rsid w:val="006A3E95"/>
    <w:rsid w:val="006A5355"/>
    <w:rsid w:val="006A55BC"/>
    <w:rsid w:val="006A5A83"/>
    <w:rsid w:val="006A5F1B"/>
    <w:rsid w:val="006A5F42"/>
    <w:rsid w:val="006A6B24"/>
    <w:rsid w:val="006A70D2"/>
    <w:rsid w:val="006A76DD"/>
    <w:rsid w:val="006B0E1F"/>
    <w:rsid w:val="006B0EB7"/>
    <w:rsid w:val="006B107D"/>
    <w:rsid w:val="006B1B26"/>
    <w:rsid w:val="006B211C"/>
    <w:rsid w:val="006B21A4"/>
    <w:rsid w:val="006B2423"/>
    <w:rsid w:val="006B34C2"/>
    <w:rsid w:val="006B4B3E"/>
    <w:rsid w:val="006B4D93"/>
    <w:rsid w:val="006B4DC0"/>
    <w:rsid w:val="006B51CD"/>
    <w:rsid w:val="006B55B9"/>
    <w:rsid w:val="006B5783"/>
    <w:rsid w:val="006B5A6F"/>
    <w:rsid w:val="006B6011"/>
    <w:rsid w:val="006B632F"/>
    <w:rsid w:val="006B63DE"/>
    <w:rsid w:val="006B6710"/>
    <w:rsid w:val="006B711F"/>
    <w:rsid w:val="006B7564"/>
    <w:rsid w:val="006B7BD1"/>
    <w:rsid w:val="006C0425"/>
    <w:rsid w:val="006C04C4"/>
    <w:rsid w:val="006C2BE5"/>
    <w:rsid w:val="006C2F8A"/>
    <w:rsid w:val="006C4615"/>
    <w:rsid w:val="006C4AF3"/>
    <w:rsid w:val="006C5263"/>
    <w:rsid w:val="006C533A"/>
    <w:rsid w:val="006C53EF"/>
    <w:rsid w:val="006C6B73"/>
    <w:rsid w:val="006C6CA0"/>
    <w:rsid w:val="006C70EF"/>
    <w:rsid w:val="006C7976"/>
    <w:rsid w:val="006C7E42"/>
    <w:rsid w:val="006D0C49"/>
    <w:rsid w:val="006D15B1"/>
    <w:rsid w:val="006D1A0D"/>
    <w:rsid w:val="006D29AA"/>
    <w:rsid w:val="006D2AC5"/>
    <w:rsid w:val="006D301B"/>
    <w:rsid w:val="006D3BE8"/>
    <w:rsid w:val="006D3EB8"/>
    <w:rsid w:val="006D4133"/>
    <w:rsid w:val="006D43E9"/>
    <w:rsid w:val="006D4A4C"/>
    <w:rsid w:val="006D4AD5"/>
    <w:rsid w:val="006D51A7"/>
    <w:rsid w:val="006D5C72"/>
    <w:rsid w:val="006D5EB6"/>
    <w:rsid w:val="006D6A79"/>
    <w:rsid w:val="006D6E8E"/>
    <w:rsid w:val="006D6EFD"/>
    <w:rsid w:val="006E04D5"/>
    <w:rsid w:val="006E0C39"/>
    <w:rsid w:val="006E0E2E"/>
    <w:rsid w:val="006E1744"/>
    <w:rsid w:val="006E1A98"/>
    <w:rsid w:val="006E2388"/>
    <w:rsid w:val="006E2653"/>
    <w:rsid w:val="006E440F"/>
    <w:rsid w:val="006E4C82"/>
    <w:rsid w:val="006E504D"/>
    <w:rsid w:val="006E5160"/>
    <w:rsid w:val="006E5C6F"/>
    <w:rsid w:val="006E6628"/>
    <w:rsid w:val="006E6693"/>
    <w:rsid w:val="006E7001"/>
    <w:rsid w:val="006E734B"/>
    <w:rsid w:val="006E746B"/>
    <w:rsid w:val="006F04F5"/>
    <w:rsid w:val="006F0CF5"/>
    <w:rsid w:val="006F12DE"/>
    <w:rsid w:val="006F13CF"/>
    <w:rsid w:val="006F1A42"/>
    <w:rsid w:val="006F1E75"/>
    <w:rsid w:val="006F2582"/>
    <w:rsid w:val="006F31E0"/>
    <w:rsid w:val="006F339F"/>
    <w:rsid w:val="006F3400"/>
    <w:rsid w:val="006F3519"/>
    <w:rsid w:val="006F39BE"/>
    <w:rsid w:val="006F42FE"/>
    <w:rsid w:val="006F433A"/>
    <w:rsid w:val="006F4782"/>
    <w:rsid w:val="006F4965"/>
    <w:rsid w:val="006F4D86"/>
    <w:rsid w:val="006F538B"/>
    <w:rsid w:val="006F53A3"/>
    <w:rsid w:val="006F558E"/>
    <w:rsid w:val="006F7C96"/>
    <w:rsid w:val="006F7DDE"/>
    <w:rsid w:val="007003A4"/>
    <w:rsid w:val="007004A2"/>
    <w:rsid w:val="00700EC8"/>
    <w:rsid w:val="00701E65"/>
    <w:rsid w:val="00702D98"/>
    <w:rsid w:val="00703DEF"/>
    <w:rsid w:val="007064C4"/>
    <w:rsid w:val="007070D9"/>
    <w:rsid w:val="00707847"/>
    <w:rsid w:val="0071009A"/>
    <w:rsid w:val="00710F1B"/>
    <w:rsid w:val="00710F83"/>
    <w:rsid w:val="00711771"/>
    <w:rsid w:val="007125A5"/>
    <w:rsid w:val="007127F7"/>
    <w:rsid w:val="00712BAE"/>
    <w:rsid w:val="00713E42"/>
    <w:rsid w:val="00715413"/>
    <w:rsid w:val="00715A84"/>
    <w:rsid w:val="00715DF8"/>
    <w:rsid w:val="00715E2F"/>
    <w:rsid w:val="00715F3A"/>
    <w:rsid w:val="00716277"/>
    <w:rsid w:val="007207A0"/>
    <w:rsid w:val="007208D1"/>
    <w:rsid w:val="00720912"/>
    <w:rsid w:val="00720BF8"/>
    <w:rsid w:val="00720F0B"/>
    <w:rsid w:val="00721511"/>
    <w:rsid w:val="00721779"/>
    <w:rsid w:val="00721FA2"/>
    <w:rsid w:val="00722016"/>
    <w:rsid w:val="00722E88"/>
    <w:rsid w:val="007231F7"/>
    <w:rsid w:val="007248B6"/>
    <w:rsid w:val="007248E7"/>
    <w:rsid w:val="00725139"/>
    <w:rsid w:val="00725CF5"/>
    <w:rsid w:val="00726503"/>
    <w:rsid w:val="007266CC"/>
    <w:rsid w:val="00730821"/>
    <w:rsid w:val="00730BAE"/>
    <w:rsid w:val="007310E9"/>
    <w:rsid w:val="007310F5"/>
    <w:rsid w:val="00731543"/>
    <w:rsid w:val="007316D8"/>
    <w:rsid w:val="00731C7C"/>
    <w:rsid w:val="00731CC4"/>
    <w:rsid w:val="00732612"/>
    <w:rsid w:val="00733A0F"/>
    <w:rsid w:val="00733BAA"/>
    <w:rsid w:val="00734735"/>
    <w:rsid w:val="00734C03"/>
    <w:rsid w:val="00734F30"/>
    <w:rsid w:val="00736FEB"/>
    <w:rsid w:val="00737F90"/>
    <w:rsid w:val="0074079B"/>
    <w:rsid w:val="00740ABD"/>
    <w:rsid w:val="00740D05"/>
    <w:rsid w:val="00741CD8"/>
    <w:rsid w:val="00741D9B"/>
    <w:rsid w:val="00742BE8"/>
    <w:rsid w:val="00743073"/>
    <w:rsid w:val="007431E9"/>
    <w:rsid w:val="00743767"/>
    <w:rsid w:val="007439C2"/>
    <w:rsid w:val="00744367"/>
    <w:rsid w:val="007444E2"/>
    <w:rsid w:val="00744AF2"/>
    <w:rsid w:val="00745106"/>
    <w:rsid w:val="0074574D"/>
    <w:rsid w:val="00745A75"/>
    <w:rsid w:val="00746174"/>
    <w:rsid w:val="007463B4"/>
    <w:rsid w:val="007466F2"/>
    <w:rsid w:val="00746B88"/>
    <w:rsid w:val="007472D2"/>
    <w:rsid w:val="00747560"/>
    <w:rsid w:val="00747598"/>
    <w:rsid w:val="007477AD"/>
    <w:rsid w:val="0075068C"/>
    <w:rsid w:val="00750EFC"/>
    <w:rsid w:val="007519BD"/>
    <w:rsid w:val="00751E06"/>
    <w:rsid w:val="007529C5"/>
    <w:rsid w:val="00753267"/>
    <w:rsid w:val="00753AAA"/>
    <w:rsid w:val="00753D92"/>
    <w:rsid w:val="00753FC1"/>
    <w:rsid w:val="00754A4E"/>
    <w:rsid w:val="00754B50"/>
    <w:rsid w:val="00754C61"/>
    <w:rsid w:val="00754D3D"/>
    <w:rsid w:val="00754F9C"/>
    <w:rsid w:val="00755553"/>
    <w:rsid w:val="007557D7"/>
    <w:rsid w:val="00756E78"/>
    <w:rsid w:val="00757F89"/>
    <w:rsid w:val="00760178"/>
    <w:rsid w:val="00760E4C"/>
    <w:rsid w:val="007611D6"/>
    <w:rsid w:val="0076163C"/>
    <w:rsid w:val="00761CD9"/>
    <w:rsid w:val="007620DA"/>
    <w:rsid w:val="00762160"/>
    <w:rsid w:val="007625C1"/>
    <w:rsid w:val="00762869"/>
    <w:rsid w:val="0076287C"/>
    <w:rsid w:val="007628B0"/>
    <w:rsid w:val="00762FDA"/>
    <w:rsid w:val="00763149"/>
    <w:rsid w:val="007632ED"/>
    <w:rsid w:val="00764050"/>
    <w:rsid w:val="007642F7"/>
    <w:rsid w:val="007648CF"/>
    <w:rsid w:val="00764ADA"/>
    <w:rsid w:val="00764E35"/>
    <w:rsid w:val="00764EF6"/>
    <w:rsid w:val="00766254"/>
    <w:rsid w:val="007665CC"/>
    <w:rsid w:val="00766CC2"/>
    <w:rsid w:val="00767DD7"/>
    <w:rsid w:val="00770733"/>
    <w:rsid w:val="00771055"/>
    <w:rsid w:val="007719B5"/>
    <w:rsid w:val="00772E7F"/>
    <w:rsid w:val="00773DED"/>
    <w:rsid w:val="0077418D"/>
    <w:rsid w:val="007743F1"/>
    <w:rsid w:val="007757EC"/>
    <w:rsid w:val="00775BBE"/>
    <w:rsid w:val="00776926"/>
    <w:rsid w:val="0077727A"/>
    <w:rsid w:val="00777528"/>
    <w:rsid w:val="007777EB"/>
    <w:rsid w:val="00777C3C"/>
    <w:rsid w:val="007816B1"/>
    <w:rsid w:val="00782CA0"/>
    <w:rsid w:val="00782E90"/>
    <w:rsid w:val="00782F72"/>
    <w:rsid w:val="00783066"/>
    <w:rsid w:val="00783388"/>
    <w:rsid w:val="00784203"/>
    <w:rsid w:val="0078422B"/>
    <w:rsid w:val="00784271"/>
    <w:rsid w:val="00784823"/>
    <w:rsid w:val="00784BBB"/>
    <w:rsid w:val="00784ED8"/>
    <w:rsid w:val="00784F77"/>
    <w:rsid w:val="00785930"/>
    <w:rsid w:val="00785AD6"/>
    <w:rsid w:val="00785B00"/>
    <w:rsid w:val="00786950"/>
    <w:rsid w:val="00787397"/>
    <w:rsid w:val="00787F06"/>
    <w:rsid w:val="00790250"/>
    <w:rsid w:val="00790766"/>
    <w:rsid w:val="007913AD"/>
    <w:rsid w:val="007916DF"/>
    <w:rsid w:val="007917D8"/>
    <w:rsid w:val="00791BA5"/>
    <w:rsid w:val="00792F81"/>
    <w:rsid w:val="00793005"/>
    <w:rsid w:val="00793086"/>
    <w:rsid w:val="0079329F"/>
    <w:rsid w:val="007937F3"/>
    <w:rsid w:val="00794071"/>
    <w:rsid w:val="007940B5"/>
    <w:rsid w:val="00794680"/>
    <w:rsid w:val="00794AB2"/>
    <w:rsid w:val="00795742"/>
    <w:rsid w:val="00795F39"/>
    <w:rsid w:val="007963EA"/>
    <w:rsid w:val="007A006C"/>
    <w:rsid w:val="007A0093"/>
    <w:rsid w:val="007A12B7"/>
    <w:rsid w:val="007A1EF1"/>
    <w:rsid w:val="007A2A5A"/>
    <w:rsid w:val="007A2DA3"/>
    <w:rsid w:val="007A2EB3"/>
    <w:rsid w:val="007A38E5"/>
    <w:rsid w:val="007A3DFF"/>
    <w:rsid w:val="007A4126"/>
    <w:rsid w:val="007A4F76"/>
    <w:rsid w:val="007A4FC2"/>
    <w:rsid w:val="007A5340"/>
    <w:rsid w:val="007A54D8"/>
    <w:rsid w:val="007A552C"/>
    <w:rsid w:val="007A5B91"/>
    <w:rsid w:val="007A61E7"/>
    <w:rsid w:val="007A65B8"/>
    <w:rsid w:val="007A6721"/>
    <w:rsid w:val="007A675C"/>
    <w:rsid w:val="007A7CA4"/>
    <w:rsid w:val="007B0464"/>
    <w:rsid w:val="007B0D9E"/>
    <w:rsid w:val="007B16E5"/>
    <w:rsid w:val="007B18DF"/>
    <w:rsid w:val="007B1F46"/>
    <w:rsid w:val="007B2739"/>
    <w:rsid w:val="007B35BD"/>
    <w:rsid w:val="007B4F94"/>
    <w:rsid w:val="007B6710"/>
    <w:rsid w:val="007B6896"/>
    <w:rsid w:val="007B6A4A"/>
    <w:rsid w:val="007B6A7D"/>
    <w:rsid w:val="007B7743"/>
    <w:rsid w:val="007B7943"/>
    <w:rsid w:val="007C0BC9"/>
    <w:rsid w:val="007C14E3"/>
    <w:rsid w:val="007C194D"/>
    <w:rsid w:val="007C26FF"/>
    <w:rsid w:val="007C3B11"/>
    <w:rsid w:val="007C5101"/>
    <w:rsid w:val="007C565D"/>
    <w:rsid w:val="007C58B5"/>
    <w:rsid w:val="007C5D97"/>
    <w:rsid w:val="007C6B11"/>
    <w:rsid w:val="007C717E"/>
    <w:rsid w:val="007C745C"/>
    <w:rsid w:val="007C74D9"/>
    <w:rsid w:val="007D0351"/>
    <w:rsid w:val="007D15FD"/>
    <w:rsid w:val="007D2E1D"/>
    <w:rsid w:val="007D3231"/>
    <w:rsid w:val="007D4369"/>
    <w:rsid w:val="007D45FF"/>
    <w:rsid w:val="007D4AD1"/>
    <w:rsid w:val="007D4D1D"/>
    <w:rsid w:val="007D57DE"/>
    <w:rsid w:val="007D5C98"/>
    <w:rsid w:val="007D740A"/>
    <w:rsid w:val="007D7720"/>
    <w:rsid w:val="007D7BEA"/>
    <w:rsid w:val="007E0723"/>
    <w:rsid w:val="007E0786"/>
    <w:rsid w:val="007E082B"/>
    <w:rsid w:val="007E12A6"/>
    <w:rsid w:val="007E1429"/>
    <w:rsid w:val="007E1570"/>
    <w:rsid w:val="007E1944"/>
    <w:rsid w:val="007E1C85"/>
    <w:rsid w:val="007E20E1"/>
    <w:rsid w:val="007E2181"/>
    <w:rsid w:val="007E25DC"/>
    <w:rsid w:val="007E2CC0"/>
    <w:rsid w:val="007E2DF7"/>
    <w:rsid w:val="007E3DD9"/>
    <w:rsid w:val="007E436A"/>
    <w:rsid w:val="007E4CD6"/>
    <w:rsid w:val="007E4F40"/>
    <w:rsid w:val="007E571F"/>
    <w:rsid w:val="007E6398"/>
    <w:rsid w:val="007E65E3"/>
    <w:rsid w:val="007E6910"/>
    <w:rsid w:val="007E6B49"/>
    <w:rsid w:val="007E6D8A"/>
    <w:rsid w:val="007E783E"/>
    <w:rsid w:val="007F01BD"/>
    <w:rsid w:val="007F1117"/>
    <w:rsid w:val="007F1C33"/>
    <w:rsid w:val="007F1D1C"/>
    <w:rsid w:val="007F2E33"/>
    <w:rsid w:val="007F38B5"/>
    <w:rsid w:val="007F3B03"/>
    <w:rsid w:val="007F3B2F"/>
    <w:rsid w:val="007F438A"/>
    <w:rsid w:val="007F4AA6"/>
    <w:rsid w:val="007F52EF"/>
    <w:rsid w:val="007F65C7"/>
    <w:rsid w:val="007F6A63"/>
    <w:rsid w:val="007F6C8D"/>
    <w:rsid w:val="007F6E5A"/>
    <w:rsid w:val="007F7471"/>
    <w:rsid w:val="007F7689"/>
    <w:rsid w:val="0080017D"/>
    <w:rsid w:val="008002D9"/>
    <w:rsid w:val="008010A8"/>
    <w:rsid w:val="008017C4"/>
    <w:rsid w:val="00801A7D"/>
    <w:rsid w:val="00803008"/>
    <w:rsid w:val="00803754"/>
    <w:rsid w:val="00803DDF"/>
    <w:rsid w:val="00804241"/>
    <w:rsid w:val="008054A3"/>
    <w:rsid w:val="0080633A"/>
    <w:rsid w:val="008064F5"/>
    <w:rsid w:val="008067F4"/>
    <w:rsid w:val="008070C7"/>
    <w:rsid w:val="0081016E"/>
    <w:rsid w:val="00810849"/>
    <w:rsid w:val="00810D77"/>
    <w:rsid w:val="0081132C"/>
    <w:rsid w:val="00811DFB"/>
    <w:rsid w:val="00811E5C"/>
    <w:rsid w:val="00811F8D"/>
    <w:rsid w:val="00812BB4"/>
    <w:rsid w:val="00814319"/>
    <w:rsid w:val="0081522A"/>
    <w:rsid w:val="00815313"/>
    <w:rsid w:val="008156F5"/>
    <w:rsid w:val="00815A51"/>
    <w:rsid w:val="00815FDA"/>
    <w:rsid w:val="008168B6"/>
    <w:rsid w:val="00816D45"/>
    <w:rsid w:val="0081771C"/>
    <w:rsid w:val="00820283"/>
    <w:rsid w:val="00820B4E"/>
    <w:rsid w:val="00822956"/>
    <w:rsid w:val="00823293"/>
    <w:rsid w:val="00823CA7"/>
    <w:rsid w:val="008240B4"/>
    <w:rsid w:val="0082530F"/>
    <w:rsid w:val="00825E8D"/>
    <w:rsid w:val="0082630A"/>
    <w:rsid w:val="008264C3"/>
    <w:rsid w:val="00826B67"/>
    <w:rsid w:val="00827088"/>
    <w:rsid w:val="008270D4"/>
    <w:rsid w:val="00827852"/>
    <w:rsid w:val="00827E98"/>
    <w:rsid w:val="00830DD2"/>
    <w:rsid w:val="00831410"/>
    <w:rsid w:val="0083169D"/>
    <w:rsid w:val="00831C77"/>
    <w:rsid w:val="00831CC9"/>
    <w:rsid w:val="00832580"/>
    <w:rsid w:val="00832C38"/>
    <w:rsid w:val="00832DE9"/>
    <w:rsid w:val="00833795"/>
    <w:rsid w:val="0083384A"/>
    <w:rsid w:val="00834166"/>
    <w:rsid w:val="00835204"/>
    <w:rsid w:val="00835B75"/>
    <w:rsid w:val="00835E97"/>
    <w:rsid w:val="00836124"/>
    <w:rsid w:val="008365B8"/>
    <w:rsid w:val="008365D7"/>
    <w:rsid w:val="00836E19"/>
    <w:rsid w:val="008377E3"/>
    <w:rsid w:val="00837838"/>
    <w:rsid w:val="00837D5B"/>
    <w:rsid w:val="00840602"/>
    <w:rsid w:val="00840AAC"/>
    <w:rsid w:val="00840D04"/>
    <w:rsid w:val="00841990"/>
    <w:rsid w:val="00842764"/>
    <w:rsid w:val="008429CF"/>
    <w:rsid w:val="00842BD7"/>
    <w:rsid w:val="008436FD"/>
    <w:rsid w:val="0084376F"/>
    <w:rsid w:val="0084428A"/>
    <w:rsid w:val="00844472"/>
    <w:rsid w:val="0084453C"/>
    <w:rsid w:val="008447CF"/>
    <w:rsid w:val="00844D7E"/>
    <w:rsid w:val="00845ED6"/>
    <w:rsid w:val="00846699"/>
    <w:rsid w:val="008467EA"/>
    <w:rsid w:val="00846E7F"/>
    <w:rsid w:val="00846F5F"/>
    <w:rsid w:val="008476F4"/>
    <w:rsid w:val="00847872"/>
    <w:rsid w:val="00847889"/>
    <w:rsid w:val="008478D8"/>
    <w:rsid w:val="00847D12"/>
    <w:rsid w:val="00847DF5"/>
    <w:rsid w:val="00850493"/>
    <w:rsid w:val="008505D0"/>
    <w:rsid w:val="008507B9"/>
    <w:rsid w:val="0085131A"/>
    <w:rsid w:val="00851652"/>
    <w:rsid w:val="00851BD3"/>
    <w:rsid w:val="00852D8C"/>
    <w:rsid w:val="008536BB"/>
    <w:rsid w:val="00853B70"/>
    <w:rsid w:val="00853F59"/>
    <w:rsid w:val="00853FAA"/>
    <w:rsid w:val="008547D0"/>
    <w:rsid w:val="008548FB"/>
    <w:rsid w:val="00854A4B"/>
    <w:rsid w:val="00855434"/>
    <w:rsid w:val="00855705"/>
    <w:rsid w:val="00855C8C"/>
    <w:rsid w:val="00855E6F"/>
    <w:rsid w:val="00856200"/>
    <w:rsid w:val="00856347"/>
    <w:rsid w:val="00856D68"/>
    <w:rsid w:val="008571CD"/>
    <w:rsid w:val="00857D4B"/>
    <w:rsid w:val="00857D97"/>
    <w:rsid w:val="00860310"/>
    <w:rsid w:val="00860392"/>
    <w:rsid w:val="00860AF5"/>
    <w:rsid w:val="00860E11"/>
    <w:rsid w:val="00861456"/>
    <w:rsid w:val="008619DA"/>
    <w:rsid w:val="00861A93"/>
    <w:rsid w:val="00861FD3"/>
    <w:rsid w:val="008623A7"/>
    <w:rsid w:val="008632BC"/>
    <w:rsid w:val="008632D8"/>
    <w:rsid w:val="008635C7"/>
    <w:rsid w:val="00863828"/>
    <w:rsid w:val="00863863"/>
    <w:rsid w:val="0086395F"/>
    <w:rsid w:val="00863ECD"/>
    <w:rsid w:val="00863F47"/>
    <w:rsid w:val="00864381"/>
    <w:rsid w:val="00864B0B"/>
    <w:rsid w:val="00864C76"/>
    <w:rsid w:val="0086510F"/>
    <w:rsid w:val="00865E8F"/>
    <w:rsid w:val="00866165"/>
    <w:rsid w:val="008664A3"/>
    <w:rsid w:val="00866532"/>
    <w:rsid w:val="008665E2"/>
    <w:rsid w:val="00866B96"/>
    <w:rsid w:val="008671A9"/>
    <w:rsid w:val="008672A1"/>
    <w:rsid w:val="0086745C"/>
    <w:rsid w:val="0086778F"/>
    <w:rsid w:val="008700C9"/>
    <w:rsid w:val="008701D8"/>
    <w:rsid w:val="00870BAA"/>
    <w:rsid w:val="00872133"/>
    <w:rsid w:val="0087222B"/>
    <w:rsid w:val="008728E5"/>
    <w:rsid w:val="00872BD0"/>
    <w:rsid w:val="008736B2"/>
    <w:rsid w:val="008736CA"/>
    <w:rsid w:val="0087383E"/>
    <w:rsid w:val="00873FD3"/>
    <w:rsid w:val="00873FFD"/>
    <w:rsid w:val="0087459C"/>
    <w:rsid w:val="0087468D"/>
    <w:rsid w:val="00874D03"/>
    <w:rsid w:val="008750EB"/>
    <w:rsid w:val="0087518B"/>
    <w:rsid w:val="00875801"/>
    <w:rsid w:val="0087668C"/>
    <w:rsid w:val="008766F6"/>
    <w:rsid w:val="00876E49"/>
    <w:rsid w:val="00877633"/>
    <w:rsid w:val="00877AAB"/>
    <w:rsid w:val="00877E70"/>
    <w:rsid w:val="00880781"/>
    <w:rsid w:val="008808B9"/>
    <w:rsid w:val="00880B4B"/>
    <w:rsid w:val="00881301"/>
    <w:rsid w:val="00881A0D"/>
    <w:rsid w:val="00881B5D"/>
    <w:rsid w:val="00881D00"/>
    <w:rsid w:val="00881D54"/>
    <w:rsid w:val="0088203F"/>
    <w:rsid w:val="00882108"/>
    <w:rsid w:val="00882697"/>
    <w:rsid w:val="00882861"/>
    <w:rsid w:val="00882E73"/>
    <w:rsid w:val="008837E0"/>
    <w:rsid w:val="00883EF2"/>
    <w:rsid w:val="008840E5"/>
    <w:rsid w:val="00884AB3"/>
    <w:rsid w:val="008870A6"/>
    <w:rsid w:val="00887260"/>
    <w:rsid w:val="00887D3E"/>
    <w:rsid w:val="008901A8"/>
    <w:rsid w:val="00891175"/>
    <w:rsid w:val="00891622"/>
    <w:rsid w:val="008920CC"/>
    <w:rsid w:val="00893172"/>
    <w:rsid w:val="00893878"/>
    <w:rsid w:val="008942F4"/>
    <w:rsid w:val="00894545"/>
    <w:rsid w:val="008946BE"/>
    <w:rsid w:val="0089582E"/>
    <w:rsid w:val="00895B3E"/>
    <w:rsid w:val="008963CF"/>
    <w:rsid w:val="0089721B"/>
    <w:rsid w:val="008979BE"/>
    <w:rsid w:val="00897E16"/>
    <w:rsid w:val="008A008B"/>
    <w:rsid w:val="008A0365"/>
    <w:rsid w:val="008A0CF3"/>
    <w:rsid w:val="008A0CF7"/>
    <w:rsid w:val="008A0DA3"/>
    <w:rsid w:val="008A2131"/>
    <w:rsid w:val="008A231E"/>
    <w:rsid w:val="008A331B"/>
    <w:rsid w:val="008A37C4"/>
    <w:rsid w:val="008A387F"/>
    <w:rsid w:val="008A411A"/>
    <w:rsid w:val="008A4245"/>
    <w:rsid w:val="008A42DA"/>
    <w:rsid w:val="008A43B3"/>
    <w:rsid w:val="008A4572"/>
    <w:rsid w:val="008A48F3"/>
    <w:rsid w:val="008A53FA"/>
    <w:rsid w:val="008A5612"/>
    <w:rsid w:val="008A6251"/>
    <w:rsid w:val="008A7814"/>
    <w:rsid w:val="008B0163"/>
    <w:rsid w:val="008B04E7"/>
    <w:rsid w:val="008B0C36"/>
    <w:rsid w:val="008B1F30"/>
    <w:rsid w:val="008B2529"/>
    <w:rsid w:val="008B276D"/>
    <w:rsid w:val="008B2AD0"/>
    <w:rsid w:val="008B39E7"/>
    <w:rsid w:val="008B39E9"/>
    <w:rsid w:val="008B455F"/>
    <w:rsid w:val="008B46F4"/>
    <w:rsid w:val="008B4AEC"/>
    <w:rsid w:val="008B50B5"/>
    <w:rsid w:val="008B5136"/>
    <w:rsid w:val="008B51A0"/>
    <w:rsid w:val="008B6147"/>
    <w:rsid w:val="008B61D4"/>
    <w:rsid w:val="008B6E5C"/>
    <w:rsid w:val="008C0072"/>
    <w:rsid w:val="008C0496"/>
    <w:rsid w:val="008C183C"/>
    <w:rsid w:val="008C2F1C"/>
    <w:rsid w:val="008C3110"/>
    <w:rsid w:val="008C358D"/>
    <w:rsid w:val="008C399D"/>
    <w:rsid w:val="008C3B63"/>
    <w:rsid w:val="008C40BF"/>
    <w:rsid w:val="008C40C8"/>
    <w:rsid w:val="008C45FE"/>
    <w:rsid w:val="008C4951"/>
    <w:rsid w:val="008C4EAF"/>
    <w:rsid w:val="008C522D"/>
    <w:rsid w:val="008C60AF"/>
    <w:rsid w:val="008C6642"/>
    <w:rsid w:val="008C6DDA"/>
    <w:rsid w:val="008C77E9"/>
    <w:rsid w:val="008C79A9"/>
    <w:rsid w:val="008D0701"/>
    <w:rsid w:val="008D1008"/>
    <w:rsid w:val="008D1178"/>
    <w:rsid w:val="008D1720"/>
    <w:rsid w:val="008D18C9"/>
    <w:rsid w:val="008D19C9"/>
    <w:rsid w:val="008D20E2"/>
    <w:rsid w:val="008D24B9"/>
    <w:rsid w:val="008D2ED1"/>
    <w:rsid w:val="008D4BC8"/>
    <w:rsid w:val="008D50ED"/>
    <w:rsid w:val="008D61DA"/>
    <w:rsid w:val="008E0C1C"/>
    <w:rsid w:val="008E0C3F"/>
    <w:rsid w:val="008E109A"/>
    <w:rsid w:val="008E2522"/>
    <w:rsid w:val="008E2BB4"/>
    <w:rsid w:val="008E334D"/>
    <w:rsid w:val="008E3524"/>
    <w:rsid w:val="008E3D17"/>
    <w:rsid w:val="008E4471"/>
    <w:rsid w:val="008E48B1"/>
    <w:rsid w:val="008E53C8"/>
    <w:rsid w:val="008E58D9"/>
    <w:rsid w:val="008E5C0E"/>
    <w:rsid w:val="008E6AC6"/>
    <w:rsid w:val="008E6C5C"/>
    <w:rsid w:val="008E6EA9"/>
    <w:rsid w:val="008E74E1"/>
    <w:rsid w:val="008F06F2"/>
    <w:rsid w:val="008F0B99"/>
    <w:rsid w:val="008F179F"/>
    <w:rsid w:val="008F18E7"/>
    <w:rsid w:val="008F1C14"/>
    <w:rsid w:val="008F1C4D"/>
    <w:rsid w:val="008F1E15"/>
    <w:rsid w:val="008F263E"/>
    <w:rsid w:val="008F2CB3"/>
    <w:rsid w:val="008F2FB0"/>
    <w:rsid w:val="008F3E83"/>
    <w:rsid w:val="008F423A"/>
    <w:rsid w:val="008F48FF"/>
    <w:rsid w:val="008F4FD1"/>
    <w:rsid w:val="008F5527"/>
    <w:rsid w:val="008F5EEA"/>
    <w:rsid w:val="008F6312"/>
    <w:rsid w:val="008F69DE"/>
    <w:rsid w:val="008F6B15"/>
    <w:rsid w:val="008F7020"/>
    <w:rsid w:val="008F7C78"/>
    <w:rsid w:val="008F7CBE"/>
    <w:rsid w:val="009013EB"/>
    <w:rsid w:val="009019D2"/>
    <w:rsid w:val="009026B6"/>
    <w:rsid w:val="00904F33"/>
    <w:rsid w:val="00906084"/>
    <w:rsid w:val="00906739"/>
    <w:rsid w:val="00906F1E"/>
    <w:rsid w:val="009078B8"/>
    <w:rsid w:val="00907C3F"/>
    <w:rsid w:val="00907C74"/>
    <w:rsid w:val="00911168"/>
    <w:rsid w:val="009113E4"/>
    <w:rsid w:val="009125F8"/>
    <w:rsid w:val="00913170"/>
    <w:rsid w:val="0091335C"/>
    <w:rsid w:val="00913377"/>
    <w:rsid w:val="00913492"/>
    <w:rsid w:val="00914291"/>
    <w:rsid w:val="00914AA4"/>
    <w:rsid w:val="00914D81"/>
    <w:rsid w:val="00915363"/>
    <w:rsid w:val="009156EB"/>
    <w:rsid w:val="009157D6"/>
    <w:rsid w:val="00915B71"/>
    <w:rsid w:val="00915FF8"/>
    <w:rsid w:val="00916948"/>
    <w:rsid w:val="00916BE4"/>
    <w:rsid w:val="009205B9"/>
    <w:rsid w:val="009206AD"/>
    <w:rsid w:val="00920FC6"/>
    <w:rsid w:val="009213F9"/>
    <w:rsid w:val="0092198F"/>
    <w:rsid w:val="00921C4A"/>
    <w:rsid w:val="00921F6C"/>
    <w:rsid w:val="0092214B"/>
    <w:rsid w:val="009223F2"/>
    <w:rsid w:val="00922497"/>
    <w:rsid w:val="0092279A"/>
    <w:rsid w:val="0092374D"/>
    <w:rsid w:val="009239D5"/>
    <w:rsid w:val="00923C51"/>
    <w:rsid w:val="009242CF"/>
    <w:rsid w:val="0092504E"/>
    <w:rsid w:val="009253A5"/>
    <w:rsid w:val="00925D05"/>
    <w:rsid w:val="00925F3A"/>
    <w:rsid w:val="00926014"/>
    <w:rsid w:val="009262C0"/>
    <w:rsid w:val="00927200"/>
    <w:rsid w:val="0092774F"/>
    <w:rsid w:val="009279CB"/>
    <w:rsid w:val="00927B5E"/>
    <w:rsid w:val="0093031E"/>
    <w:rsid w:val="00930B5E"/>
    <w:rsid w:val="009319BC"/>
    <w:rsid w:val="00931E47"/>
    <w:rsid w:val="009322F1"/>
    <w:rsid w:val="00932D3C"/>
    <w:rsid w:val="009340A3"/>
    <w:rsid w:val="009362AF"/>
    <w:rsid w:val="00936E1C"/>
    <w:rsid w:val="009374B6"/>
    <w:rsid w:val="0093782E"/>
    <w:rsid w:val="009379A8"/>
    <w:rsid w:val="009402AD"/>
    <w:rsid w:val="00940A44"/>
    <w:rsid w:val="00940B6B"/>
    <w:rsid w:val="00940CB7"/>
    <w:rsid w:val="00940E6B"/>
    <w:rsid w:val="0094124E"/>
    <w:rsid w:val="009413A5"/>
    <w:rsid w:val="009415FF"/>
    <w:rsid w:val="00941894"/>
    <w:rsid w:val="0094232D"/>
    <w:rsid w:val="00942EED"/>
    <w:rsid w:val="00943159"/>
    <w:rsid w:val="00943331"/>
    <w:rsid w:val="009433FE"/>
    <w:rsid w:val="00943617"/>
    <w:rsid w:val="00943B27"/>
    <w:rsid w:val="00944128"/>
    <w:rsid w:val="00944594"/>
    <w:rsid w:val="00944595"/>
    <w:rsid w:val="0094468A"/>
    <w:rsid w:val="00944ED8"/>
    <w:rsid w:val="00945948"/>
    <w:rsid w:val="009506EE"/>
    <w:rsid w:val="009509C8"/>
    <w:rsid w:val="00950BF2"/>
    <w:rsid w:val="00950E0C"/>
    <w:rsid w:val="00951C82"/>
    <w:rsid w:val="00952178"/>
    <w:rsid w:val="009523FF"/>
    <w:rsid w:val="00953F94"/>
    <w:rsid w:val="009543CE"/>
    <w:rsid w:val="00954E51"/>
    <w:rsid w:val="00954E6B"/>
    <w:rsid w:val="00955655"/>
    <w:rsid w:val="00955BD9"/>
    <w:rsid w:val="00956065"/>
    <w:rsid w:val="009562BD"/>
    <w:rsid w:val="0095652C"/>
    <w:rsid w:val="0095725F"/>
    <w:rsid w:val="00957EF9"/>
    <w:rsid w:val="009604BE"/>
    <w:rsid w:val="0096110D"/>
    <w:rsid w:val="00961BEF"/>
    <w:rsid w:val="00962B4D"/>
    <w:rsid w:val="00962F77"/>
    <w:rsid w:val="0096315A"/>
    <w:rsid w:val="009636BA"/>
    <w:rsid w:val="0096376B"/>
    <w:rsid w:val="009637FD"/>
    <w:rsid w:val="00963F62"/>
    <w:rsid w:val="00964035"/>
    <w:rsid w:val="00964A26"/>
    <w:rsid w:val="00964CE1"/>
    <w:rsid w:val="00964FC0"/>
    <w:rsid w:val="00964FFE"/>
    <w:rsid w:val="00965B94"/>
    <w:rsid w:val="00966128"/>
    <w:rsid w:val="00966718"/>
    <w:rsid w:val="00967875"/>
    <w:rsid w:val="00967A67"/>
    <w:rsid w:val="0097005A"/>
    <w:rsid w:val="009705F3"/>
    <w:rsid w:val="00971131"/>
    <w:rsid w:val="0097139D"/>
    <w:rsid w:val="009717FD"/>
    <w:rsid w:val="00971CA9"/>
    <w:rsid w:val="009722CE"/>
    <w:rsid w:val="009727FB"/>
    <w:rsid w:val="00972D8A"/>
    <w:rsid w:val="00972ED5"/>
    <w:rsid w:val="00973368"/>
    <w:rsid w:val="0097371A"/>
    <w:rsid w:val="00973899"/>
    <w:rsid w:val="00973B06"/>
    <w:rsid w:val="00974B3F"/>
    <w:rsid w:val="00974E92"/>
    <w:rsid w:val="009758FC"/>
    <w:rsid w:val="00975CEF"/>
    <w:rsid w:val="00976155"/>
    <w:rsid w:val="0097639D"/>
    <w:rsid w:val="0097687F"/>
    <w:rsid w:val="00976FEA"/>
    <w:rsid w:val="009775C1"/>
    <w:rsid w:val="0097765F"/>
    <w:rsid w:val="009779C3"/>
    <w:rsid w:val="009806E2"/>
    <w:rsid w:val="00980767"/>
    <w:rsid w:val="00980896"/>
    <w:rsid w:val="00980DAA"/>
    <w:rsid w:val="00980E11"/>
    <w:rsid w:val="009811F9"/>
    <w:rsid w:val="00981FA6"/>
    <w:rsid w:val="00982C55"/>
    <w:rsid w:val="00983588"/>
    <w:rsid w:val="00984059"/>
    <w:rsid w:val="00984549"/>
    <w:rsid w:val="00985143"/>
    <w:rsid w:val="0098563B"/>
    <w:rsid w:val="009857A8"/>
    <w:rsid w:val="009858C2"/>
    <w:rsid w:val="00985B62"/>
    <w:rsid w:val="00985C72"/>
    <w:rsid w:val="00985C78"/>
    <w:rsid w:val="00985C8C"/>
    <w:rsid w:val="00986CE0"/>
    <w:rsid w:val="00987FE1"/>
    <w:rsid w:val="00990C39"/>
    <w:rsid w:val="0099155B"/>
    <w:rsid w:val="00991A61"/>
    <w:rsid w:val="009927C8"/>
    <w:rsid w:val="00992DE0"/>
    <w:rsid w:val="00993BCC"/>
    <w:rsid w:val="00994117"/>
    <w:rsid w:val="00994CD2"/>
    <w:rsid w:val="00995F0F"/>
    <w:rsid w:val="0099685F"/>
    <w:rsid w:val="00996C20"/>
    <w:rsid w:val="009972A3"/>
    <w:rsid w:val="009A0599"/>
    <w:rsid w:val="009A0A95"/>
    <w:rsid w:val="009A0C71"/>
    <w:rsid w:val="009A0C81"/>
    <w:rsid w:val="009A0DC4"/>
    <w:rsid w:val="009A127B"/>
    <w:rsid w:val="009A1D5A"/>
    <w:rsid w:val="009A2959"/>
    <w:rsid w:val="009A2D8C"/>
    <w:rsid w:val="009A33CB"/>
    <w:rsid w:val="009A349C"/>
    <w:rsid w:val="009A34DF"/>
    <w:rsid w:val="009A36F7"/>
    <w:rsid w:val="009A374F"/>
    <w:rsid w:val="009A3AE2"/>
    <w:rsid w:val="009A44CA"/>
    <w:rsid w:val="009A4500"/>
    <w:rsid w:val="009A4A14"/>
    <w:rsid w:val="009A4B12"/>
    <w:rsid w:val="009A4C1F"/>
    <w:rsid w:val="009A4CB2"/>
    <w:rsid w:val="009A5E09"/>
    <w:rsid w:val="009A7770"/>
    <w:rsid w:val="009A7BB2"/>
    <w:rsid w:val="009A7CDB"/>
    <w:rsid w:val="009B0084"/>
    <w:rsid w:val="009B040D"/>
    <w:rsid w:val="009B085F"/>
    <w:rsid w:val="009B0886"/>
    <w:rsid w:val="009B103B"/>
    <w:rsid w:val="009B1B44"/>
    <w:rsid w:val="009B2406"/>
    <w:rsid w:val="009B2465"/>
    <w:rsid w:val="009B2A25"/>
    <w:rsid w:val="009B46DD"/>
    <w:rsid w:val="009B529A"/>
    <w:rsid w:val="009B58F4"/>
    <w:rsid w:val="009B5DAB"/>
    <w:rsid w:val="009B5ED4"/>
    <w:rsid w:val="009B63DD"/>
    <w:rsid w:val="009B6871"/>
    <w:rsid w:val="009B759E"/>
    <w:rsid w:val="009B7742"/>
    <w:rsid w:val="009C00C5"/>
    <w:rsid w:val="009C0A6A"/>
    <w:rsid w:val="009C0DE5"/>
    <w:rsid w:val="009C0F00"/>
    <w:rsid w:val="009C181F"/>
    <w:rsid w:val="009C1E17"/>
    <w:rsid w:val="009C1F36"/>
    <w:rsid w:val="009C26B3"/>
    <w:rsid w:val="009C2B0B"/>
    <w:rsid w:val="009C37E0"/>
    <w:rsid w:val="009C3A08"/>
    <w:rsid w:val="009C404C"/>
    <w:rsid w:val="009C41BA"/>
    <w:rsid w:val="009C47E2"/>
    <w:rsid w:val="009C4DDD"/>
    <w:rsid w:val="009C52F8"/>
    <w:rsid w:val="009C55AD"/>
    <w:rsid w:val="009C5BDC"/>
    <w:rsid w:val="009C5CF4"/>
    <w:rsid w:val="009C7021"/>
    <w:rsid w:val="009C7609"/>
    <w:rsid w:val="009D0132"/>
    <w:rsid w:val="009D0348"/>
    <w:rsid w:val="009D09C5"/>
    <w:rsid w:val="009D1E76"/>
    <w:rsid w:val="009D25C3"/>
    <w:rsid w:val="009D2A88"/>
    <w:rsid w:val="009D45F5"/>
    <w:rsid w:val="009D4776"/>
    <w:rsid w:val="009D4805"/>
    <w:rsid w:val="009D498C"/>
    <w:rsid w:val="009D4E7A"/>
    <w:rsid w:val="009D4FAF"/>
    <w:rsid w:val="009D5303"/>
    <w:rsid w:val="009D5C2C"/>
    <w:rsid w:val="009D62E8"/>
    <w:rsid w:val="009D72D0"/>
    <w:rsid w:val="009E00E3"/>
    <w:rsid w:val="009E0273"/>
    <w:rsid w:val="009E0D29"/>
    <w:rsid w:val="009E1541"/>
    <w:rsid w:val="009E1D94"/>
    <w:rsid w:val="009E1E1B"/>
    <w:rsid w:val="009E2209"/>
    <w:rsid w:val="009E2276"/>
    <w:rsid w:val="009E3180"/>
    <w:rsid w:val="009E35ED"/>
    <w:rsid w:val="009E3FD9"/>
    <w:rsid w:val="009E46AC"/>
    <w:rsid w:val="009E49F7"/>
    <w:rsid w:val="009E6050"/>
    <w:rsid w:val="009E62C3"/>
    <w:rsid w:val="009E692A"/>
    <w:rsid w:val="009E6DBD"/>
    <w:rsid w:val="009E70AE"/>
    <w:rsid w:val="009E72A9"/>
    <w:rsid w:val="009E7634"/>
    <w:rsid w:val="009E7CEE"/>
    <w:rsid w:val="009E7E27"/>
    <w:rsid w:val="009E7F2E"/>
    <w:rsid w:val="009F1D86"/>
    <w:rsid w:val="009F201D"/>
    <w:rsid w:val="009F2021"/>
    <w:rsid w:val="009F25E4"/>
    <w:rsid w:val="009F2613"/>
    <w:rsid w:val="009F4585"/>
    <w:rsid w:val="009F4BF9"/>
    <w:rsid w:val="009F5A8C"/>
    <w:rsid w:val="009F5F2E"/>
    <w:rsid w:val="009F6D59"/>
    <w:rsid w:val="009F744F"/>
    <w:rsid w:val="009F74CD"/>
    <w:rsid w:val="009F784E"/>
    <w:rsid w:val="009F78CE"/>
    <w:rsid w:val="00A001ED"/>
    <w:rsid w:val="00A0044A"/>
    <w:rsid w:val="00A00585"/>
    <w:rsid w:val="00A00F2A"/>
    <w:rsid w:val="00A00F75"/>
    <w:rsid w:val="00A018A4"/>
    <w:rsid w:val="00A01CC2"/>
    <w:rsid w:val="00A01E5D"/>
    <w:rsid w:val="00A02538"/>
    <w:rsid w:val="00A02A44"/>
    <w:rsid w:val="00A03442"/>
    <w:rsid w:val="00A0512A"/>
    <w:rsid w:val="00A05929"/>
    <w:rsid w:val="00A069E6"/>
    <w:rsid w:val="00A06AB5"/>
    <w:rsid w:val="00A06BEA"/>
    <w:rsid w:val="00A07C7B"/>
    <w:rsid w:val="00A1017E"/>
    <w:rsid w:val="00A11227"/>
    <w:rsid w:val="00A1138F"/>
    <w:rsid w:val="00A11CF0"/>
    <w:rsid w:val="00A12BE6"/>
    <w:rsid w:val="00A13580"/>
    <w:rsid w:val="00A14C25"/>
    <w:rsid w:val="00A15A80"/>
    <w:rsid w:val="00A15B24"/>
    <w:rsid w:val="00A15D18"/>
    <w:rsid w:val="00A16CF0"/>
    <w:rsid w:val="00A172C8"/>
    <w:rsid w:val="00A20509"/>
    <w:rsid w:val="00A2079A"/>
    <w:rsid w:val="00A207EF"/>
    <w:rsid w:val="00A208BB"/>
    <w:rsid w:val="00A20B48"/>
    <w:rsid w:val="00A20B9E"/>
    <w:rsid w:val="00A20C41"/>
    <w:rsid w:val="00A2160E"/>
    <w:rsid w:val="00A21B2B"/>
    <w:rsid w:val="00A21C46"/>
    <w:rsid w:val="00A21F5C"/>
    <w:rsid w:val="00A22928"/>
    <w:rsid w:val="00A235CE"/>
    <w:rsid w:val="00A236F4"/>
    <w:rsid w:val="00A23E86"/>
    <w:rsid w:val="00A240F9"/>
    <w:rsid w:val="00A24DF5"/>
    <w:rsid w:val="00A24FBF"/>
    <w:rsid w:val="00A251E6"/>
    <w:rsid w:val="00A256B7"/>
    <w:rsid w:val="00A264CD"/>
    <w:rsid w:val="00A2652F"/>
    <w:rsid w:val="00A26788"/>
    <w:rsid w:val="00A268AF"/>
    <w:rsid w:val="00A26EEC"/>
    <w:rsid w:val="00A30207"/>
    <w:rsid w:val="00A30273"/>
    <w:rsid w:val="00A31648"/>
    <w:rsid w:val="00A31BED"/>
    <w:rsid w:val="00A322AE"/>
    <w:rsid w:val="00A322C4"/>
    <w:rsid w:val="00A32EC6"/>
    <w:rsid w:val="00A3312A"/>
    <w:rsid w:val="00A3423E"/>
    <w:rsid w:val="00A347A6"/>
    <w:rsid w:val="00A35B5E"/>
    <w:rsid w:val="00A36AC4"/>
    <w:rsid w:val="00A370B7"/>
    <w:rsid w:val="00A370E0"/>
    <w:rsid w:val="00A3737A"/>
    <w:rsid w:val="00A37664"/>
    <w:rsid w:val="00A377E0"/>
    <w:rsid w:val="00A37D53"/>
    <w:rsid w:val="00A37DE0"/>
    <w:rsid w:val="00A402A1"/>
    <w:rsid w:val="00A40B8D"/>
    <w:rsid w:val="00A41B02"/>
    <w:rsid w:val="00A41B5B"/>
    <w:rsid w:val="00A42261"/>
    <w:rsid w:val="00A429CB"/>
    <w:rsid w:val="00A42A2C"/>
    <w:rsid w:val="00A42B4B"/>
    <w:rsid w:val="00A42FD7"/>
    <w:rsid w:val="00A43167"/>
    <w:rsid w:val="00A433CB"/>
    <w:rsid w:val="00A43C5F"/>
    <w:rsid w:val="00A43CD7"/>
    <w:rsid w:val="00A44181"/>
    <w:rsid w:val="00A4496D"/>
    <w:rsid w:val="00A45A1D"/>
    <w:rsid w:val="00A45A6C"/>
    <w:rsid w:val="00A46199"/>
    <w:rsid w:val="00A462F9"/>
    <w:rsid w:val="00A4640B"/>
    <w:rsid w:val="00A464FE"/>
    <w:rsid w:val="00A46BC0"/>
    <w:rsid w:val="00A46C9A"/>
    <w:rsid w:val="00A4729B"/>
    <w:rsid w:val="00A47C2B"/>
    <w:rsid w:val="00A513EA"/>
    <w:rsid w:val="00A521B9"/>
    <w:rsid w:val="00A52B0A"/>
    <w:rsid w:val="00A52E57"/>
    <w:rsid w:val="00A52F10"/>
    <w:rsid w:val="00A538E7"/>
    <w:rsid w:val="00A55308"/>
    <w:rsid w:val="00A56080"/>
    <w:rsid w:val="00A56293"/>
    <w:rsid w:val="00A572D2"/>
    <w:rsid w:val="00A57527"/>
    <w:rsid w:val="00A5798B"/>
    <w:rsid w:val="00A57E39"/>
    <w:rsid w:val="00A60083"/>
    <w:rsid w:val="00A603B5"/>
    <w:rsid w:val="00A609E2"/>
    <w:rsid w:val="00A61148"/>
    <w:rsid w:val="00A612DF"/>
    <w:rsid w:val="00A6173B"/>
    <w:rsid w:val="00A62828"/>
    <w:rsid w:val="00A62872"/>
    <w:rsid w:val="00A6499C"/>
    <w:rsid w:val="00A64F50"/>
    <w:rsid w:val="00A65FE7"/>
    <w:rsid w:val="00A66A37"/>
    <w:rsid w:val="00A66CB7"/>
    <w:rsid w:val="00A66F34"/>
    <w:rsid w:val="00A6714A"/>
    <w:rsid w:val="00A67248"/>
    <w:rsid w:val="00A6759F"/>
    <w:rsid w:val="00A67816"/>
    <w:rsid w:val="00A67943"/>
    <w:rsid w:val="00A67B16"/>
    <w:rsid w:val="00A7078F"/>
    <w:rsid w:val="00A70893"/>
    <w:rsid w:val="00A70CA0"/>
    <w:rsid w:val="00A711F6"/>
    <w:rsid w:val="00A71424"/>
    <w:rsid w:val="00A71458"/>
    <w:rsid w:val="00A714FD"/>
    <w:rsid w:val="00A714FF"/>
    <w:rsid w:val="00A71671"/>
    <w:rsid w:val="00A716A3"/>
    <w:rsid w:val="00A71AF1"/>
    <w:rsid w:val="00A71BFA"/>
    <w:rsid w:val="00A728B1"/>
    <w:rsid w:val="00A72B6D"/>
    <w:rsid w:val="00A738A1"/>
    <w:rsid w:val="00A73C09"/>
    <w:rsid w:val="00A75271"/>
    <w:rsid w:val="00A7556A"/>
    <w:rsid w:val="00A7557F"/>
    <w:rsid w:val="00A764B7"/>
    <w:rsid w:val="00A768FA"/>
    <w:rsid w:val="00A76E21"/>
    <w:rsid w:val="00A76EA0"/>
    <w:rsid w:val="00A7710F"/>
    <w:rsid w:val="00A7754C"/>
    <w:rsid w:val="00A77E4B"/>
    <w:rsid w:val="00A8111E"/>
    <w:rsid w:val="00A816B9"/>
    <w:rsid w:val="00A817CC"/>
    <w:rsid w:val="00A81C42"/>
    <w:rsid w:val="00A81D6C"/>
    <w:rsid w:val="00A82951"/>
    <w:rsid w:val="00A82A58"/>
    <w:rsid w:val="00A83EF0"/>
    <w:rsid w:val="00A85068"/>
    <w:rsid w:val="00A86072"/>
    <w:rsid w:val="00A862A1"/>
    <w:rsid w:val="00A86A9F"/>
    <w:rsid w:val="00A86F78"/>
    <w:rsid w:val="00A86FD5"/>
    <w:rsid w:val="00A87B3B"/>
    <w:rsid w:val="00A87C0F"/>
    <w:rsid w:val="00A87C9F"/>
    <w:rsid w:val="00A90609"/>
    <w:rsid w:val="00A9063C"/>
    <w:rsid w:val="00A90978"/>
    <w:rsid w:val="00A90A5F"/>
    <w:rsid w:val="00A90E11"/>
    <w:rsid w:val="00A91D61"/>
    <w:rsid w:val="00A91FF3"/>
    <w:rsid w:val="00A923FD"/>
    <w:rsid w:val="00A9244B"/>
    <w:rsid w:val="00A92C34"/>
    <w:rsid w:val="00A935A9"/>
    <w:rsid w:val="00A93BCE"/>
    <w:rsid w:val="00A93C50"/>
    <w:rsid w:val="00A9461B"/>
    <w:rsid w:val="00A94AF9"/>
    <w:rsid w:val="00A9545E"/>
    <w:rsid w:val="00A956BB"/>
    <w:rsid w:val="00A95726"/>
    <w:rsid w:val="00A96131"/>
    <w:rsid w:val="00A96ABE"/>
    <w:rsid w:val="00A96B2C"/>
    <w:rsid w:val="00A96B9A"/>
    <w:rsid w:val="00A96DD3"/>
    <w:rsid w:val="00A96FF3"/>
    <w:rsid w:val="00A971A1"/>
    <w:rsid w:val="00A97345"/>
    <w:rsid w:val="00AA011E"/>
    <w:rsid w:val="00AA11DE"/>
    <w:rsid w:val="00AA1EA5"/>
    <w:rsid w:val="00AA30B8"/>
    <w:rsid w:val="00AA31A6"/>
    <w:rsid w:val="00AA3442"/>
    <w:rsid w:val="00AA3527"/>
    <w:rsid w:val="00AA353E"/>
    <w:rsid w:val="00AA3559"/>
    <w:rsid w:val="00AA3735"/>
    <w:rsid w:val="00AA46C1"/>
    <w:rsid w:val="00AA4D1C"/>
    <w:rsid w:val="00AA5D8E"/>
    <w:rsid w:val="00AA6005"/>
    <w:rsid w:val="00AA6332"/>
    <w:rsid w:val="00AA641C"/>
    <w:rsid w:val="00AA64AC"/>
    <w:rsid w:val="00AA6702"/>
    <w:rsid w:val="00AA6987"/>
    <w:rsid w:val="00AA69B3"/>
    <w:rsid w:val="00AB151D"/>
    <w:rsid w:val="00AB225E"/>
    <w:rsid w:val="00AB323A"/>
    <w:rsid w:val="00AB3300"/>
    <w:rsid w:val="00AB3843"/>
    <w:rsid w:val="00AB3F40"/>
    <w:rsid w:val="00AB4717"/>
    <w:rsid w:val="00AB4A40"/>
    <w:rsid w:val="00AB4D78"/>
    <w:rsid w:val="00AB527E"/>
    <w:rsid w:val="00AB59C2"/>
    <w:rsid w:val="00AB5F0B"/>
    <w:rsid w:val="00AB643A"/>
    <w:rsid w:val="00AB6721"/>
    <w:rsid w:val="00AB695C"/>
    <w:rsid w:val="00AB6BA0"/>
    <w:rsid w:val="00AB6E14"/>
    <w:rsid w:val="00AC05F3"/>
    <w:rsid w:val="00AC1035"/>
    <w:rsid w:val="00AC1162"/>
    <w:rsid w:val="00AC187A"/>
    <w:rsid w:val="00AC194A"/>
    <w:rsid w:val="00AC1C1E"/>
    <w:rsid w:val="00AC1D05"/>
    <w:rsid w:val="00AC2966"/>
    <w:rsid w:val="00AC29A6"/>
    <w:rsid w:val="00AC2B3E"/>
    <w:rsid w:val="00AC33EC"/>
    <w:rsid w:val="00AC4C0E"/>
    <w:rsid w:val="00AC6AE7"/>
    <w:rsid w:val="00AC6C36"/>
    <w:rsid w:val="00AC71BF"/>
    <w:rsid w:val="00AC7476"/>
    <w:rsid w:val="00AC77A4"/>
    <w:rsid w:val="00AD07D2"/>
    <w:rsid w:val="00AD1566"/>
    <w:rsid w:val="00AD17F2"/>
    <w:rsid w:val="00AD18BF"/>
    <w:rsid w:val="00AD1A89"/>
    <w:rsid w:val="00AD1C1C"/>
    <w:rsid w:val="00AD1CEA"/>
    <w:rsid w:val="00AD2038"/>
    <w:rsid w:val="00AD2D5D"/>
    <w:rsid w:val="00AD3811"/>
    <w:rsid w:val="00AD3A23"/>
    <w:rsid w:val="00AD5298"/>
    <w:rsid w:val="00AD574C"/>
    <w:rsid w:val="00AD6AF9"/>
    <w:rsid w:val="00AD6B59"/>
    <w:rsid w:val="00AD70A2"/>
    <w:rsid w:val="00AD7157"/>
    <w:rsid w:val="00AD7542"/>
    <w:rsid w:val="00AE0166"/>
    <w:rsid w:val="00AE025C"/>
    <w:rsid w:val="00AE1538"/>
    <w:rsid w:val="00AE1723"/>
    <w:rsid w:val="00AE1C47"/>
    <w:rsid w:val="00AE2BBC"/>
    <w:rsid w:val="00AE3415"/>
    <w:rsid w:val="00AE4139"/>
    <w:rsid w:val="00AE59FC"/>
    <w:rsid w:val="00AE5B99"/>
    <w:rsid w:val="00AE5C19"/>
    <w:rsid w:val="00AE6495"/>
    <w:rsid w:val="00AE652F"/>
    <w:rsid w:val="00AE6C20"/>
    <w:rsid w:val="00AE70EE"/>
    <w:rsid w:val="00AE7273"/>
    <w:rsid w:val="00AE795B"/>
    <w:rsid w:val="00AE7E56"/>
    <w:rsid w:val="00AE7FD2"/>
    <w:rsid w:val="00AF0057"/>
    <w:rsid w:val="00AF1361"/>
    <w:rsid w:val="00AF2551"/>
    <w:rsid w:val="00AF34BF"/>
    <w:rsid w:val="00AF3660"/>
    <w:rsid w:val="00AF384B"/>
    <w:rsid w:val="00AF3D0A"/>
    <w:rsid w:val="00AF4F21"/>
    <w:rsid w:val="00AF4FB9"/>
    <w:rsid w:val="00AF53FC"/>
    <w:rsid w:val="00AF559C"/>
    <w:rsid w:val="00AF5793"/>
    <w:rsid w:val="00AF6FEC"/>
    <w:rsid w:val="00AF7213"/>
    <w:rsid w:val="00AF7247"/>
    <w:rsid w:val="00AF7A49"/>
    <w:rsid w:val="00AF7B54"/>
    <w:rsid w:val="00AF7C81"/>
    <w:rsid w:val="00B0002A"/>
    <w:rsid w:val="00B008CA"/>
    <w:rsid w:val="00B012EF"/>
    <w:rsid w:val="00B01456"/>
    <w:rsid w:val="00B01BAB"/>
    <w:rsid w:val="00B01CDE"/>
    <w:rsid w:val="00B0290D"/>
    <w:rsid w:val="00B02E98"/>
    <w:rsid w:val="00B033BE"/>
    <w:rsid w:val="00B039F4"/>
    <w:rsid w:val="00B03B29"/>
    <w:rsid w:val="00B0420D"/>
    <w:rsid w:val="00B047F2"/>
    <w:rsid w:val="00B048E3"/>
    <w:rsid w:val="00B04F55"/>
    <w:rsid w:val="00B073F3"/>
    <w:rsid w:val="00B0758B"/>
    <w:rsid w:val="00B10CF8"/>
    <w:rsid w:val="00B10E28"/>
    <w:rsid w:val="00B115F6"/>
    <w:rsid w:val="00B11AC6"/>
    <w:rsid w:val="00B11DC0"/>
    <w:rsid w:val="00B11E41"/>
    <w:rsid w:val="00B120F7"/>
    <w:rsid w:val="00B12684"/>
    <w:rsid w:val="00B12D3C"/>
    <w:rsid w:val="00B12DE7"/>
    <w:rsid w:val="00B13F66"/>
    <w:rsid w:val="00B14C10"/>
    <w:rsid w:val="00B15958"/>
    <w:rsid w:val="00B164C6"/>
    <w:rsid w:val="00B17AD5"/>
    <w:rsid w:val="00B20F34"/>
    <w:rsid w:val="00B21A45"/>
    <w:rsid w:val="00B22C9E"/>
    <w:rsid w:val="00B22FB9"/>
    <w:rsid w:val="00B23755"/>
    <w:rsid w:val="00B237B4"/>
    <w:rsid w:val="00B23EE3"/>
    <w:rsid w:val="00B24105"/>
    <w:rsid w:val="00B24AF6"/>
    <w:rsid w:val="00B2509E"/>
    <w:rsid w:val="00B2584D"/>
    <w:rsid w:val="00B25CDC"/>
    <w:rsid w:val="00B2623B"/>
    <w:rsid w:val="00B264E4"/>
    <w:rsid w:val="00B26733"/>
    <w:rsid w:val="00B268AB"/>
    <w:rsid w:val="00B273F1"/>
    <w:rsid w:val="00B31514"/>
    <w:rsid w:val="00B31EC2"/>
    <w:rsid w:val="00B31F30"/>
    <w:rsid w:val="00B3251E"/>
    <w:rsid w:val="00B3287E"/>
    <w:rsid w:val="00B33634"/>
    <w:rsid w:val="00B33E67"/>
    <w:rsid w:val="00B3532C"/>
    <w:rsid w:val="00B35555"/>
    <w:rsid w:val="00B35A1F"/>
    <w:rsid w:val="00B35A6A"/>
    <w:rsid w:val="00B35AC5"/>
    <w:rsid w:val="00B36211"/>
    <w:rsid w:val="00B3666D"/>
    <w:rsid w:val="00B37013"/>
    <w:rsid w:val="00B371CD"/>
    <w:rsid w:val="00B3720E"/>
    <w:rsid w:val="00B37E16"/>
    <w:rsid w:val="00B401D1"/>
    <w:rsid w:val="00B403BB"/>
    <w:rsid w:val="00B40C8E"/>
    <w:rsid w:val="00B41175"/>
    <w:rsid w:val="00B41842"/>
    <w:rsid w:val="00B420EC"/>
    <w:rsid w:val="00B4245F"/>
    <w:rsid w:val="00B42A76"/>
    <w:rsid w:val="00B42EDD"/>
    <w:rsid w:val="00B43902"/>
    <w:rsid w:val="00B43C07"/>
    <w:rsid w:val="00B43F4F"/>
    <w:rsid w:val="00B440F7"/>
    <w:rsid w:val="00B4438F"/>
    <w:rsid w:val="00B4477A"/>
    <w:rsid w:val="00B44FD6"/>
    <w:rsid w:val="00B456BD"/>
    <w:rsid w:val="00B46331"/>
    <w:rsid w:val="00B4794C"/>
    <w:rsid w:val="00B47C21"/>
    <w:rsid w:val="00B503F8"/>
    <w:rsid w:val="00B50D79"/>
    <w:rsid w:val="00B51419"/>
    <w:rsid w:val="00B51ACD"/>
    <w:rsid w:val="00B51DAC"/>
    <w:rsid w:val="00B52197"/>
    <w:rsid w:val="00B53B92"/>
    <w:rsid w:val="00B53EDB"/>
    <w:rsid w:val="00B5426B"/>
    <w:rsid w:val="00B5500F"/>
    <w:rsid w:val="00B55AEF"/>
    <w:rsid w:val="00B562E6"/>
    <w:rsid w:val="00B569B3"/>
    <w:rsid w:val="00B56E23"/>
    <w:rsid w:val="00B57BFC"/>
    <w:rsid w:val="00B60074"/>
    <w:rsid w:val="00B6044E"/>
    <w:rsid w:val="00B60508"/>
    <w:rsid w:val="00B61054"/>
    <w:rsid w:val="00B610A6"/>
    <w:rsid w:val="00B612E4"/>
    <w:rsid w:val="00B61AE0"/>
    <w:rsid w:val="00B62387"/>
    <w:rsid w:val="00B6255E"/>
    <w:rsid w:val="00B63121"/>
    <w:rsid w:val="00B6331A"/>
    <w:rsid w:val="00B63823"/>
    <w:rsid w:val="00B64189"/>
    <w:rsid w:val="00B64852"/>
    <w:rsid w:val="00B64A20"/>
    <w:rsid w:val="00B64CFD"/>
    <w:rsid w:val="00B6504F"/>
    <w:rsid w:val="00B65C1D"/>
    <w:rsid w:val="00B65CA3"/>
    <w:rsid w:val="00B66E7E"/>
    <w:rsid w:val="00B674C0"/>
    <w:rsid w:val="00B700A8"/>
    <w:rsid w:val="00B706EF"/>
    <w:rsid w:val="00B70E89"/>
    <w:rsid w:val="00B7152F"/>
    <w:rsid w:val="00B71663"/>
    <w:rsid w:val="00B7181D"/>
    <w:rsid w:val="00B71CDF"/>
    <w:rsid w:val="00B72398"/>
    <w:rsid w:val="00B7249E"/>
    <w:rsid w:val="00B7264A"/>
    <w:rsid w:val="00B729F5"/>
    <w:rsid w:val="00B72DF6"/>
    <w:rsid w:val="00B734DB"/>
    <w:rsid w:val="00B73505"/>
    <w:rsid w:val="00B7395C"/>
    <w:rsid w:val="00B741BB"/>
    <w:rsid w:val="00B75AF8"/>
    <w:rsid w:val="00B75E2B"/>
    <w:rsid w:val="00B76E25"/>
    <w:rsid w:val="00B77928"/>
    <w:rsid w:val="00B811F1"/>
    <w:rsid w:val="00B8134F"/>
    <w:rsid w:val="00B8143C"/>
    <w:rsid w:val="00B8257E"/>
    <w:rsid w:val="00B82968"/>
    <w:rsid w:val="00B829EF"/>
    <w:rsid w:val="00B8356C"/>
    <w:rsid w:val="00B83605"/>
    <w:rsid w:val="00B83B52"/>
    <w:rsid w:val="00B8408F"/>
    <w:rsid w:val="00B84401"/>
    <w:rsid w:val="00B8473A"/>
    <w:rsid w:val="00B85BE0"/>
    <w:rsid w:val="00B8699E"/>
    <w:rsid w:val="00B8729F"/>
    <w:rsid w:val="00B87BAB"/>
    <w:rsid w:val="00B91EAB"/>
    <w:rsid w:val="00B91F1D"/>
    <w:rsid w:val="00B9228E"/>
    <w:rsid w:val="00B92C12"/>
    <w:rsid w:val="00B93409"/>
    <w:rsid w:val="00B9362F"/>
    <w:rsid w:val="00B949EB"/>
    <w:rsid w:val="00B950E4"/>
    <w:rsid w:val="00B9576A"/>
    <w:rsid w:val="00B958CB"/>
    <w:rsid w:val="00B9600C"/>
    <w:rsid w:val="00B96075"/>
    <w:rsid w:val="00B9643F"/>
    <w:rsid w:val="00B97977"/>
    <w:rsid w:val="00B97B81"/>
    <w:rsid w:val="00B97D09"/>
    <w:rsid w:val="00BA0B02"/>
    <w:rsid w:val="00BA0B74"/>
    <w:rsid w:val="00BA0CB9"/>
    <w:rsid w:val="00BA124B"/>
    <w:rsid w:val="00BA12FB"/>
    <w:rsid w:val="00BA1A39"/>
    <w:rsid w:val="00BA2C3E"/>
    <w:rsid w:val="00BA3737"/>
    <w:rsid w:val="00BA394C"/>
    <w:rsid w:val="00BA3EAF"/>
    <w:rsid w:val="00BA44C6"/>
    <w:rsid w:val="00BA4946"/>
    <w:rsid w:val="00BA4B04"/>
    <w:rsid w:val="00BA4D40"/>
    <w:rsid w:val="00BA53A5"/>
    <w:rsid w:val="00BA5542"/>
    <w:rsid w:val="00BA58E6"/>
    <w:rsid w:val="00BA5968"/>
    <w:rsid w:val="00BA6181"/>
    <w:rsid w:val="00BA7A52"/>
    <w:rsid w:val="00BB00E3"/>
    <w:rsid w:val="00BB01D9"/>
    <w:rsid w:val="00BB043C"/>
    <w:rsid w:val="00BB076B"/>
    <w:rsid w:val="00BB09E8"/>
    <w:rsid w:val="00BB0B27"/>
    <w:rsid w:val="00BB1AB4"/>
    <w:rsid w:val="00BB3A28"/>
    <w:rsid w:val="00BB3D1A"/>
    <w:rsid w:val="00BB45C9"/>
    <w:rsid w:val="00BB513C"/>
    <w:rsid w:val="00BB52B1"/>
    <w:rsid w:val="00BB53B8"/>
    <w:rsid w:val="00BB56D8"/>
    <w:rsid w:val="00BB6869"/>
    <w:rsid w:val="00BB6FCA"/>
    <w:rsid w:val="00BB7667"/>
    <w:rsid w:val="00BB7DFD"/>
    <w:rsid w:val="00BC017A"/>
    <w:rsid w:val="00BC04B6"/>
    <w:rsid w:val="00BC23E9"/>
    <w:rsid w:val="00BC286B"/>
    <w:rsid w:val="00BC3392"/>
    <w:rsid w:val="00BC3A60"/>
    <w:rsid w:val="00BC3D50"/>
    <w:rsid w:val="00BC3E16"/>
    <w:rsid w:val="00BC4AC7"/>
    <w:rsid w:val="00BC57D1"/>
    <w:rsid w:val="00BC6446"/>
    <w:rsid w:val="00BC6EAC"/>
    <w:rsid w:val="00BC7056"/>
    <w:rsid w:val="00BD0ACD"/>
    <w:rsid w:val="00BD1DF6"/>
    <w:rsid w:val="00BD220B"/>
    <w:rsid w:val="00BD2DC6"/>
    <w:rsid w:val="00BD3DAF"/>
    <w:rsid w:val="00BD3E15"/>
    <w:rsid w:val="00BD3F11"/>
    <w:rsid w:val="00BD62B6"/>
    <w:rsid w:val="00BD64C8"/>
    <w:rsid w:val="00BD6C21"/>
    <w:rsid w:val="00BD6FC5"/>
    <w:rsid w:val="00BD7B87"/>
    <w:rsid w:val="00BE176D"/>
    <w:rsid w:val="00BE2B19"/>
    <w:rsid w:val="00BE4088"/>
    <w:rsid w:val="00BE4D8C"/>
    <w:rsid w:val="00BE58C8"/>
    <w:rsid w:val="00BE5E4F"/>
    <w:rsid w:val="00BE60AD"/>
    <w:rsid w:val="00BE61F5"/>
    <w:rsid w:val="00BE6A8C"/>
    <w:rsid w:val="00BE7142"/>
    <w:rsid w:val="00BE74D3"/>
    <w:rsid w:val="00BE7DA3"/>
    <w:rsid w:val="00BF0027"/>
    <w:rsid w:val="00BF0113"/>
    <w:rsid w:val="00BF0504"/>
    <w:rsid w:val="00BF0641"/>
    <w:rsid w:val="00BF0980"/>
    <w:rsid w:val="00BF0BF9"/>
    <w:rsid w:val="00BF0D0B"/>
    <w:rsid w:val="00BF0F39"/>
    <w:rsid w:val="00BF1A6D"/>
    <w:rsid w:val="00BF1DAB"/>
    <w:rsid w:val="00BF200E"/>
    <w:rsid w:val="00BF3177"/>
    <w:rsid w:val="00BF33A2"/>
    <w:rsid w:val="00BF3D64"/>
    <w:rsid w:val="00BF479E"/>
    <w:rsid w:val="00BF51F5"/>
    <w:rsid w:val="00BF5525"/>
    <w:rsid w:val="00BF6A6B"/>
    <w:rsid w:val="00BF7410"/>
    <w:rsid w:val="00C00008"/>
    <w:rsid w:val="00C00B76"/>
    <w:rsid w:val="00C00EBB"/>
    <w:rsid w:val="00C00FF9"/>
    <w:rsid w:val="00C01374"/>
    <w:rsid w:val="00C02011"/>
    <w:rsid w:val="00C02189"/>
    <w:rsid w:val="00C0275B"/>
    <w:rsid w:val="00C02B57"/>
    <w:rsid w:val="00C0398A"/>
    <w:rsid w:val="00C03C4E"/>
    <w:rsid w:val="00C03D1A"/>
    <w:rsid w:val="00C045C9"/>
    <w:rsid w:val="00C04A55"/>
    <w:rsid w:val="00C0529B"/>
    <w:rsid w:val="00C0589A"/>
    <w:rsid w:val="00C05E1B"/>
    <w:rsid w:val="00C064C7"/>
    <w:rsid w:val="00C07E04"/>
    <w:rsid w:val="00C10822"/>
    <w:rsid w:val="00C108FF"/>
    <w:rsid w:val="00C116FB"/>
    <w:rsid w:val="00C12A44"/>
    <w:rsid w:val="00C12F92"/>
    <w:rsid w:val="00C12FD0"/>
    <w:rsid w:val="00C13067"/>
    <w:rsid w:val="00C141E2"/>
    <w:rsid w:val="00C15CFE"/>
    <w:rsid w:val="00C15D05"/>
    <w:rsid w:val="00C16463"/>
    <w:rsid w:val="00C16887"/>
    <w:rsid w:val="00C169FA"/>
    <w:rsid w:val="00C17356"/>
    <w:rsid w:val="00C176D6"/>
    <w:rsid w:val="00C17961"/>
    <w:rsid w:val="00C17F0D"/>
    <w:rsid w:val="00C20511"/>
    <w:rsid w:val="00C20887"/>
    <w:rsid w:val="00C211B5"/>
    <w:rsid w:val="00C22950"/>
    <w:rsid w:val="00C24D7B"/>
    <w:rsid w:val="00C256B4"/>
    <w:rsid w:val="00C25734"/>
    <w:rsid w:val="00C26D1E"/>
    <w:rsid w:val="00C26F0E"/>
    <w:rsid w:val="00C27FFD"/>
    <w:rsid w:val="00C30B40"/>
    <w:rsid w:val="00C30BA5"/>
    <w:rsid w:val="00C3104A"/>
    <w:rsid w:val="00C3114E"/>
    <w:rsid w:val="00C31379"/>
    <w:rsid w:val="00C31685"/>
    <w:rsid w:val="00C3234C"/>
    <w:rsid w:val="00C32400"/>
    <w:rsid w:val="00C32D6D"/>
    <w:rsid w:val="00C33152"/>
    <w:rsid w:val="00C334A6"/>
    <w:rsid w:val="00C336EF"/>
    <w:rsid w:val="00C35C7F"/>
    <w:rsid w:val="00C378A5"/>
    <w:rsid w:val="00C40C7F"/>
    <w:rsid w:val="00C40CF2"/>
    <w:rsid w:val="00C40CF5"/>
    <w:rsid w:val="00C40F20"/>
    <w:rsid w:val="00C411B6"/>
    <w:rsid w:val="00C41D9A"/>
    <w:rsid w:val="00C41F6A"/>
    <w:rsid w:val="00C42058"/>
    <w:rsid w:val="00C420EC"/>
    <w:rsid w:val="00C4273E"/>
    <w:rsid w:val="00C42AA0"/>
    <w:rsid w:val="00C440D0"/>
    <w:rsid w:val="00C44A41"/>
    <w:rsid w:val="00C46621"/>
    <w:rsid w:val="00C46D77"/>
    <w:rsid w:val="00C470C6"/>
    <w:rsid w:val="00C47C45"/>
    <w:rsid w:val="00C47ED7"/>
    <w:rsid w:val="00C47F4C"/>
    <w:rsid w:val="00C51484"/>
    <w:rsid w:val="00C51814"/>
    <w:rsid w:val="00C51FC1"/>
    <w:rsid w:val="00C52152"/>
    <w:rsid w:val="00C521C2"/>
    <w:rsid w:val="00C52245"/>
    <w:rsid w:val="00C525C4"/>
    <w:rsid w:val="00C52ECA"/>
    <w:rsid w:val="00C5342D"/>
    <w:rsid w:val="00C53C91"/>
    <w:rsid w:val="00C53D67"/>
    <w:rsid w:val="00C53E78"/>
    <w:rsid w:val="00C53F66"/>
    <w:rsid w:val="00C54455"/>
    <w:rsid w:val="00C54735"/>
    <w:rsid w:val="00C54764"/>
    <w:rsid w:val="00C54C7B"/>
    <w:rsid w:val="00C55DA3"/>
    <w:rsid w:val="00C55DD4"/>
    <w:rsid w:val="00C561D2"/>
    <w:rsid w:val="00C56C74"/>
    <w:rsid w:val="00C573AA"/>
    <w:rsid w:val="00C57E83"/>
    <w:rsid w:val="00C604D0"/>
    <w:rsid w:val="00C605D1"/>
    <w:rsid w:val="00C61168"/>
    <w:rsid w:val="00C617D0"/>
    <w:rsid w:val="00C618DE"/>
    <w:rsid w:val="00C62F09"/>
    <w:rsid w:val="00C633AC"/>
    <w:rsid w:val="00C635EA"/>
    <w:rsid w:val="00C63E09"/>
    <w:rsid w:val="00C64EA6"/>
    <w:rsid w:val="00C65CA2"/>
    <w:rsid w:val="00C65CB8"/>
    <w:rsid w:val="00C65D75"/>
    <w:rsid w:val="00C66941"/>
    <w:rsid w:val="00C676F1"/>
    <w:rsid w:val="00C67702"/>
    <w:rsid w:val="00C67811"/>
    <w:rsid w:val="00C7011B"/>
    <w:rsid w:val="00C70551"/>
    <w:rsid w:val="00C70636"/>
    <w:rsid w:val="00C70994"/>
    <w:rsid w:val="00C71789"/>
    <w:rsid w:val="00C7252B"/>
    <w:rsid w:val="00C72837"/>
    <w:rsid w:val="00C72A6B"/>
    <w:rsid w:val="00C72E39"/>
    <w:rsid w:val="00C73EC5"/>
    <w:rsid w:val="00C742A9"/>
    <w:rsid w:val="00C74415"/>
    <w:rsid w:val="00C747D5"/>
    <w:rsid w:val="00C74AA2"/>
    <w:rsid w:val="00C7645B"/>
    <w:rsid w:val="00C765D5"/>
    <w:rsid w:val="00C76E0A"/>
    <w:rsid w:val="00C770F8"/>
    <w:rsid w:val="00C777E0"/>
    <w:rsid w:val="00C779E1"/>
    <w:rsid w:val="00C80283"/>
    <w:rsid w:val="00C80561"/>
    <w:rsid w:val="00C80642"/>
    <w:rsid w:val="00C80D78"/>
    <w:rsid w:val="00C8111D"/>
    <w:rsid w:val="00C81D19"/>
    <w:rsid w:val="00C81F66"/>
    <w:rsid w:val="00C827B9"/>
    <w:rsid w:val="00C82F43"/>
    <w:rsid w:val="00C832D0"/>
    <w:rsid w:val="00C83F22"/>
    <w:rsid w:val="00C85243"/>
    <w:rsid w:val="00C85860"/>
    <w:rsid w:val="00C85A6F"/>
    <w:rsid w:val="00C85A72"/>
    <w:rsid w:val="00C85D88"/>
    <w:rsid w:val="00C85EA9"/>
    <w:rsid w:val="00C86809"/>
    <w:rsid w:val="00C875DC"/>
    <w:rsid w:val="00C9000D"/>
    <w:rsid w:val="00C902A0"/>
    <w:rsid w:val="00C906FB"/>
    <w:rsid w:val="00C90BC1"/>
    <w:rsid w:val="00C90FF3"/>
    <w:rsid w:val="00C914BC"/>
    <w:rsid w:val="00C91BA1"/>
    <w:rsid w:val="00C921EF"/>
    <w:rsid w:val="00C927E8"/>
    <w:rsid w:val="00C93630"/>
    <w:rsid w:val="00C93C29"/>
    <w:rsid w:val="00C93C80"/>
    <w:rsid w:val="00C93ED6"/>
    <w:rsid w:val="00C944D4"/>
    <w:rsid w:val="00C94B12"/>
    <w:rsid w:val="00C952B4"/>
    <w:rsid w:val="00C95DCA"/>
    <w:rsid w:val="00C95E7C"/>
    <w:rsid w:val="00C95F78"/>
    <w:rsid w:val="00C979AC"/>
    <w:rsid w:val="00C97D71"/>
    <w:rsid w:val="00CA03EB"/>
    <w:rsid w:val="00CA0594"/>
    <w:rsid w:val="00CA0C95"/>
    <w:rsid w:val="00CA1B3F"/>
    <w:rsid w:val="00CA274A"/>
    <w:rsid w:val="00CA326E"/>
    <w:rsid w:val="00CA3CB7"/>
    <w:rsid w:val="00CA4A5E"/>
    <w:rsid w:val="00CA543C"/>
    <w:rsid w:val="00CA54D4"/>
    <w:rsid w:val="00CA598F"/>
    <w:rsid w:val="00CA627E"/>
    <w:rsid w:val="00CA71BE"/>
    <w:rsid w:val="00CA7648"/>
    <w:rsid w:val="00CB0232"/>
    <w:rsid w:val="00CB18CA"/>
    <w:rsid w:val="00CB2B3D"/>
    <w:rsid w:val="00CB31DD"/>
    <w:rsid w:val="00CB378F"/>
    <w:rsid w:val="00CB40FF"/>
    <w:rsid w:val="00CB4943"/>
    <w:rsid w:val="00CB4B20"/>
    <w:rsid w:val="00CB4B39"/>
    <w:rsid w:val="00CB5398"/>
    <w:rsid w:val="00CB559A"/>
    <w:rsid w:val="00CB5C75"/>
    <w:rsid w:val="00CB63F9"/>
    <w:rsid w:val="00CB6653"/>
    <w:rsid w:val="00CB6681"/>
    <w:rsid w:val="00CB7D23"/>
    <w:rsid w:val="00CB7F15"/>
    <w:rsid w:val="00CC04F9"/>
    <w:rsid w:val="00CC0D95"/>
    <w:rsid w:val="00CC1736"/>
    <w:rsid w:val="00CC17E6"/>
    <w:rsid w:val="00CC1E00"/>
    <w:rsid w:val="00CC24C0"/>
    <w:rsid w:val="00CC3369"/>
    <w:rsid w:val="00CC3FA7"/>
    <w:rsid w:val="00CC4DE8"/>
    <w:rsid w:val="00CC5365"/>
    <w:rsid w:val="00CC5478"/>
    <w:rsid w:val="00CC56BE"/>
    <w:rsid w:val="00CC7138"/>
    <w:rsid w:val="00CC745B"/>
    <w:rsid w:val="00CC75FB"/>
    <w:rsid w:val="00CD088D"/>
    <w:rsid w:val="00CD1F81"/>
    <w:rsid w:val="00CD20F3"/>
    <w:rsid w:val="00CD259B"/>
    <w:rsid w:val="00CD2927"/>
    <w:rsid w:val="00CD2BE6"/>
    <w:rsid w:val="00CD36CF"/>
    <w:rsid w:val="00CD37DE"/>
    <w:rsid w:val="00CD39AB"/>
    <w:rsid w:val="00CD3B9E"/>
    <w:rsid w:val="00CD40A1"/>
    <w:rsid w:val="00CD4277"/>
    <w:rsid w:val="00CD4287"/>
    <w:rsid w:val="00CD569B"/>
    <w:rsid w:val="00CD5B69"/>
    <w:rsid w:val="00CD6091"/>
    <w:rsid w:val="00CD60E3"/>
    <w:rsid w:val="00CD72D4"/>
    <w:rsid w:val="00CD7F01"/>
    <w:rsid w:val="00CE047C"/>
    <w:rsid w:val="00CE0756"/>
    <w:rsid w:val="00CE0E3B"/>
    <w:rsid w:val="00CE0FBD"/>
    <w:rsid w:val="00CE12C5"/>
    <w:rsid w:val="00CE141D"/>
    <w:rsid w:val="00CE2022"/>
    <w:rsid w:val="00CE2307"/>
    <w:rsid w:val="00CE3109"/>
    <w:rsid w:val="00CE387D"/>
    <w:rsid w:val="00CE391A"/>
    <w:rsid w:val="00CE3DCE"/>
    <w:rsid w:val="00CE4123"/>
    <w:rsid w:val="00CE41F2"/>
    <w:rsid w:val="00CE45B9"/>
    <w:rsid w:val="00CE4CED"/>
    <w:rsid w:val="00CE4F71"/>
    <w:rsid w:val="00CE5012"/>
    <w:rsid w:val="00CE576D"/>
    <w:rsid w:val="00CE5DB0"/>
    <w:rsid w:val="00CE5E1D"/>
    <w:rsid w:val="00CE5E96"/>
    <w:rsid w:val="00CE6224"/>
    <w:rsid w:val="00CE6788"/>
    <w:rsid w:val="00CE6A2A"/>
    <w:rsid w:val="00CE711E"/>
    <w:rsid w:val="00CE7916"/>
    <w:rsid w:val="00CF0381"/>
    <w:rsid w:val="00CF1EC2"/>
    <w:rsid w:val="00CF2307"/>
    <w:rsid w:val="00CF25BE"/>
    <w:rsid w:val="00CF3636"/>
    <w:rsid w:val="00CF3A7C"/>
    <w:rsid w:val="00CF3DF9"/>
    <w:rsid w:val="00CF7315"/>
    <w:rsid w:val="00CF75E3"/>
    <w:rsid w:val="00D01022"/>
    <w:rsid w:val="00D01D11"/>
    <w:rsid w:val="00D02649"/>
    <w:rsid w:val="00D028D0"/>
    <w:rsid w:val="00D02A9F"/>
    <w:rsid w:val="00D030AF"/>
    <w:rsid w:val="00D0438E"/>
    <w:rsid w:val="00D04605"/>
    <w:rsid w:val="00D04A1B"/>
    <w:rsid w:val="00D05EEE"/>
    <w:rsid w:val="00D0693C"/>
    <w:rsid w:val="00D06B78"/>
    <w:rsid w:val="00D06BF0"/>
    <w:rsid w:val="00D07C37"/>
    <w:rsid w:val="00D10410"/>
    <w:rsid w:val="00D11E98"/>
    <w:rsid w:val="00D1200A"/>
    <w:rsid w:val="00D122E1"/>
    <w:rsid w:val="00D124F4"/>
    <w:rsid w:val="00D12811"/>
    <w:rsid w:val="00D132EC"/>
    <w:rsid w:val="00D13463"/>
    <w:rsid w:val="00D1509F"/>
    <w:rsid w:val="00D152F4"/>
    <w:rsid w:val="00D1558A"/>
    <w:rsid w:val="00D1661F"/>
    <w:rsid w:val="00D16964"/>
    <w:rsid w:val="00D16B2C"/>
    <w:rsid w:val="00D172CC"/>
    <w:rsid w:val="00D17D03"/>
    <w:rsid w:val="00D17DD5"/>
    <w:rsid w:val="00D20391"/>
    <w:rsid w:val="00D21056"/>
    <w:rsid w:val="00D21C77"/>
    <w:rsid w:val="00D21F62"/>
    <w:rsid w:val="00D22269"/>
    <w:rsid w:val="00D227CF"/>
    <w:rsid w:val="00D22801"/>
    <w:rsid w:val="00D230DB"/>
    <w:rsid w:val="00D23122"/>
    <w:rsid w:val="00D240EA"/>
    <w:rsid w:val="00D2486C"/>
    <w:rsid w:val="00D25827"/>
    <w:rsid w:val="00D262D7"/>
    <w:rsid w:val="00D268C8"/>
    <w:rsid w:val="00D301E5"/>
    <w:rsid w:val="00D30C2D"/>
    <w:rsid w:val="00D3104D"/>
    <w:rsid w:val="00D310DE"/>
    <w:rsid w:val="00D31938"/>
    <w:rsid w:val="00D32404"/>
    <w:rsid w:val="00D324E5"/>
    <w:rsid w:val="00D3294E"/>
    <w:rsid w:val="00D32BE4"/>
    <w:rsid w:val="00D32E0C"/>
    <w:rsid w:val="00D32F07"/>
    <w:rsid w:val="00D335DF"/>
    <w:rsid w:val="00D33F08"/>
    <w:rsid w:val="00D33F5E"/>
    <w:rsid w:val="00D3423B"/>
    <w:rsid w:val="00D34481"/>
    <w:rsid w:val="00D35477"/>
    <w:rsid w:val="00D35AF2"/>
    <w:rsid w:val="00D35B3D"/>
    <w:rsid w:val="00D35D25"/>
    <w:rsid w:val="00D35FD1"/>
    <w:rsid w:val="00D36572"/>
    <w:rsid w:val="00D36DFA"/>
    <w:rsid w:val="00D371FF"/>
    <w:rsid w:val="00D37420"/>
    <w:rsid w:val="00D37DE2"/>
    <w:rsid w:val="00D37E3A"/>
    <w:rsid w:val="00D4000F"/>
    <w:rsid w:val="00D40684"/>
    <w:rsid w:val="00D418F3"/>
    <w:rsid w:val="00D4233E"/>
    <w:rsid w:val="00D43C14"/>
    <w:rsid w:val="00D4457F"/>
    <w:rsid w:val="00D451FC"/>
    <w:rsid w:val="00D45598"/>
    <w:rsid w:val="00D457CF"/>
    <w:rsid w:val="00D45999"/>
    <w:rsid w:val="00D45DB1"/>
    <w:rsid w:val="00D466B7"/>
    <w:rsid w:val="00D475DE"/>
    <w:rsid w:val="00D47D91"/>
    <w:rsid w:val="00D47FC0"/>
    <w:rsid w:val="00D5001C"/>
    <w:rsid w:val="00D50788"/>
    <w:rsid w:val="00D50C52"/>
    <w:rsid w:val="00D50DDB"/>
    <w:rsid w:val="00D51248"/>
    <w:rsid w:val="00D51DF9"/>
    <w:rsid w:val="00D51F95"/>
    <w:rsid w:val="00D522E8"/>
    <w:rsid w:val="00D5271D"/>
    <w:rsid w:val="00D52BE0"/>
    <w:rsid w:val="00D52D17"/>
    <w:rsid w:val="00D52EA9"/>
    <w:rsid w:val="00D534CC"/>
    <w:rsid w:val="00D538F1"/>
    <w:rsid w:val="00D54155"/>
    <w:rsid w:val="00D54633"/>
    <w:rsid w:val="00D55314"/>
    <w:rsid w:val="00D55CF2"/>
    <w:rsid w:val="00D55F16"/>
    <w:rsid w:val="00D56FF3"/>
    <w:rsid w:val="00D574F1"/>
    <w:rsid w:val="00D601D3"/>
    <w:rsid w:val="00D60603"/>
    <w:rsid w:val="00D61639"/>
    <w:rsid w:val="00D616DB"/>
    <w:rsid w:val="00D6183A"/>
    <w:rsid w:val="00D61C0E"/>
    <w:rsid w:val="00D61E57"/>
    <w:rsid w:val="00D61E92"/>
    <w:rsid w:val="00D622D5"/>
    <w:rsid w:val="00D624CE"/>
    <w:rsid w:val="00D63EF1"/>
    <w:rsid w:val="00D6400E"/>
    <w:rsid w:val="00D645FB"/>
    <w:rsid w:val="00D65095"/>
    <w:rsid w:val="00D65236"/>
    <w:rsid w:val="00D65A79"/>
    <w:rsid w:val="00D6791D"/>
    <w:rsid w:val="00D67EDE"/>
    <w:rsid w:val="00D70967"/>
    <w:rsid w:val="00D70C78"/>
    <w:rsid w:val="00D710E1"/>
    <w:rsid w:val="00D7139B"/>
    <w:rsid w:val="00D71740"/>
    <w:rsid w:val="00D71B1A"/>
    <w:rsid w:val="00D71D93"/>
    <w:rsid w:val="00D72617"/>
    <w:rsid w:val="00D73511"/>
    <w:rsid w:val="00D7360B"/>
    <w:rsid w:val="00D73AC2"/>
    <w:rsid w:val="00D742D3"/>
    <w:rsid w:val="00D74C81"/>
    <w:rsid w:val="00D75554"/>
    <w:rsid w:val="00D75AC1"/>
    <w:rsid w:val="00D75EE4"/>
    <w:rsid w:val="00D7649C"/>
    <w:rsid w:val="00D768CB"/>
    <w:rsid w:val="00D775D3"/>
    <w:rsid w:val="00D80123"/>
    <w:rsid w:val="00D8033D"/>
    <w:rsid w:val="00D80627"/>
    <w:rsid w:val="00D807F7"/>
    <w:rsid w:val="00D81823"/>
    <w:rsid w:val="00D81896"/>
    <w:rsid w:val="00D81A62"/>
    <w:rsid w:val="00D81B72"/>
    <w:rsid w:val="00D81E2D"/>
    <w:rsid w:val="00D82823"/>
    <w:rsid w:val="00D832BF"/>
    <w:rsid w:val="00D83731"/>
    <w:rsid w:val="00D839C3"/>
    <w:rsid w:val="00D84244"/>
    <w:rsid w:val="00D8491F"/>
    <w:rsid w:val="00D858D6"/>
    <w:rsid w:val="00D86FD0"/>
    <w:rsid w:val="00D87096"/>
    <w:rsid w:val="00D8715F"/>
    <w:rsid w:val="00D87256"/>
    <w:rsid w:val="00D872B3"/>
    <w:rsid w:val="00D878CF"/>
    <w:rsid w:val="00D9022D"/>
    <w:rsid w:val="00D90DFC"/>
    <w:rsid w:val="00D91A2B"/>
    <w:rsid w:val="00D91CB9"/>
    <w:rsid w:val="00D91ECA"/>
    <w:rsid w:val="00D923EC"/>
    <w:rsid w:val="00D93245"/>
    <w:rsid w:val="00D93557"/>
    <w:rsid w:val="00D935D1"/>
    <w:rsid w:val="00D93D38"/>
    <w:rsid w:val="00D93FFA"/>
    <w:rsid w:val="00D94359"/>
    <w:rsid w:val="00D94589"/>
    <w:rsid w:val="00D9474F"/>
    <w:rsid w:val="00D948DA"/>
    <w:rsid w:val="00D94A15"/>
    <w:rsid w:val="00D94C46"/>
    <w:rsid w:val="00D94C94"/>
    <w:rsid w:val="00D94E47"/>
    <w:rsid w:val="00D95793"/>
    <w:rsid w:val="00D96115"/>
    <w:rsid w:val="00D968D3"/>
    <w:rsid w:val="00D96CCA"/>
    <w:rsid w:val="00D96D6D"/>
    <w:rsid w:val="00D96EEF"/>
    <w:rsid w:val="00DA0387"/>
    <w:rsid w:val="00DA06D1"/>
    <w:rsid w:val="00DA07FC"/>
    <w:rsid w:val="00DA1610"/>
    <w:rsid w:val="00DA1C06"/>
    <w:rsid w:val="00DA233E"/>
    <w:rsid w:val="00DA336D"/>
    <w:rsid w:val="00DA3928"/>
    <w:rsid w:val="00DA4179"/>
    <w:rsid w:val="00DA46F6"/>
    <w:rsid w:val="00DA5340"/>
    <w:rsid w:val="00DA5B93"/>
    <w:rsid w:val="00DA6362"/>
    <w:rsid w:val="00DA685F"/>
    <w:rsid w:val="00DA6963"/>
    <w:rsid w:val="00DA6CAA"/>
    <w:rsid w:val="00DA7420"/>
    <w:rsid w:val="00DA7A2D"/>
    <w:rsid w:val="00DB0426"/>
    <w:rsid w:val="00DB0876"/>
    <w:rsid w:val="00DB0E9A"/>
    <w:rsid w:val="00DB155E"/>
    <w:rsid w:val="00DB1811"/>
    <w:rsid w:val="00DB2045"/>
    <w:rsid w:val="00DB21F8"/>
    <w:rsid w:val="00DB2217"/>
    <w:rsid w:val="00DB2BBB"/>
    <w:rsid w:val="00DB2DB4"/>
    <w:rsid w:val="00DB3557"/>
    <w:rsid w:val="00DB3BCE"/>
    <w:rsid w:val="00DB3E07"/>
    <w:rsid w:val="00DB4246"/>
    <w:rsid w:val="00DB47D1"/>
    <w:rsid w:val="00DB4F9D"/>
    <w:rsid w:val="00DB54A0"/>
    <w:rsid w:val="00DB5985"/>
    <w:rsid w:val="00DB59AE"/>
    <w:rsid w:val="00DB5D04"/>
    <w:rsid w:val="00DB6441"/>
    <w:rsid w:val="00DB6889"/>
    <w:rsid w:val="00DB6BE9"/>
    <w:rsid w:val="00DB753F"/>
    <w:rsid w:val="00DB7A30"/>
    <w:rsid w:val="00DB7E3A"/>
    <w:rsid w:val="00DC08A3"/>
    <w:rsid w:val="00DC0B57"/>
    <w:rsid w:val="00DC1244"/>
    <w:rsid w:val="00DC14ED"/>
    <w:rsid w:val="00DC1732"/>
    <w:rsid w:val="00DC2220"/>
    <w:rsid w:val="00DC25DE"/>
    <w:rsid w:val="00DC273D"/>
    <w:rsid w:val="00DC3174"/>
    <w:rsid w:val="00DC3E9F"/>
    <w:rsid w:val="00DC4039"/>
    <w:rsid w:val="00DC40D3"/>
    <w:rsid w:val="00DC4110"/>
    <w:rsid w:val="00DC4454"/>
    <w:rsid w:val="00DC4D24"/>
    <w:rsid w:val="00DC4FA9"/>
    <w:rsid w:val="00DC54EE"/>
    <w:rsid w:val="00DC5512"/>
    <w:rsid w:val="00DC5ED3"/>
    <w:rsid w:val="00DC602A"/>
    <w:rsid w:val="00DC6535"/>
    <w:rsid w:val="00DC6770"/>
    <w:rsid w:val="00DC67EF"/>
    <w:rsid w:val="00DC694F"/>
    <w:rsid w:val="00DD09C8"/>
    <w:rsid w:val="00DD1685"/>
    <w:rsid w:val="00DD219C"/>
    <w:rsid w:val="00DD2555"/>
    <w:rsid w:val="00DD2C2A"/>
    <w:rsid w:val="00DD3A2D"/>
    <w:rsid w:val="00DD40A9"/>
    <w:rsid w:val="00DD4E9B"/>
    <w:rsid w:val="00DD4F65"/>
    <w:rsid w:val="00DD62CA"/>
    <w:rsid w:val="00DD6541"/>
    <w:rsid w:val="00DD6A13"/>
    <w:rsid w:val="00DD6BED"/>
    <w:rsid w:val="00DD722D"/>
    <w:rsid w:val="00DD7680"/>
    <w:rsid w:val="00DE1592"/>
    <w:rsid w:val="00DE2082"/>
    <w:rsid w:val="00DE29CA"/>
    <w:rsid w:val="00DE2AF8"/>
    <w:rsid w:val="00DE2C50"/>
    <w:rsid w:val="00DE3AB4"/>
    <w:rsid w:val="00DE3C24"/>
    <w:rsid w:val="00DE3C75"/>
    <w:rsid w:val="00DE3CD3"/>
    <w:rsid w:val="00DE3F4F"/>
    <w:rsid w:val="00DE50D9"/>
    <w:rsid w:val="00DE5DC1"/>
    <w:rsid w:val="00DE628C"/>
    <w:rsid w:val="00DE62A5"/>
    <w:rsid w:val="00DE67F8"/>
    <w:rsid w:val="00DE6E25"/>
    <w:rsid w:val="00DE7425"/>
    <w:rsid w:val="00DE765F"/>
    <w:rsid w:val="00DE78CF"/>
    <w:rsid w:val="00DE7D09"/>
    <w:rsid w:val="00DF0416"/>
    <w:rsid w:val="00DF05C5"/>
    <w:rsid w:val="00DF067A"/>
    <w:rsid w:val="00DF09EA"/>
    <w:rsid w:val="00DF123D"/>
    <w:rsid w:val="00DF186A"/>
    <w:rsid w:val="00DF215E"/>
    <w:rsid w:val="00DF21E3"/>
    <w:rsid w:val="00DF27F2"/>
    <w:rsid w:val="00DF28BE"/>
    <w:rsid w:val="00DF2C10"/>
    <w:rsid w:val="00DF35B2"/>
    <w:rsid w:val="00DF3E5E"/>
    <w:rsid w:val="00DF42AC"/>
    <w:rsid w:val="00DF4384"/>
    <w:rsid w:val="00DF43DE"/>
    <w:rsid w:val="00DF475F"/>
    <w:rsid w:val="00DF5783"/>
    <w:rsid w:val="00DF58CD"/>
    <w:rsid w:val="00DF5D46"/>
    <w:rsid w:val="00DF5EF5"/>
    <w:rsid w:val="00DF64C9"/>
    <w:rsid w:val="00DF6EF0"/>
    <w:rsid w:val="00DF7885"/>
    <w:rsid w:val="00DF7983"/>
    <w:rsid w:val="00DF7DEE"/>
    <w:rsid w:val="00E0026E"/>
    <w:rsid w:val="00E0062A"/>
    <w:rsid w:val="00E00A67"/>
    <w:rsid w:val="00E013AE"/>
    <w:rsid w:val="00E024DE"/>
    <w:rsid w:val="00E02852"/>
    <w:rsid w:val="00E02AAB"/>
    <w:rsid w:val="00E02BA4"/>
    <w:rsid w:val="00E0307A"/>
    <w:rsid w:val="00E03ABC"/>
    <w:rsid w:val="00E03C26"/>
    <w:rsid w:val="00E03C9A"/>
    <w:rsid w:val="00E04500"/>
    <w:rsid w:val="00E04D74"/>
    <w:rsid w:val="00E04E58"/>
    <w:rsid w:val="00E05B19"/>
    <w:rsid w:val="00E05FA6"/>
    <w:rsid w:val="00E0650C"/>
    <w:rsid w:val="00E0671C"/>
    <w:rsid w:val="00E0681D"/>
    <w:rsid w:val="00E06DC4"/>
    <w:rsid w:val="00E06F20"/>
    <w:rsid w:val="00E07C72"/>
    <w:rsid w:val="00E11402"/>
    <w:rsid w:val="00E11966"/>
    <w:rsid w:val="00E12FED"/>
    <w:rsid w:val="00E13016"/>
    <w:rsid w:val="00E13319"/>
    <w:rsid w:val="00E149DE"/>
    <w:rsid w:val="00E14AC9"/>
    <w:rsid w:val="00E15B52"/>
    <w:rsid w:val="00E15F21"/>
    <w:rsid w:val="00E1692E"/>
    <w:rsid w:val="00E16E96"/>
    <w:rsid w:val="00E172CB"/>
    <w:rsid w:val="00E17B6E"/>
    <w:rsid w:val="00E204DD"/>
    <w:rsid w:val="00E204FC"/>
    <w:rsid w:val="00E207A4"/>
    <w:rsid w:val="00E21A38"/>
    <w:rsid w:val="00E21A6B"/>
    <w:rsid w:val="00E21BDC"/>
    <w:rsid w:val="00E21FE3"/>
    <w:rsid w:val="00E22A58"/>
    <w:rsid w:val="00E2427D"/>
    <w:rsid w:val="00E2469D"/>
    <w:rsid w:val="00E25F6E"/>
    <w:rsid w:val="00E26354"/>
    <w:rsid w:val="00E267B2"/>
    <w:rsid w:val="00E2757A"/>
    <w:rsid w:val="00E2797A"/>
    <w:rsid w:val="00E27C25"/>
    <w:rsid w:val="00E3022D"/>
    <w:rsid w:val="00E305CF"/>
    <w:rsid w:val="00E306C4"/>
    <w:rsid w:val="00E30FCA"/>
    <w:rsid w:val="00E31977"/>
    <w:rsid w:val="00E32ABE"/>
    <w:rsid w:val="00E34151"/>
    <w:rsid w:val="00E34FB1"/>
    <w:rsid w:val="00E35477"/>
    <w:rsid w:val="00E3613C"/>
    <w:rsid w:val="00E36784"/>
    <w:rsid w:val="00E3751A"/>
    <w:rsid w:val="00E40002"/>
    <w:rsid w:val="00E40078"/>
    <w:rsid w:val="00E40D82"/>
    <w:rsid w:val="00E40F05"/>
    <w:rsid w:val="00E41E0E"/>
    <w:rsid w:val="00E42F01"/>
    <w:rsid w:val="00E4384D"/>
    <w:rsid w:val="00E45305"/>
    <w:rsid w:val="00E454EB"/>
    <w:rsid w:val="00E457AE"/>
    <w:rsid w:val="00E457E2"/>
    <w:rsid w:val="00E45865"/>
    <w:rsid w:val="00E45F9B"/>
    <w:rsid w:val="00E461F9"/>
    <w:rsid w:val="00E46366"/>
    <w:rsid w:val="00E46815"/>
    <w:rsid w:val="00E468F6"/>
    <w:rsid w:val="00E46A57"/>
    <w:rsid w:val="00E4702B"/>
    <w:rsid w:val="00E47043"/>
    <w:rsid w:val="00E470A7"/>
    <w:rsid w:val="00E4764D"/>
    <w:rsid w:val="00E50056"/>
    <w:rsid w:val="00E50789"/>
    <w:rsid w:val="00E5133D"/>
    <w:rsid w:val="00E5137C"/>
    <w:rsid w:val="00E51E45"/>
    <w:rsid w:val="00E51EE3"/>
    <w:rsid w:val="00E5209B"/>
    <w:rsid w:val="00E5217F"/>
    <w:rsid w:val="00E521D0"/>
    <w:rsid w:val="00E52427"/>
    <w:rsid w:val="00E52A49"/>
    <w:rsid w:val="00E54553"/>
    <w:rsid w:val="00E54565"/>
    <w:rsid w:val="00E54D03"/>
    <w:rsid w:val="00E54F52"/>
    <w:rsid w:val="00E5555C"/>
    <w:rsid w:val="00E55CC3"/>
    <w:rsid w:val="00E565E3"/>
    <w:rsid w:val="00E5695A"/>
    <w:rsid w:val="00E56FAA"/>
    <w:rsid w:val="00E57D98"/>
    <w:rsid w:val="00E615CD"/>
    <w:rsid w:val="00E61C91"/>
    <w:rsid w:val="00E6211C"/>
    <w:rsid w:val="00E621B5"/>
    <w:rsid w:val="00E6269B"/>
    <w:rsid w:val="00E629D5"/>
    <w:rsid w:val="00E62B23"/>
    <w:rsid w:val="00E62CC7"/>
    <w:rsid w:val="00E63AA2"/>
    <w:rsid w:val="00E63D6D"/>
    <w:rsid w:val="00E64128"/>
    <w:rsid w:val="00E6414D"/>
    <w:rsid w:val="00E64E6C"/>
    <w:rsid w:val="00E664DF"/>
    <w:rsid w:val="00E6657C"/>
    <w:rsid w:val="00E6668F"/>
    <w:rsid w:val="00E66C8B"/>
    <w:rsid w:val="00E66F41"/>
    <w:rsid w:val="00E6715B"/>
    <w:rsid w:val="00E676A9"/>
    <w:rsid w:val="00E67B36"/>
    <w:rsid w:val="00E67E8F"/>
    <w:rsid w:val="00E67F86"/>
    <w:rsid w:val="00E70089"/>
    <w:rsid w:val="00E7095C"/>
    <w:rsid w:val="00E711E4"/>
    <w:rsid w:val="00E71D72"/>
    <w:rsid w:val="00E72453"/>
    <w:rsid w:val="00E72A38"/>
    <w:rsid w:val="00E72E70"/>
    <w:rsid w:val="00E730C6"/>
    <w:rsid w:val="00E7370F"/>
    <w:rsid w:val="00E73827"/>
    <w:rsid w:val="00E73A66"/>
    <w:rsid w:val="00E75194"/>
    <w:rsid w:val="00E76991"/>
    <w:rsid w:val="00E7739A"/>
    <w:rsid w:val="00E774AE"/>
    <w:rsid w:val="00E77642"/>
    <w:rsid w:val="00E7778D"/>
    <w:rsid w:val="00E81323"/>
    <w:rsid w:val="00E8163B"/>
    <w:rsid w:val="00E81D7D"/>
    <w:rsid w:val="00E832F4"/>
    <w:rsid w:val="00E835A1"/>
    <w:rsid w:val="00E83BFC"/>
    <w:rsid w:val="00E83FE1"/>
    <w:rsid w:val="00E8540C"/>
    <w:rsid w:val="00E8553F"/>
    <w:rsid w:val="00E85689"/>
    <w:rsid w:val="00E856E9"/>
    <w:rsid w:val="00E85846"/>
    <w:rsid w:val="00E85A25"/>
    <w:rsid w:val="00E86677"/>
    <w:rsid w:val="00E86685"/>
    <w:rsid w:val="00E907A6"/>
    <w:rsid w:val="00E9085C"/>
    <w:rsid w:val="00E90D48"/>
    <w:rsid w:val="00E90FCC"/>
    <w:rsid w:val="00E9114A"/>
    <w:rsid w:val="00E92661"/>
    <w:rsid w:val="00E92FC0"/>
    <w:rsid w:val="00E93066"/>
    <w:rsid w:val="00E93494"/>
    <w:rsid w:val="00E95430"/>
    <w:rsid w:val="00E95506"/>
    <w:rsid w:val="00E9570D"/>
    <w:rsid w:val="00E95BA3"/>
    <w:rsid w:val="00E95F6F"/>
    <w:rsid w:val="00E978AB"/>
    <w:rsid w:val="00E97C45"/>
    <w:rsid w:val="00E97C5B"/>
    <w:rsid w:val="00E97FD0"/>
    <w:rsid w:val="00EA089E"/>
    <w:rsid w:val="00EA0E73"/>
    <w:rsid w:val="00EA126E"/>
    <w:rsid w:val="00EA12AA"/>
    <w:rsid w:val="00EA17E9"/>
    <w:rsid w:val="00EA1977"/>
    <w:rsid w:val="00EA2B84"/>
    <w:rsid w:val="00EA4C11"/>
    <w:rsid w:val="00EA4C52"/>
    <w:rsid w:val="00EA4D34"/>
    <w:rsid w:val="00EA4E9E"/>
    <w:rsid w:val="00EA521D"/>
    <w:rsid w:val="00EA5668"/>
    <w:rsid w:val="00EA5FB2"/>
    <w:rsid w:val="00EA6172"/>
    <w:rsid w:val="00EA64DC"/>
    <w:rsid w:val="00EA6F4F"/>
    <w:rsid w:val="00EB0381"/>
    <w:rsid w:val="00EB2A03"/>
    <w:rsid w:val="00EB2C5A"/>
    <w:rsid w:val="00EB2C64"/>
    <w:rsid w:val="00EB43A7"/>
    <w:rsid w:val="00EB51C8"/>
    <w:rsid w:val="00EB5703"/>
    <w:rsid w:val="00EB58D8"/>
    <w:rsid w:val="00EB6003"/>
    <w:rsid w:val="00EB6FE8"/>
    <w:rsid w:val="00EB74BF"/>
    <w:rsid w:val="00EB7717"/>
    <w:rsid w:val="00EB789D"/>
    <w:rsid w:val="00EC0A50"/>
    <w:rsid w:val="00EC1F6A"/>
    <w:rsid w:val="00EC29B2"/>
    <w:rsid w:val="00EC29C0"/>
    <w:rsid w:val="00EC31E6"/>
    <w:rsid w:val="00EC338E"/>
    <w:rsid w:val="00EC3E85"/>
    <w:rsid w:val="00EC470D"/>
    <w:rsid w:val="00EC487A"/>
    <w:rsid w:val="00EC49A3"/>
    <w:rsid w:val="00EC4F2E"/>
    <w:rsid w:val="00EC5448"/>
    <w:rsid w:val="00EC54C2"/>
    <w:rsid w:val="00EC6399"/>
    <w:rsid w:val="00EC6B1D"/>
    <w:rsid w:val="00EC6C68"/>
    <w:rsid w:val="00EC6E7D"/>
    <w:rsid w:val="00EC7132"/>
    <w:rsid w:val="00EC732B"/>
    <w:rsid w:val="00EC79CB"/>
    <w:rsid w:val="00ED1739"/>
    <w:rsid w:val="00ED3425"/>
    <w:rsid w:val="00ED39A1"/>
    <w:rsid w:val="00ED3AE1"/>
    <w:rsid w:val="00ED3B18"/>
    <w:rsid w:val="00ED3F4B"/>
    <w:rsid w:val="00ED4011"/>
    <w:rsid w:val="00ED4556"/>
    <w:rsid w:val="00ED456A"/>
    <w:rsid w:val="00ED5051"/>
    <w:rsid w:val="00EE000D"/>
    <w:rsid w:val="00EE07A5"/>
    <w:rsid w:val="00EE09E5"/>
    <w:rsid w:val="00EE220A"/>
    <w:rsid w:val="00EE24D6"/>
    <w:rsid w:val="00EE25B9"/>
    <w:rsid w:val="00EE260B"/>
    <w:rsid w:val="00EE275F"/>
    <w:rsid w:val="00EE2872"/>
    <w:rsid w:val="00EE3C5A"/>
    <w:rsid w:val="00EE45FF"/>
    <w:rsid w:val="00EE49D1"/>
    <w:rsid w:val="00EE4D99"/>
    <w:rsid w:val="00EE625F"/>
    <w:rsid w:val="00EE6550"/>
    <w:rsid w:val="00EE69E2"/>
    <w:rsid w:val="00EE6D40"/>
    <w:rsid w:val="00EE702A"/>
    <w:rsid w:val="00EE794D"/>
    <w:rsid w:val="00EE7BB5"/>
    <w:rsid w:val="00EE7E04"/>
    <w:rsid w:val="00EF0580"/>
    <w:rsid w:val="00EF07B6"/>
    <w:rsid w:val="00EF1164"/>
    <w:rsid w:val="00EF1499"/>
    <w:rsid w:val="00EF1C88"/>
    <w:rsid w:val="00EF284B"/>
    <w:rsid w:val="00EF31E4"/>
    <w:rsid w:val="00EF3C77"/>
    <w:rsid w:val="00EF3E28"/>
    <w:rsid w:val="00EF3FA8"/>
    <w:rsid w:val="00EF58BA"/>
    <w:rsid w:val="00EF632E"/>
    <w:rsid w:val="00EF69D6"/>
    <w:rsid w:val="00EF6B03"/>
    <w:rsid w:val="00EF6D32"/>
    <w:rsid w:val="00EF7026"/>
    <w:rsid w:val="00EF7B0C"/>
    <w:rsid w:val="00EF7CC0"/>
    <w:rsid w:val="00F00579"/>
    <w:rsid w:val="00F011EF"/>
    <w:rsid w:val="00F012B7"/>
    <w:rsid w:val="00F01400"/>
    <w:rsid w:val="00F01FBD"/>
    <w:rsid w:val="00F020D0"/>
    <w:rsid w:val="00F02442"/>
    <w:rsid w:val="00F02CA2"/>
    <w:rsid w:val="00F03068"/>
    <w:rsid w:val="00F033C9"/>
    <w:rsid w:val="00F03980"/>
    <w:rsid w:val="00F03CE8"/>
    <w:rsid w:val="00F046F6"/>
    <w:rsid w:val="00F04E59"/>
    <w:rsid w:val="00F05018"/>
    <w:rsid w:val="00F05B1D"/>
    <w:rsid w:val="00F06D15"/>
    <w:rsid w:val="00F074D2"/>
    <w:rsid w:val="00F07648"/>
    <w:rsid w:val="00F076F3"/>
    <w:rsid w:val="00F07BCD"/>
    <w:rsid w:val="00F12643"/>
    <w:rsid w:val="00F13AE8"/>
    <w:rsid w:val="00F14C5E"/>
    <w:rsid w:val="00F15CBD"/>
    <w:rsid w:val="00F15FD5"/>
    <w:rsid w:val="00F16035"/>
    <w:rsid w:val="00F16198"/>
    <w:rsid w:val="00F1658A"/>
    <w:rsid w:val="00F168FA"/>
    <w:rsid w:val="00F16D27"/>
    <w:rsid w:val="00F172C5"/>
    <w:rsid w:val="00F173D3"/>
    <w:rsid w:val="00F20620"/>
    <w:rsid w:val="00F224D6"/>
    <w:rsid w:val="00F22F58"/>
    <w:rsid w:val="00F22FF1"/>
    <w:rsid w:val="00F236C3"/>
    <w:rsid w:val="00F257EB"/>
    <w:rsid w:val="00F25DAE"/>
    <w:rsid w:val="00F266BF"/>
    <w:rsid w:val="00F26EA2"/>
    <w:rsid w:val="00F27793"/>
    <w:rsid w:val="00F27863"/>
    <w:rsid w:val="00F27C57"/>
    <w:rsid w:val="00F27F74"/>
    <w:rsid w:val="00F30262"/>
    <w:rsid w:val="00F3091D"/>
    <w:rsid w:val="00F33236"/>
    <w:rsid w:val="00F336E3"/>
    <w:rsid w:val="00F33994"/>
    <w:rsid w:val="00F34CFB"/>
    <w:rsid w:val="00F356EC"/>
    <w:rsid w:val="00F35FFC"/>
    <w:rsid w:val="00F366E4"/>
    <w:rsid w:val="00F36A08"/>
    <w:rsid w:val="00F36CDA"/>
    <w:rsid w:val="00F3710E"/>
    <w:rsid w:val="00F37CF2"/>
    <w:rsid w:val="00F4066B"/>
    <w:rsid w:val="00F40E32"/>
    <w:rsid w:val="00F42057"/>
    <w:rsid w:val="00F42F43"/>
    <w:rsid w:val="00F42FB7"/>
    <w:rsid w:val="00F43E00"/>
    <w:rsid w:val="00F44946"/>
    <w:rsid w:val="00F44DFE"/>
    <w:rsid w:val="00F44F22"/>
    <w:rsid w:val="00F45006"/>
    <w:rsid w:val="00F4541E"/>
    <w:rsid w:val="00F45550"/>
    <w:rsid w:val="00F45E04"/>
    <w:rsid w:val="00F460CE"/>
    <w:rsid w:val="00F46AFE"/>
    <w:rsid w:val="00F47322"/>
    <w:rsid w:val="00F47928"/>
    <w:rsid w:val="00F5032C"/>
    <w:rsid w:val="00F512A0"/>
    <w:rsid w:val="00F52573"/>
    <w:rsid w:val="00F5264B"/>
    <w:rsid w:val="00F52836"/>
    <w:rsid w:val="00F52C2B"/>
    <w:rsid w:val="00F52E11"/>
    <w:rsid w:val="00F53741"/>
    <w:rsid w:val="00F540B9"/>
    <w:rsid w:val="00F54CBC"/>
    <w:rsid w:val="00F54F5E"/>
    <w:rsid w:val="00F5588B"/>
    <w:rsid w:val="00F55A8D"/>
    <w:rsid w:val="00F55EA9"/>
    <w:rsid w:val="00F5691D"/>
    <w:rsid w:val="00F56EF8"/>
    <w:rsid w:val="00F5703D"/>
    <w:rsid w:val="00F57FE6"/>
    <w:rsid w:val="00F60562"/>
    <w:rsid w:val="00F6065A"/>
    <w:rsid w:val="00F606FC"/>
    <w:rsid w:val="00F61338"/>
    <w:rsid w:val="00F61449"/>
    <w:rsid w:val="00F631CE"/>
    <w:rsid w:val="00F6404E"/>
    <w:rsid w:val="00F64077"/>
    <w:rsid w:val="00F64C5F"/>
    <w:rsid w:val="00F65792"/>
    <w:rsid w:val="00F65942"/>
    <w:rsid w:val="00F66520"/>
    <w:rsid w:val="00F669C8"/>
    <w:rsid w:val="00F66C0D"/>
    <w:rsid w:val="00F67202"/>
    <w:rsid w:val="00F6751D"/>
    <w:rsid w:val="00F678F4"/>
    <w:rsid w:val="00F70700"/>
    <w:rsid w:val="00F707BF"/>
    <w:rsid w:val="00F714B2"/>
    <w:rsid w:val="00F71D46"/>
    <w:rsid w:val="00F721D1"/>
    <w:rsid w:val="00F72B09"/>
    <w:rsid w:val="00F72CFF"/>
    <w:rsid w:val="00F7327B"/>
    <w:rsid w:val="00F73A26"/>
    <w:rsid w:val="00F73C05"/>
    <w:rsid w:val="00F73D9D"/>
    <w:rsid w:val="00F749BC"/>
    <w:rsid w:val="00F76CC8"/>
    <w:rsid w:val="00F76DE4"/>
    <w:rsid w:val="00F77B4B"/>
    <w:rsid w:val="00F803FA"/>
    <w:rsid w:val="00F80E2B"/>
    <w:rsid w:val="00F81269"/>
    <w:rsid w:val="00F81AC8"/>
    <w:rsid w:val="00F81EF9"/>
    <w:rsid w:val="00F827CB"/>
    <w:rsid w:val="00F82A79"/>
    <w:rsid w:val="00F82D0D"/>
    <w:rsid w:val="00F830B0"/>
    <w:rsid w:val="00F8332A"/>
    <w:rsid w:val="00F83708"/>
    <w:rsid w:val="00F83908"/>
    <w:rsid w:val="00F83E49"/>
    <w:rsid w:val="00F83F13"/>
    <w:rsid w:val="00F847AE"/>
    <w:rsid w:val="00F84C40"/>
    <w:rsid w:val="00F84D36"/>
    <w:rsid w:val="00F84D4A"/>
    <w:rsid w:val="00F85678"/>
    <w:rsid w:val="00F85840"/>
    <w:rsid w:val="00F86561"/>
    <w:rsid w:val="00F86A6E"/>
    <w:rsid w:val="00F86C5E"/>
    <w:rsid w:val="00F871D3"/>
    <w:rsid w:val="00F87973"/>
    <w:rsid w:val="00F87E7A"/>
    <w:rsid w:val="00F90078"/>
    <w:rsid w:val="00F900FD"/>
    <w:rsid w:val="00F903E0"/>
    <w:rsid w:val="00F908E0"/>
    <w:rsid w:val="00F910AB"/>
    <w:rsid w:val="00F912FF"/>
    <w:rsid w:val="00F9140D"/>
    <w:rsid w:val="00F92552"/>
    <w:rsid w:val="00F93262"/>
    <w:rsid w:val="00F94A7B"/>
    <w:rsid w:val="00F95269"/>
    <w:rsid w:val="00F954D3"/>
    <w:rsid w:val="00F955C0"/>
    <w:rsid w:val="00F95DD3"/>
    <w:rsid w:val="00F96307"/>
    <w:rsid w:val="00F96919"/>
    <w:rsid w:val="00F97992"/>
    <w:rsid w:val="00F97F9F"/>
    <w:rsid w:val="00FA0233"/>
    <w:rsid w:val="00FA0B05"/>
    <w:rsid w:val="00FA0E99"/>
    <w:rsid w:val="00FA0F88"/>
    <w:rsid w:val="00FA1DE8"/>
    <w:rsid w:val="00FA27ED"/>
    <w:rsid w:val="00FA4D29"/>
    <w:rsid w:val="00FA4DFA"/>
    <w:rsid w:val="00FA59B6"/>
    <w:rsid w:val="00FA6B5A"/>
    <w:rsid w:val="00FA6BD3"/>
    <w:rsid w:val="00FA7088"/>
    <w:rsid w:val="00FB02AB"/>
    <w:rsid w:val="00FB04E0"/>
    <w:rsid w:val="00FB06A9"/>
    <w:rsid w:val="00FB07CD"/>
    <w:rsid w:val="00FB07DA"/>
    <w:rsid w:val="00FB0802"/>
    <w:rsid w:val="00FB0835"/>
    <w:rsid w:val="00FB19E3"/>
    <w:rsid w:val="00FB2675"/>
    <w:rsid w:val="00FB3562"/>
    <w:rsid w:val="00FB49A5"/>
    <w:rsid w:val="00FB4FBC"/>
    <w:rsid w:val="00FB5A72"/>
    <w:rsid w:val="00FB6522"/>
    <w:rsid w:val="00FB6994"/>
    <w:rsid w:val="00FB6E24"/>
    <w:rsid w:val="00FB6F38"/>
    <w:rsid w:val="00FB7587"/>
    <w:rsid w:val="00FC039A"/>
    <w:rsid w:val="00FC122F"/>
    <w:rsid w:val="00FC16C8"/>
    <w:rsid w:val="00FC1CC0"/>
    <w:rsid w:val="00FC2134"/>
    <w:rsid w:val="00FC2400"/>
    <w:rsid w:val="00FC2822"/>
    <w:rsid w:val="00FC2FC2"/>
    <w:rsid w:val="00FC306C"/>
    <w:rsid w:val="00FC3515"/>
    <w:rsid w:val="00FC3578"/>
    <w:rsid w:val="00FC39FD"/>
    <w:rsid w:val="00FC3F8C"/>
    <w:rsid w:val="00FC470D"/>
    <w:rsid w:val="00FC5151"/>
    <w:rsid w:val="00FC586A"/>
    <w:rsid w:val="00FC59E7"/>
    <w:rsid w:val="00FC5A57"/>
    <w:rsid w:val="00FC6001"/>
    <w:rsid w:val="00FC737D"/>
    <w:rsid w:val="00FD05EF"/>
    <w:rsid w:val="00FD0635"/>
    <w:rsid w:val="00FD1448"/>
    <w:rsid w:val="00FD1D08"/>
    <w:rsid w:val="00FD1E4F"/>
    <w:rsid w:val="00FD20B6"/>
    <w:rsid w:val="00FD2A06"/>
    <w:rsid w:val="00FD2BFE"/>
    <w:rsid w:val="00FD351C"/>
    <w:rsid w:val="00FD36D1"/>
    <w:rsid w:val="00FD3FFB"/>
    <w:rsid w:val="00FD4878"/>
    <w:rsid w:val="00FD4CE9"/>
    <w:rsid w:val="00FD4D8D"/>
    <w:rsid w:val="00FD5659"/>
    <w:rsid w:val="00FD56EE"/>
    <w:rsid w:val="00FD586B"/>
    <w:rsid w:val="00FD62F5"/>
    <w:rsid w:val="00FD63E5"/>
    <w:rsid w:val="00FD6B79"/>
    <w:rsid w:val="00FD7012"/>
    <w:rsid w:val="00FE03C0"/>
    <w:rsid w:val="00FE0558"/>
    <w:rsid w:val="00FE08B1"/>
    <w:rsid w:val="00FE0A6E"/>
    <w:rsid w:val="00FE101F"/>
    <w:rsid w:val="00FE1DDB"/>
    <w:rsid w:val="00FE2380"/>
    <w:rsid w:val="00FE2B41"/>
    <w:rsid w:val="00FE3203"/>
    <w:rsid w:val="00FE3584"/>
    <w:rsid w:val="00FE472B"/>
    <w:rsid w:val="00FE472F"/>
    <w:rsid w:val="00FE60EA"/>
    <w:rsid w:val="00FE65E9"/>
    <w:rsid w:val="00FE6C84"/>
    <w:rsid w:val="00FE6FAD"/>
    <w:rsid w:val="00FE7BA7"/>
    <w:rsid w:val="00FE7FA9"/>
    <w:rsid w:val="00FF0354"/>
    <w:rsid w:val="00FF0A46"/>
    <w:rsid w:val="00FF0DAA"/>
    <w:rsid w:val="00FF0EA9"/>
    <w:rsid w:val="00FF1626"/>
    <w:rsid w:val="00FF2633"/>
    <w:rsid w:val="00FF28B4"/>
    <w:rsid w:val="00FF2F94"/>
    <w:rsid w:val="00FF338E"/>
    <w:rsid w:val="00FF34C7"/>
    <w:rsid w:val="00FF4DE7"/>
    <w:rsid w:val="00FF5254"/>
    <w:rsid w:val="00FF52F4"/>
    <w:rsid w:val="00FF5653"/>
    <w:rsid w:val="00FF5779"/>
    <w:rsid w:val="00FF5E6C"/>
    <w:rsid w:val="00FF62AD"/>
    <w:rsid w:val="00FF7352"/>
    <w:rsid w:val="07740BAF"/>
    <w:rsid w:val="0C2B38A3"/>
    <w:rsid w:val="0FEF1A44"/>
    <w:rsid w:val="12107EC5"/>
    <w:rsid w:val="167946C1"/>
    <w:rsid w:val="18ED2570"/>
    <w:rsid w:val="1AA92EFE"/>
    <w:rsid w:val="1B425927"/>
    <w:rsid w:val="1F796253"/>
    <w:rsid w:val="23FB40D8"/>
    <w:rsid w:val="24616C57"/>
    <w:rsid w:val="26357EEB"/>
    <w:rsid w:val="2637146B"/>
    <w:rsid w:val="269E134D"/>
    <w:rsid w:val="28D6688B"/>
    <w:rsid w:val="2BA07916"/>
    <w:rsid w:val="2EC42AC5"/>
    <w:rsid w:val="2F146053"/>
    <w:rsid w:val="358D32C3"/>
    <w:rsid w:val="3EC040FF"/>
    <w:rsid w:val="45053792"/>
    <w:rsid w:val="465665E2"/>
    <w:rsid w:val="489F4D85"/>
    <w:rsid w:val="4AD222D3"/>
    <w:rsid w:val="4D3A543A"/>
    <w:rsid w:val="4EBA4C30"/>
    <w:rsid w:val="56051FA0"/>
    <w:rsid w:val="57FA1FD8"/>
    <w:rsid w:val="5A285A13"/>
    <w:rsid w:val="5BF63C0C"/>
    <w:rsid w:val="5D0B2AD8"/>
    <w:rsid w:val="60EC0E1D"/>
    <w:rsid w:val="66BC05F2"/>
    <w:rsid w:val="6C58126D"/>
    <w:rsid w:val="733A6CBD"/>
    <w:rsid w:val="737658DF"/>
    <w:rsid w:val="75036EA3"/>
    <w:rsid w:val="764C1B6D"/>
    <w:rsid w:val="792F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adjustRightInd w:val="0"/>
      <w:snapToGrid w:val="0"/>
      <w:spacing w:before="100" w:beforeLines="100" w:after="50" w:afterLines="50"/>
      <w:jc w:val="center"/>
      <w:outlineLvl w:val="0"/>
    </w:pPr>
    <w:rPr>
      <w:rFonts w:ascii="楷体" w:hAnsi="楷体" w:eastAsia="楷体"/>
      <w:b/>
      <w:sz w:val="28"/>
      <w:szCs w:val="28"/>
    </w:rPr>
  </w:style>
  <w:style w:type="paragraph" w:styleId="3">
    <w:name w:val="heading 2"/>
    <w:basedOn w:val="1"/>
    <w:next w:val="1"/>
    <w:link w:val="19"/>
    <w:unhideWhenUsed/>
    <w:qFormat/>
    <w:uiPriority w:val="9"/>
    <w:pPr>
      <w:adjustRightInd w:val="0"/>
      <w:snapToGrid w:val="0"/>
      <w:spacing w:before="156" w:beforeLines="50" w:after="156" w:afterLines="50"/>
      <w:outlineLvl w:val="1"/>
    </w:pPr>
    <w:rPr>
      <w:rFonts w:ascii="Times New Roman" w:hAnsi="Times New Roman" w:eastAsia="仿宋"/>
      <w:b/>
      <w:szCs w:val="21"/>
    </w:rPr>
  </w:style>
  <w:style w:type="paragraph" w:styleId="4">
    <w:name w:val="heading 3"/>
    <w:basedOn w:val="1"/>
    <w:next w:val="1"/>
    <w:link w:val="32"/>
    <w:unhideWhenUsed/>
    <w:qFormat/>
    <w:uiPriority w:val="9"/>
    <w:pPr>
      <w:autoSpaceDE w:val="0"/>
      <w:autoSpaceDN w:val="0"/>
      <w:adjustRightInd w:val="0"/>
      <w:snapToGrid w:val="0"/>
      <w:ind w:firstLine="422" w:firstLineChars="200"/>
      <w:textAlignment w:val="center"/>
      <w:outlineLvl w:val="2"/>
    </w:pPr>
    <w:rPr>
      <w:rFonts w:ascii="Times New Roman" w:hAnsi="Times New Roman" w:eastAsia="仿宋"/>
      <w:b/>
      <w:kern w:val="0"/>
    </w:rPr>
  </w:style>
  <w:style w:type="paragraph" w:styleId="5">
    <w:name w:val="heading 4"/>
    <w:basedOn w:val="1"/>
    <w:next w:val="1"/>
    <w:link w:val="39"/>
    <w:unhideWhenUsed/>
    <w:qFormat/>
    <w:uiPriority w:val="9"/>
    <w:pPr>
      <w:adjustRightInd w:val="0"/>
      <w:snapToGrid w:val="0"/>
      <w:ind w:firstLine="420" w:firstLineChars="200"/>
      <w:outlineLvl w:val="3"/>
    </w:pPr>
    <w:rPr>
      <w:rFonts w:ascii="Times New Roman" w:hAnsi="Times New Roman" w:eastAsia="仿宋" w:cs="Times New Roman"/>
      <w:b/>
      <w:bCs/>
      <w:szCs w:val="21"/>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4"/>
    <w:semiHidden/>
    <w:unhideWhenUsed/>
    <w:uiPriority w:val="99"/>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unhideWhenUsed/>
    <w:qFormat/>
    <w:uiPriority w:val="99"/>
    <w:pPr>
      <w:snapToGrid w:val="0"/>
      <w:jc w:val="left"/>
    </w:pPr>
    <w:rPr>
      <w:sz w:val="18"/>
      <w:szCs w:val="18"/>
    </w:rPr>
  </w:style>
  <w:style w:type="paragraph" w:styleId="11">
    <w:name w:val="annotation subject"/>
    <w:basedOn w:val="6"/>
    <w:next w:val="6"/>
    <w:link w:val="2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qFormat/>
    <w:uiPriority w:val="99"/>
    <w:rPr>
      <w:color w:val="000000" w:themeColor="text1"/>
      <w:u w:val="single"/>
      <w14:textFill>
        <w14:solidFill>
          <w14:schemeClr w14:val="tx1"/>
        </w14:solidFill>
      </w14:textFill>
    </w:rPr>
  </w:style>
  <w:style w:type="character" w:styleId="17">
    <w:name w:val="annotation reference"/>
    <w:basedOn w:val="14"/>
    <w:semiHidden/>
    <w:unhideWhenUsed/>
    <w:qFormat/>
    <w:uiPriority w:val="99"/>
    <w:rPr>
      <w:sz w:val="21"/>
      <w:szCs w:val="21"/>
    </w:rPr>
  </w:style>
  <w:style w:type="character" w:styleId="18">
    <w:name w:val="footnote reference"/>
    <w:basedOn w:val="14"/>
    <w:unhideWhenUsed/>
    <w:qFormat/>
    <w:uiPriority w:val="99"/>
    <w:rPr>
      <w:vertAlign w:val="superscript"/>
    </w:rPr>
  </w:style>
  <w:style w:type="character" w:customStyle="1" w:styleId="19">
    <w:name w:val="标题 2 字符"/>
    <w:basedOn w:val="14"/>
    <w:link w:val="3"/>
    <w:qFormat/>
    <w:uiPriority w:val="9"/>
    <w:rPr>
      <w:rFonts w:ascii="Times New Roman" w:hAnsi="Times New Roman" w:eastAsia="仿宋"/>
      <w:b/>
      <w:szCs w:val="21"/>
    </w:rPr>
  </w:style>
  <w:style w:type="character" w:customStyle="1" w:styleId="20">
    <w:name w:val="页眉 字符"/>
    <w:basedOn w:val="14"/>
    <w:link w:val="9"/>
    <w:qFormat/>
    <w:uiPriority w:val="99"/>
    <w:rPr>
      <w:sz w:val="18"/>
      <w:szCs w:val="18"/>
    </w:rPr>
  </w:style>
  <w:style w:type="character" w:customStyle="1" w:styleId="21">
    <w:name w:val="页脚 字符"/>
    <w:basedOn w:val="14"/>
    <w:link w:val="8"/>
    <w:qFormat/>
    <w:uiPriority w:val="99"/>
    <w:rPr>
      <w:sz w:val="18"/>
      <w:szCs w:val="18"/>
    </w:rPr>
  </w:style>
  <w:style w:type="paragraph" w:customStyle="1" w:styleId="22">
    <w:name w:val="列表段落1"/>
    <w:basedOn w:val="1"/>
    <w:qFormat/>
    <w:uiPriority w:val="0"/>
    <w:pPr>
      <w:ind w:firstLine="420" w:firstLineChars="200"/>
    </w:pPr>
    <w:rPr>
      <w:rFonts w:ascii="Times New Roman" w:hAnsi="Times New Roman" w:eastAsia="宋体" w:cs="Times New Roman"/>
      <w:szCs w:val="21"/>
    </w:rPr>
  </w:style>
  <w:style w:type="character" w:customStyle="1" w:styleId="23">
    <w:name w:val="脚注文本 字符"/>
    <w:basedOn w:val="14"/>
    <w:link w:val="10"/>
    <w:qFormat/>
    <w:uiPriority w:val="99"/>
    <w:rPr>
      <w:sz w:val="18"/>
      <w:szCs w:val="18"/>
    </w:rPr>
  </w:style>
  <w:style w:type="character" w:customStyle="1" w:styleId="24">
    <w:name w:val="批注文字 字符"/>
    <w:basedOn w:val="14"/>
    <w:link w:val="6"/>
    <w:semiHidden/>
    <w:qFormat/>
    <w:uiPriority w:val="99"/>
  </w:style>
  <w:style w:type="character" w:customStyle="1" w:styleId="25">
    <w:name w:val="批注主题 字符"/>
    <w:basedOn w:val="24"/>
    <w:link w:val="11"/>
    <w:semiHidden/>
    <w:qFormat/>
    <w:uiPriority w:val="99"/>
    <w:rPr>
      <w:b/>
      <w:bCs/>
    </w:rPr>
  </w:style>
  <w:style w:type="character" w:customStyle="1" w:styleId="26">
    <w:name w:val="批注主题 字符1"/>
    <w:basedOn w:val="24"/>
    <w:semiHidden/>
    <w:qFormat/>
    <w:uiPriority w:val="99"/>
    <w:rPr>
      <w:b/>
      <w:bCs/>
    </w:rPr>
  </w:style>
  <w:style w:type="paragraph" w:styleId="27">
    <w:name w:val="List Paragraph"/>
    <w:basedOn w:val="1"/>
    <w:qFormat/>
    <w:uiPriority w:val="34"/>
    <w:pPr>
      <w:ind w:firstLine="420" w:firstLineChars="200"/>
    </w:pPr>
  </w:style>
  <w:style w:type="character" w:customStyle="1" w:styleId="28">
    <w:name w:val="批注框文本 字符"/>
    <w:basedOn w:val="14"/>
    <w:link w:val="7"/>
    <w:semiHidden/>
    <w:qFormat/>
    <w:uiPriority w:val="99"/>
    <w:rPr>
      <w:sz w:val="18"/>
      <w:szCs w:val="18"/>
    </w:rPr>
  </w:style>
  <w:style w:type="paragraph" w:customStyle="1" w:styleId="29">
    <w:name w:val="Default"/>
    <w:qFormat/>
    <w:uiPriority w:val="0"/>
    <w:pPr>
      <w:widowControl w:val="0"/>
      <w:autoSpaceDE w:val="0"/>
      <w:autoSpaceDN w:val="0"/>
      <w:adjustRightInd w:val="0"/>
    </w:pPr>
    <w:rPr>
      <w:rFonts w:ascii="MGNEP D+ Gulliver" w:eastAsia="MGNEP D+ Gulliver" w:cs="MGNEP D+ Gulliver" w:hAnsiTheme="minorHAnsi"/>
      <w:color w:val="000000"/>
      <w:kern w:val="0"/>
      <w:sz w:val="24"/>
      <w:szCs w:val="24"/>
      <w:lang w:val="en-US" w:eastAsia="zh-CN" w:bidi="ar-SA"/>
    </w:rPr>
  </w:style>
  <w:style w:type="character" w:customStyle="1" w:styleId="30">
    <w:name w:val="font11"/>
    <w:basedOn w:val="14"/>
    <w:qFormat/>
    <w:uiPriority w:val="0"/>
    <w:rPr>
      <w:rFonts w:hint="default" w:ascii="Times New Roman" w:hAnsi="Times New Roman" w:cs="Times New Roman"/>
      <w:color w:val="000000"/>
      <w:sz w:val="20"/>
      <w:szCs w:val="20"/>
      <w:u w:val="none"/>
    </w:rPr>
  </w:style>
  <w:style w:type="character" w:customStyle="1" w:styleId="31">
    <w:name w:val="标题 1 字符"/>
    <w:basedOn w:val="14"/>
    <w:link w:val="2"/>
    <w:qFormat/>
    <w:uiPriority w:val="9"/>
    <w:rPr>
      <w:rFonts w:ascii="楷体" w:hAnsi="楷体" w:eastAsia="楷体"/>
      <w:b/>
      <w:sz w:val="28"/>
      <w:szCs w:val="28"/>
    </w:rPr>
  </w:style>
  <w:style w:type="character" w:customStyle="1" w:styleId="32">
    <w:name w:val="标题 3 字符"/>
    <w:basedOn w:val="14"/>
    <w:link w:val="4"/>
    <w:qFormat/>
    <w:uiPriority w:val="9"/>
    <w:rPr>
      <w:rFonts w:ascii="Times New Roman" w:hAnsi="Times New Roman" w:eastAsia="仿宋"/>
      <w:b/>
      <w:kern w:val="0"/>
    </w:rPr>
  </w:style>
  <w:style w:type="paragraph" w:customStyle="1" w:styleId="3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styleId="34">
    <w:name w:val="Placeholder Text"/>
    <w:basedOn w:val="14"/>
    <w:semiHidden/>
    <w:qFormat/>
    <w:uiPriority w:val="99"/>
    <w:rPr>
      <w:color w:val="808080"/>
    </w:rPr>
  </w:style>
  <w:style w:type="character" w:customStyle="1" w:styleId="35">
    <w:name w:val="批注文字 字符1"/>
    <w:basedOn w:val="14"/>
    <w:semiHidden/>
    <w:qFormat/>
    <w:uiPriority w:val="99"/>
  </w:style>
  <w:style w:type="character" w:customStyle="1" w:styleId="36">
    <w:name w:val="批注框文本 字符1"/>
    <w:basedOn w:val="14"/>
    <w:semiHidden/>
    <w:qFormat/>
    <w:uiPriority w:val="99"/>
    <w:rPr>
      <w:sz w:val="18"/>
      <w:szCs w:val="18"/>
    </w:rPr>
  </w:style>
  <w:style w:type="character" w:customStyle="1" w:styleId="37">
    <w:name w:val="richtext"/>
    <w:basedOn w:val="14"/>
    <w:qFormat/>
    <w:uiPriority w:val="0"/>
  </w:style>
  <w:style w:type="character" w:customStyle="1" w:styleId="38">
    <w:name w:val="未处理的提及1"/>
    <w:basedOn w:val="14"/>
    <w:semiHidden/>
    <w:unhideWhenUsed/>
    <w:qFormat/>
    <w:uiPriority w:val="99"/>
    <w:rPr>
      <w:color w:val="605E5C"/>
      <w:shd w:val="clear" w:color="auto" w:fill="E1DFDD"/>
    </w:rPr>
  </w:style>
  <w:style w:type="character" w:customStyle="1" w:styleId="39">
    <w:name w:val="标题 4 字符"/>
    <w:basedOn w:val="14"/>
    <w:link w:val="5"/>
    <w:qFormat/>
    <w:uiPriority w:val="9"/>
    <w:rPr>
      <w:rFonts w:ascii="Times New Roman" w:hAnsi="Times New Roman" w:eastAsia="仿宋" w:cs="Times New Roman"/>
      <w:b/>
      <w:bCs/>
      <w:szCs w:val="21"/>
    </w:rPr>
  </w:style>
  <w:style w:type="character" w:customStyle="1" w:styleId="40">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8E70-F83F-45F1-9199-B4D72BF80312}">
  <ds:schemaRefs/>
</ds:datastoreItem>
</file>

<file path=docProps/app.xml><?xml version="1.0" encoding="utf-8"?>
<Properties xmlns="http://schemas.openxmlformats.org/officeDocument/2006/extended-properties" xmlns:vt="http://schemas.openxmlformats.org/officeDocument/2006/docPropsVTypes">
  <Template>Normal</Template>
  <Pages>10</Pages>
  <Words>2327</Words>
  <Characters>13270</Characters>
  <Lines>110</Lines>
  <Paragraphs>31</Paragraphs>
  <TotalTime>3</TotalTime>
  <ScaleCrop>false</ScaleCrop>
  <LinksUpToDate>false</LinksUpToDate>
  <CharactersWithSpaces>15566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2023-07-19T06:19:00Z</dcterms:created>
  <dc:creator>LF</dc:creator>
  <cp:lastModifiedBy>刘京</cp:lastModifiedBy>
  <cp:lastPrinted>2022-01-26T08:20:00Z</cp:lastPrinted>
  <dcterms:modified xsi:type="dcterms:W3CDTF">2023-07-30T15:06:36Z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B59E33C187654995AB542E0FC99F6F4D_12</vt:lpwstr>
  </property>
</Properties>
</file>