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A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基于原告所发起的案件数的相关分布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1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按原告发起的案件数分类</w:t>
      </w:r>
    </w:p>
    <w:tbl>
      <w:tblPr>
        <w:tblStyle w:val="4"/>
        <w:tblW w:w="6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13"/>
        <w:gridCol w:w="1487"/>
        <w:gridCol w:w="1478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原告</w:t>
            </w:r>
          </w:p>
        </w:tc>
        <w:tc>
          <w:tcPr>
            <w:tcW w:w="2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原告发起的诉讼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多次诉讼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个数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占比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案件数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n&lt;=2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1395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84.39%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1674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48.02%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2&lt;n&lt;=8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12.95%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899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8&lt;n&lt;=20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2.12%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n&gt;20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0.54%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1653 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3486 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700" w:type="dxa"/>
            <w:gridSpan w:val="5"/>
            <w:tcBorders>
              <w:top w:val="single" w:color="auto" w:sz="4" w:space="0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注：由作者计算所得。专利侵权案件数据来自罗思国际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专利审判数据库。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为了完整地展示样本，同名原告即被当作同一个主体。此表包含自然人原告。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附录B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基于负二项式回归模型的基准结果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8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1433"/>
        <w:gridCol w:w="1560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9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表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B1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负二项式回归模型结果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被解释变量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(1)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(2)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(3)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案件数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发明专利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实用新型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NPE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-2.986***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-2.865***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-1.736***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-1.703***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(0.513)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(0.516)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(0.422)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(0.401)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审理特征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不控制</w:t>
            </w:r>
          </w:p>
        </w:tc>
        <w:tc>
          <w:tcPr>
            <w:tcW w:w="143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不控制</w:t>
            </w:r>
          </w:p>
        </w:tc>
        <w:tc>
          <w:tcPr>
            <w:tcW w:w="1652" w:type="dxa"/>
            <w:tcBorders>
              <w:top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年份固定效应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652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IPC1固定效应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652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地区固定效应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3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652" w:type="dxa"/>
            <w:tcBorders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</w:rPr>
              <w:t>Log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 xml:space="preserve"> Pseudo likelihood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-2471.109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-2211.435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-2496.871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-2260.83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291300</w:t>
            </w:r>
          </w:p>
        </w:tc>
        <w:tc>
          <w:tcPr>
            <w:tcW w:w="143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225980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291240</w:t>
            </w:r>
          </w:p>
        </w:tc>
        <w:tc>
          <w:tcPr>
            <w:tcW w:w="1652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226218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9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所有回归均已控制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N</m:t>
                  </m:r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patent</m:t>
                      </m: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jgt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effective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Citation lag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IPC4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)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和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Output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rt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；审理特征变量包括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Win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Ratio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Damage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及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LitigationTime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；***代表在1%的水平上显著；括号里为在省级层面聚类的稳健标准误。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720"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附录C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重新定义NPE的稳健性检验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为了检验实证结果的稳健性，我们基于发起诉讼的次数来重新定义NPE。表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C1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展示了关于定理1的结果。在前两列中，只有发起诉讼次数多于20次的原告才被当作NPE，对应的，只有存在至少一个原告是NPE时，相应的案件才计为由NPE发起的诉讼。在后两列中，NPE的定义为诉讼次数多于8次。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C1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稳健性检验—基于诉讼次数定义NPE</w:t>
      </w:r>
    </w:p>
    <w:tbl>
      <w:tblPr>
        <w:tblStyle w:val="4"/>
        <w:tblW w:w="7999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01"/>
        <w:gridCol w:w="1417"/>
        <w:gridCol w:w="158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(1)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(2)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(3)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NPE定义方法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诉讼次数&gt;20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诉讼次数&gt;8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实用新型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实用新型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NPE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-2.207***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-1.896***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-1.609***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-1.351***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(0.498)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(0.448)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(0.280)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审理特征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年份固定效应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IPC1固定效应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地区固定效应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166508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217724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166508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217724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0.015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9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所有回归均已控制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N</m:t>
                  </m:r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patent</m:t>
                      </m: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jgt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effective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Citation lag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IPC4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)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和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Output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rt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；审理特征变量包括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Win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Ratio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Damage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及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LitigationTime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；***代表在1%的水平上显著。括号里的稳健标准误差在省级层面进行聚类。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C2</w:t>
      </w:r>
      <w:r>
        <w:rPr>
          <w:rFonts w:hint="eastAsia" w:ascii="仿宋" w:hAnsi="仿宋" w:eastAsia="仿宋" w:cs="仿宋"/>
          <w:sz w:val="24"/>
          <w:szCs w:val="24"/>
        </w:rPr>
        <w:t>中，我们进一步对定理2进行检验。表中的模型设定和正文表5中的第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列相同。类似表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C1</w:t>
      </w:r>
      <w:r>
        <w:rPr>
          <w:rFonts w:hint="eastAsia" w:ascii="仿宋" w:hAnsi="仿宋" w:eastAsia="仿宋" w:cs="仿宋"/>
          <w:sz w:val="24"/>
          <w:szCs w:val="24"/>
        </w:rPr>
        <w:t>，表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C2</w:t>
      </w:r>
      <w:r>
        <w:rPr>
          <w:rFonts w:hint="eastAsia" w:ascii="仿宋" w:hAnsi="仿宋" w:eastAsia="仿宋" w:cs="仿宋"/>
          <w:sz w:val="24"/>
          <w:szCs w:val="24"/>
        </w:rPr>
        <w:t>中的第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  <w:szCs w:val="24"/>
        </w:rPr>
        <w:t>列为将NPE定义为诉讼次数大于20次时的结果，第二列为将NPE定义为诉讼次数多于8次时的结果。结果显示，核心变量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NPE</w:t>
      </w:r>
      <w:r>
        <w:rPr>
          <w:rFonts w:hint="eastAsia" w:ascii="仿宋" w:hAnsi="仿宋" w:eastAsia="仿宋" w:cs="仿宋"/>
          <w:sz w:val="24"/>
          <w:szCs w:val="24"/>
        </w:rPr>
        <w:t xml:space="preserve">的回归系数在上述两种定义下均显著为负。这就意味着，相比PE，NPE会更多地使用低价值专利发起诉讼。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C2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稳健性检验—基于诉讼次数定义NPE</w:t>
      </w:r>
    </w:p>
    <w:tbl>
      <w:tblPr>
        <w:tblStyle w:val="4"/>
        <w:tblW w:w="7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983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被解释变量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(1)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高价值案件数与低价值案件数的比值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诉讼次数&gt;20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诉讼次数&gt;8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NPE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-0.000415**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-0.000327*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(0.000174)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(0.000175)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控制变量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81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年份固定效应</w:t>
            </w: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IPC1固定效应</w:t>
            </w: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8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地区固定效应</w:t>
            </w:r>
          </w:p>
        </w:tc>
        <w:tc>
          <w:tcPr>
            <w:tcW w:w="198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  <w:tc>
          <w:tcPr>
            <w:tcW w:w="173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N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446248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446248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0.002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RMSE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0.0581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0.0585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9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审理特征变量（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Win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Ratio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Damage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和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LitigationTime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rg</m:t>
                  </m:r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j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'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kern w:val="0"/>
                          <w:sz w:val="18"/>
                          <w:szCs w:val="18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）及其他控制变量（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N</m:t>
                  </m:r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 w:eastAsia="仿宋" w:cs="仿宋"/>
                          <w:kern w:val="0"/>
                          <w:sz w:val="18"/>
                          <w:szCs w:val="18"/>
                        </w:rPr>
                        <m:t>patent</m:t>
                      </m:r>
                      <m:ctrlPr>
                        <w:rPr>
                          <w:rFonts w:hint="eastAsia" w:ascii="Cambria Math" w:hAnsi="Cambria Math" w:eastAsia="仿宋" w:cs="仿宋"/>
                          <w:kern w:val="0"/>
                          <w:sz w:val="18"/>
                          <w:szCs w:val="18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jgt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kern w:val="0"/>
                      <w:sz w:val="18"/>
                      <w:szCs w:val="18"/>
                    </w:rPr>
                    <m:t>effective</m:t>
                  </m:r>
                  <m:ctrlPr>
                    <w:rPr>
                      <w:rFonts w:hint="eastAsia" w:ascii="Cambria Math" w:hAnsi="Cambria Math" w:eastAsia="仿宋" w:cs="仿宋"/>
                      <w:kern w:val="0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m:oMath>
              <m:sSubSup>
                <m:sSubSup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Time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Citation lag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IPC4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  <m:t>)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j</m:t>
                  </m:r>
                  <m:ctrlPr>
                    <w:rPr>
                      <w:rFonts w:hint="eastAsia" w:ascii="Cambria Math" w:hAnsi="Cambria Math" w:eastAsia="仿宋" w:cs="仿宋"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和</w:t>
            </w:r>
            <m:oMath>
              <m:sSub>
                <m:sSubP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Output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仿宋" w:cs="仿宋"/>
                      <w:sz w:val="18"/>
                      <w:szCs w:val="18"/>
                    </w:rPr>
                    <m:t>rt</m:t>
                  </m:r>
                  <m:ctrlPr>
                    <w:rPr>
                      <w:rFonts w:hint="eastAsia" w:ascii="Cambria Math" w:hAnsi="Cambria Math" w:eastAsia="仿宋" w:cs="仿宋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仿宋" w:hAnsi="仿宋" w:eastAsia="仿宋" w:cs="仿宋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均采用了发明专利与实用新型特征比值再取对数的形式加以控制。*, **, ***分别代表在10%, 5%, 1%的水平上显著。括号内为稳健标准误差。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 xml:space="preserve">经济学》（季刊）       </w:t>
    </w:r>
    <w:r>
      <w:rPr>
        <w:rFonts w:hint="eastAsia"/>
      </w:rPr>
      <w:t>中国非专利实施企业与专利实施企业诉讼策略对比研究</w:t>
    </w:r>
    <w:r>
      <w:rPr>
        <w:rFonts w:hint="eastAsia"/>
        <w:lang w:val="en-US" w:eastAsia="zh-CN"/>
      </w:rPr>
      <w:t xml:space="preserve">       第23卷第4期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CC7733"/>
    <w:rsid w:val="00056AF7"/>
    <w:rsid w:val="000D0CC2"/>
    <w:rsid w:val="000E4745"/>
    <w:rsid w:val="00126485"/>
    <w:rsid w:val="0013247D"/>
    <w:rsid w:val="0018045F"/>
    <w:rsid w:val="00197792"/>
    <w:rsid w:val="001C70BF"/>
    <w:rsid w:val="0020132F"/>
    <w:rsid w:val="00272172"/>
    <w:rsid w:val="002B19A0"/>
    <w:rsid w:val="002D29BF"/>
    <w:rsid w:val="002E4494"/>
    <w:rsid w:val="0034268C"/>
    <w:rsid w:val="003D6684"/>
    <w:rsid w:val="0040458B"/>
    <w:rsid w:val="00412C3A"/>
    <w:rsid w:val="00450C21"/>
    <w:rsid w:val="005673A0"/>
    <w:rsid w:val="005B4742"/>
    <w:rsid w:val="005D7EA3"/>
    <w:rsid w:val="006466B6"/>
    <w:rsid w:val="00690B70"/>
    <w:rsid w:val="006B2AA1"/>
    <w:rsid w:val="006C238B"/>
    <w:rsid w:val="006C4803"/>
    <w:rsid w:val="00702BA1"/>
    <w:rsid w:val="007C6C3A"/>
    <w:rsid w:val="007E0FF5"/>
    <w:rsid w:val="007E25E1"/>
    <w:rsid w:val="00807CFE"/>
    <w:rsid w:val="00812D36"/>
    <w:rsid w:val="00872F2B"/>
    <w:rsid w:val="008C0650"/>
    <w:rsid w:val="008F0886"/>
    <w:rsid w:val="009400D6"/>
    <w:rsid w:val="00960425"/>
    <w:rsid w:val="00994882"/>
    <w:rsid w:val="009F2080"/>
    <w:rsid w:val="009F2246"/>
    <w:rsid w:val="00B2685E"/>
    <w:rsid w:val="00B45798"/>
    <w:rsid w:val="00B460D4"/>
    <w:rsid w:val="00B921D7"/>
    <w:rsid w:val="00C62D05"/>
    <w:rsid w:val="00C81C39"/>
    <w:rsid w:val="00CB5579"/>
    <w:rsid w:val="00CC7733"/>
    <w:rsid w:val="00D214B2"/>
    <w:rsid w:val="00D27867"/>
    <w:rsid w:val="00D3613C"/>
    <w:rsid w:val="00E32915"/>
    <w:rsid w:val="00E41337"/>
    <w:rsid w:val="00EB53CB"/>
    <w:rsid w:val="00EF4FFC"/>
    <w:rsid w:val="00F16E81"/>
    <w:rsid w:val="00FA42E2"/>
    <w:rsid w:val="00FB5E36"/>
    <w:rsid w:val="02033D08"/>
    <w:rsid w:val="38466773"/>
    <w:rsid w:val="3AAD1DE5"/>
    <w:rsid w:val="56EA4C31"/>
    <w:rsid w:val="5AA51DC8"/>
    <w:rsid w:val="674C1F1C"/>
    <w:rsid w:val="7715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1824</Characters>
  <Lines>15</Lines>
  <Paragraphs>4</Paragraphs>
  <TotalTime>0</TotalTime>
  <ScaleCrop>false</ScaleCrop>
  <LinksUpToDate>false</LinksUpToDate>
  <CharactersWithSpaces>2139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2023-07-19T03:00:00Z</dcterms:created>
  <dc:creator>Ran Jing</dc:creator>
  <cp:lastModifiedBy>刘京</cp:lastModifiedBy>
  <dcterms:modified xsi:type="dcterms:W3CDTF">2023-08-02T01:40:52Z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13259F87BBD14E5799233042BA24C86B_12</vt:lpwstr>
  </property>
</Properties>
</file>