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附录</w:t>
      </w:r>
      <w:r>
        <w:rPr>
          <w:rFonts w:hint="eastAsia" w:ascii="仿宋" w:hAnsi="仿宋" w:eastAsia="仿宋" w:cs="仿宋"/>
          <w:sz w:val="28"/>
          <w:szCs w:val="28"/>
        </w:rPr>
        <w:t>A 宏观经济事实分析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将上面三个现象进行总结，2008年以来，在GDP增速不断下降的同时，中国房价和地价却不断上升，TFP对经济增长的贡献不断下降，基建设施投资等固定资产投资日益成为GDP增长的主要推动因素。这与我国当前实现经济结构转型、提高TFP对经济增长贡献率的供给侧改革目标背道而驰。造成这些现象背后的内在原因是什么？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2008年金融危机之后，地方政府为了遏制GDP下降，出台了大规模的经济刺激政策，到2010年底约需投资4万亿元，中央拟安排1.18万亿元左右，带动地方和社会投资共计4万亿元，大部分投向了基础设施建设领域，包括保障性安居工程、农村民生工程、基建设施等方面建设和灾后恢复重建。但是就地方政府而言，如此庞大的资金从何而来？在中央转移支付和预算内收入有限的情况下，地方财政越来越依赖预算外的土地出让收入。从土地相关财政收入走势看，从2008年开始，地方土地出让收入占地方政府性基金收入的比例、地方房产五税占地方一般公共预算收入的比例，均呈现出显著上升态势，2016年这两个比例分别为88.3%、17.2%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图A1所示。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drawing>
          <wp:inline distT="0" distB="0" distL="0" distR="0">
            <wp:extent cx="4350385" cy="2537460"/>
            <wp:effectExtent l="4445" t="4445" r="11430" b="10795"/>
            <wp:docPr id="27" name="图表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t>图</w:t>
      </w:r>
      <w:r>
        <w:rPr>
          <w:rFonts w:hint="eastAsia" w:ascii="仿宋" w:hAnsi="仿宋" w:eastAsia="仿宋" w:cs="仿宋"/>
          <w:b/>
          <w:bCs/>
          <w:sz w:val="22"/>
          <w:szCs w:val="22"/>
        </w:rPr>
        <w:t>A1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t xml:space="preserve"> 房地产相关税收和土地出让收入占对应财政收入的比例</w:t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  <w:vertAlign w:val="superscript"/>
        </w:rPr>
        <w:footnoteReference w:id="0"/>
      </w:r>
      <w:r>
        <w:rPr>
          <w:rFonts w:hint="eastAsia" w:ascii="仿宋" w:hAnsi="仿宋" w:eastAsia="仿宋" w:cs="仿宋"/>
          <w:b/>
          <w:bCs/>
          <w:color w:val="000000"/>
          <w:sz w:val="22"/>
          <w:szCs w:val="22"/>
        </w:rPr>
        <w:t>：2008-2016年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土地出让收入在地方经济发展中具有十分重要的作用，由于土地成本占据着房价成本的较高比例，地方政府有很大的动机推动房价上涨，以此来维持土地出让收入的持续增长。在我国传统以GDP为核心的官员晋升考核机制下，地方政府倾向将支出更多的投向基础设施建设</w:t>
      </w:r>
      <w:r>
        <w:rPr>
          <w:rFonts w:hint="eastAsia" w:ascii="仿宋" w:hAnsi="仿宋" w:eastAsia="仿宋" w:cs="仿宋"/>
          <w:color w:val="000000"/>
          <w:sz w:val="24"/>
          <w:szCs w:val="24"/>
          <w:vertAlign w:val="superscript"/>
        </w:rPr>
        <w:footnoteReference w:id="1"/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，以实现GDP短期内的快速增长。即使把土地财政收入包括在内，政府的财政收入仍然不能满足其开支需求，通过地方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融资平台以土地收入与土地抵押为担保发债，以获取巨额外部融资资金成为了其必然选择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，这也使得土地财政逐渐演变为土地融资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。据人民银行专项调查统计，2009年末地方政府融资平台负债总额约9.76万亿，其中金融机构地方融资平台贷款（不含票据融资）余额约7.38万亿，约占一般贷款余额的20.4%；2009年全年金融机构新增融资平台贷款约3.05万亿，约占全部新增一般贷款的34.5%。2009年末地方融资平台贷款余额占当年GDP的比重约为21.7%，较之同期国债实际余额占GDP约17.7%的比重高出4个百分点（刘煜辉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和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沈可挺，2011）。地方融资平台贷款余额是当年土地出让收入的4.7倍，如此强大的融资撬动效应势必会带来利率的上升，进而对其他部门尤其是研发部门的成本造成负面冲击。白重恩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和</w:t>
      </w:r>
      <w:r>
        <w:rPr>
          <w:rFonts w:hint="eastAsia" w:ascii="仿宋" w:hAnsi="仿宋" w:eastAsia="仿宋" w:cs="仿宋"/>
          <w:color w:val="000000"/>
          <w:sz w:val="24"/>
          <w:szCs w:val="24"/>
          <w:shd w:val="clear" w:color="auto" w:fill="FFFFFF"/>
        </w:rPr>
        <w:t>张琼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2014）注意到，基建部门多为政府关联企业，对利率并不敏感，虽然其生产效率不高，但是有政府信用的背书，大量的资金会流向这些基建相关行业的企业，挤占了大量资金，这会扭曲社会总体的资金配置效率，进而导致TFP增速下降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附录</w:t>
      </w:r>
      <w:r>
        <w:rPr>
          <w:rFonts w:hint="eastAsia" w:ascii="仿宋" w:hAnsi="仿宋" w:eastAsia="仿宋" w:cs="仿宋"/>
          <w:sz w:val="28"/>
          <w:szCs w:val="28"/>
        </w:rPr>
        <w:t>B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资源配置效率的计算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对全要素生产率的影响，可以分解为两部分：一部分是技术进步，还有一部分是资源配置效率。在下面的脉冲分析中，为了将这两者进行区分并进行比较，探讨各个部分对产出变动的影响程度，本书根据Hsieh and Klenow（2009）的方法，结合文中模型构建下面的资源配置效率的计算公式。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根据Hsieh and Klenow（2009）的方法，利用经济中全要素生产率产值</w:t>
      </w:r>
      <w:r>
        <w:rPr>
          <w:rFonts w:hint="eastAsia" w:ascii="仿宋" w:hAnsi="仿宋" w:eastAsia="仿宋" w:cs="仿宋"/>
          <w:color w:val="000000"/>
          <w:position w:val="-4"/>
          <w:sz w:val="24"/>
          <w:szCs w:val="24"/>
        </w:rPr>
        <w:object>
          <v:shape id="_x0000_i1025" o:spt="75" type="#_x0000_t75" style="height:11.85pt;width:31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13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的离散程度来度量资源配置效率。由于全要素生产率价值</w:t>
      </w:r>
      <w:r>
        <w:rPr>
          <w:rFonts w:hint="eastAsia" w:ascii="仿宋" w:hAnsi="仿宋" w:eastAsia="仿宋" w:cs="仿宋"/>
          <w:color w:val="000000"/>
          <w:position w:val="-4"/>
          <w:sz w:val="24"/>
          <w:szCs w:val="24"/>
        </w:rPr>
        <w:object>
          <v:shape id="_x0000_i1026" o:spt="75" type="#_x0000_t75" style="height:11.85pt;width:31.4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15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>成比例于资本的边际产出价值和劳动的边际产出价值的几何平均，因此对于第</w:t>
      </w:r>
      <w:r>
        <w:rPr>
          <w:rFonts w:hint="eastAsia" w:ascii="仿宋" w:hAnsi="仿宋" w:eastAsia="仿宋" w:cs="仿宋"/>
          <w:i/>
          <w:iCs/>
          <w:color w:val="000000"/>
          <w:sz w:val="24"/>
          <w:szCs w:val="24"/>
        </w:rPr>
        <w:t>i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个部门有：</w:t>
      </w:r>
    </w:p>
    <w:p>
      <w:pPr>
        <w:pageBreakBefore w:val="0"/>
        <w:widowControl w:val="0"/>
        <w:tabs>
          <w:tab w:val="center" w:pos="4356"/>
          <w:tab w:val="right" w:pos="77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6" w:firstLineChars="1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position w:val="-12"/>
          <w:sz w:val="24"/>
          <w:szCs w:val="24"/>
        </w:rPr>
        <w:object>
          <v:shape id="_x0000_i1027" o:spt="75" type="#_x0000_t75" style="height:20.3pt;width:157.5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6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B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1）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其中，</w:t>
      </w:r>
      <w:r>
        <w:rPr>
          <w:rFonts w:hint="eastAsia" w:ascii="仿宋" w:hAnsi="仿宋" w:eastAsia="仿宋" w:cs="仿宋"/>
          <w:color w:val="000000"/>
          <w:position w:val="-32"/>
          <w:sz w:val="24"/>
          <w:szCs w:val="24"/>
        </w:rPr>
        <w:object>
          <v:shape id="_x0000_i1028" o:spt="75" type="#_x0000_t75" style="height:33.8pt;width:82.8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8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>和</w:t>
      </w:r>
      <w:r>
        <w:rPr>
          <w:rFonts w:hint="eastAsia" w:ascii="仿宋" w:hAnsi="仿宋" w:eastAsia="仿宋" w:cs="仿宋"/>
          <w:color w:val="000000"/>
          <w:position w:val="-30"/>
          <w:sz w:val="24"/>
          <w:szCs w:val="24"/>
        </w:rPr>
        <w:object>
          <v:shape id="_x0000_i1029" o:spt="75" type="#_x0000_t75" style="height:33.8pt;width:80.4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20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>分别为第</w:t>
      </w:r>
      <w:r>
        <w:rPr>
          <w:rFonts w:hint="eastAsia" w:ascii="仿宋" w:hAnsi="仿宋" w:eastAsia="仿宋" w:cs="仿宋"/>
          <w:i/>
          <w:iCs/>
          <w:color w:val="000000"/>
          <w:sz w:val="24"/>
          <w:szCs w:val="24"/>
        </w:rPr>
        <w:t>i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个部门的资本边际产出价值和劳动边际产出价值。定义全要素生产率为：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1140" w:firstLineChars="500"/>
        <w:jc w:val="left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position w:val="-36"/>
          <w:sz w:val="24"/>
          <w:szCs w:val="24"/>
        </w:rPr>
        <w:object>
          <v:shape id="_x0000_i1030" o:spt="75" type="#_x0000_t75" style="height:40.55pt;width:303.9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22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B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其中，</w:t>
      </w:r>
      <w:r>
        <w:rPr>
          <w:rFonts w:hint="eastAsia" w:ascii="仿宋" w:hAnsi="仿宋" w:eastAsia="仿宋" w:cs="仿宋"/>
          <w:color w:val="000000"/>
          <w:position w:val="-12"/>
          <w:sz w:val="24"/>
          <w:szCs w:val="24"/>
        </w:rPr>
        <w:object>
          <v:shape id="_x0000_i1031" o:spt="75" type="#_x0000_t75" style="height:20.3pt;width:155.8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4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为加总的全要素生产率价值。根据谢和克伦诺（Hsieh and Klenow，2009）的分析，两部门的全要素生产率价值离散程度越大，则资源错配程度越大，全要素生产率越低。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式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B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2）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中，全要素生产率一方面取决于技术进步率，另一方面取决于不同部门全要素生产率价值离散程度。进一步地，可以将全要素生产率中的技术进步假定不定或者直接移除，在该情形下不同部门的技术进步不再影响全要素生产率的变化，将此定义为资源配置效率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824" w:firstLineChars="8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position w:val="-36"/>
          <w:sz w:val="24"/>
          <w:szCs w:val="24"/>
        </w:rPr>
        <w:object>
          <v:shape id="_x0000_i1032" o:spt="75" type="#_x0000_t75" style="height:40.55pt;width:225.4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6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B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3）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position w:val="-12"/>
          <w:sz w:val="24"/>
          <w:szCs w:val="24"/>
          <w:lang w:val="en-US" w:eastAsia="zh-CN"/>
        </w:rPr>
        <w:t>其中，</w:t>
      </w:r>
      <w:r>
        <w:rPr>
          <w:rFonts w:hint="eastAsia" w:ascii="仿宋" w:hAnsi="仿宋" w:eastAsia="仿宋" w:cs="仿宋"/>
          <w:color w:val="000000"/>
          <w:position w:val="-12"/>
          <w:sz w:val="24"/>
          <w:szCs w:val="24"/>
        </w:rPr>
        <w:object>
          <v:shape id="_x0000_i1033" o:spt="75" type="#_x0000_t75" style="height:18.6pt;width:58.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8">
            <o:LockedField>false</o:LockedField>
          </o:OLEObject>
        </w:object>
      </w:r>
      <w:r>
        <w:rPr>
          <w:rFonts w:hint="eastAsia" w:ascii="仿宋" w:hAnsi="仿宋" w:eastAsia="仿宋" w:cs="仿宋"/>
          <w:color w:val="000000"/>
          <w:sz w:val="24"/>
          <w:szCs w:val="24"/>
        </w:rPr>
        <w:t>为资源的配置效率，衡量了资源在两个部门间的配置对于全要素生产率的影响。也就是说即便技术进步不发生改变，经济也可以通过重新配置资源提升全要素生产率，当经济面临非技术因素的外生冲击时，资源通过在两部门间的重新配置导致了全要素生产率的变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附录</w:t>
      </w:r>
      <w:r>
        <w:rPr>
          <w:rFonts w:hint="eastAsia" w:ascii="仿宋" w:hAnsi="仿宋" w:eastAsia="仿宋" w:cs="仿宋"/>
          <w:sz w:val="28"/>
          <w:szCs w:val="28"/>
        </w:rPr>
        <w:t xml:space="preserve">C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外部冲击影响GDP和生产率变动的路径分析（渠道总结）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将文中各个冲击的脉冲分析进行总结，可以得到下面外部冲击影响G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DP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和生产率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变动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的路径，如图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C1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所示。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从左到右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从上到下观察图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外部冲击导致地价上升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土地价格的上升会带来两个结果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：一方面，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土地价格上升带来的地方政府收入上升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使得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地方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政府的基建支出增加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由此带来了基建部门产出的上升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有利于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GDP的上升；但另一方面，地方政府的土地融资行为提高了非基建部门的资金使用成本，直接降低了非基建部门的投资、产出和利润。土地价格上升带来的地方政府收入上升，地方政府对基建部门的支出偏好，使得需求和资源更多的流向基建部门，导致了资源配置效率的恶化。更为重要的是，更高的融资成本和更低的企业利润，使得企业采用新技术的预期收益下降，降低了研发部门将知识转化为技术的激励，并进一步导致企业研发投入的下降，更低的研发投入和更低的转化率使得企业技术进步率下降，最终导致非基建部门产出的不断下降。由于TFP下降的持续性，从而导致非基建部门产出的降幅和持续时间更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drawing>
          <wp:inline distT="0" distB="0" distL="0" distR="0">
            <wp:extent cx="5000625" cy="3841750"/>
            <wp:effectExtent l="0" t="0" r="3175" b="635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03049" cy="3843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36"/>
        <w:jc w:val="center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图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C1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模型传导路径图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96"/>
        <w:textAlignment w:val="auto"/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</w:rPr>
        <w:t>注：该附录是期刊所发表论文的组成部分，同样视为作者公开发表的内容。如研究中使用该附录中的内容，请务必在研究成果上注明附录下载出处。</w:t>
      </w:r>
      <w:bookmarkStart w:id="3" w:name="_GoBack"/>
      <w:bookmarkEnd w:id="3"/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endnotePr>
        <w:numFmt w:val="decimalEnclosedCircleChinese"/>
      </w:endnotePr>
      <w:pgSz w:w="11906" w:h="16838"/>
      <w:pgMar w:top="1440" w:right="1797" w:bottom="1440" w:left="1797" w:header="680" w:footer="992" w:gutter="0"/>
      <w:cols w:space="425" w:num="1"/>
      <w:docGrid w:type="linesAndChars" w:linePitch="357" w:charSpace="-24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396"/>
      </w:pPr>
      <w:r>
        <w:separator/>
      </w:r>
    </w:p>
  </w:endnote>
  <w:endnote w:type="continuationSeparator" w:id="1">
    <w:p>
      <w:pPr>
        <w:ind w:firstLine="39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10845302"/>
    </w:sdtPr>
    <w:sdtContent>
      <w:p>
        <w:pPr>
          <w:pStyle w:val="7"/>
          <w:ind w:firstLine="3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pPr>
        <w:ind w:firstLine="396"/>
      </w:pPr>
      <w:r>
        <w:separator/>
      </w:r>
    </w:p>
  </w:footnote>
  <w:footnote w:type="continuationSeparator" w:id="5">
    <w:p>
      <w:pPr>
        <w:ind w:firstLine="396"/>
      </w:pPr>
      <w:r>
        <w:continuationSeparator/>
      </w:r>
    </w:p>
  </w:footnote>
  <w:footnote w:id="0">
    <w:p>
      <w:pPr>
        <w:pStyle w:val="9"/>
        <w:ind w:firstLine="276"/>
        <w:jc w:val="both"/>
        <w:rPr>
          <w:rFonts w:ascii="宋体" w:hAnsi="宋体"/>
          <w:color w:val="000000"/>
          <w:sz w:val="15"/>
          <w:szCs w:val="15"/>
        </w:rPr>
      </w:pPr>
      <w:r>
        <w:rPr>
          <w:rStyle w:val="12"/>
          <w:rFonts w:ascii="宋体" w:hAnsi="宋体"/>
          <w:color w:val="000000"/>
          <w:sz w:val="15"/>
          <w:szCs w:val="15"/>
          <w:vertAlign w:val="baseline"/>
        </w:rPr>
        <w:footnoteRef/>
      </w:r>
      <w:r>
        <w:rPr>
          <w:rFonts w:ascii="宋体" w:hAnsi="宋体"/>
          <w:color w:val="000000"/>
          <w:sz w:val="15"/>
          <w:szCs w:val="15"/>
        </w:rPr>
        <w:t xml:space="preserve"> </w:t>
      </w:r>
      <w:r>
        <w:rPr>
          <w:rFonts w:hint="eastAsia" w:ascii="宋体" w:hAnsi="宋体"/>
          <w:color w:val="000000"/>
          <w:sz w:val="15"/>
          <w:szCs w:val="15"/>
        </w:rPr>
        <w:t>两个口径反映地方财政对土地收入的依赖程度，第一个是房地产五税占地方一般公共预算收入比例，第二个是土地出让收入占地方本级政府性基金收入比例。</w:t>
      </w:r>
    </w:p>
  </w:footnote>
  <w:footnote w:id="1">
    <w:p>
      <w:pPr>
        <w:snapToGrid w:val="0"/>
        <w:ind w:firstLine="276"/>
        <w:rPr>
          <w:rFonts w:cs="Times New Roman"/>
          <w:color w:val="000000"/>
          <w:sz w:val="15"/>
          <w:szCs w:val="15"/>
        </w:rPr>
      </w:pPr>
      <w:r>
        <w:rPr>
          <w:rStyle w:val="12"/>
          <w:rFonts w:ascii="宋体" w:hAnsi="宋体"/>
          <w:color w:val="000000"/>
          <w:sz w:val="15"/>
          <w:szCs w:val="15"/>
          <w:vertAlign w:val="baseline"/>
        </w:rPr>
        <w:footnoteRef/>
      </w:r>
      <w:r>
        <w:rPr>
          <w:rFonts w:ascii="宋体" w:hAnsi="宋体" w:cs="Times New Roman"/>
          <w:color w:val="000000"/>
          <w:sz w:val="15"/>
          <w:szCs w:val="15"/>
        </w:rPr>
        <w:t xml:space="preserve"> 2014</w:t>
      </w:r>
      <w:r>
        <w:rPr>
          <w:rFonts w:hint="eastAsia" w:ascii="宋体" w:hAnsi="宋体" w:cs="Times New Roman"/>
          <w:color w:val="000000"/>
          <w:sz w:val="15"/>
          <w:szCs w:val="15"/>
        </w:rPr>
        <w:t>年地方土地出让收入用于城乡基础设施建设、农业农村发展以及保障性安居工程建设方面支出达到</w:t>
      </w:r>
      <w:r>
        <w:rPr>
          <w:rFonts w:ascii="宋体" w:hAnsi="宋体" w:cs="Times New Roman"/>
          <w:color w:val="000000"/>
          <w:sz w:val="15"/>
          <w:szCs w:val="15"/>
        </w:rPr>
        <w:t>6810.69</w:t>
      </w:r>
      <w:r>
        <w:rPr>
          <w:rFonts w:hint="eastAsia" w:ascii="宋体" w:hAnsi="宋体" w:cs="Times New Roman"/>
          <w:color w:val="000000"/>
          <w:sz w:val="15"/>
          <w:szCs w:val="15"/>
        </w:rPr>
        <w:t>亿元，相当于减轻了地方一般公共预算收入用于这些方面的支出，对于地方一般公共预算收入起到了重要的补充作用。在这个意义上，土地净收入更接近于地方一般公共预算收入的性质；以地方土地毛收入即国有土地出让收入（不扣除各种成本费用）来比较，分别相当于地方一般公共预算本级收入的</w:t>
      </w:r>
      <w:r>
        <w:rPr>
          <w:rFonts w:ascii="宋体" w:hAnsi="宋体" w:cs="Times New Roman"/>
          <w:color w:val="000000"/>
          <w:sz w:val="15"/>
          <w:szCs w:val="15"/>
        </w:rPr>
        <w:t>54.2%</w:t>
      </w:r>
      <w:r>
        <w:rPr>
          <w:rFonts w:hint="eastAsia" w:ascii="宋体" w:hAnsi="宋体" w:cs="Times New Roman"/>
          <w:color w:val="000000"/>
          <w:sz w:val="15"/>
          <w:szCs w:val="15"/>
        </w:rPr>
        <w:t>。（刘尚希，</w:t>
      </w:r>
      <w:r>
        <w:rPr>
          <w:rFonts w:ascii="宋体" w:hAnsi="宋体" w:cs="Times New Roman"/>
          <w:color w:val="000000"/>
          <w:sz w:val="15"/>
          <w:szCs w:val="15"/>
        </w:rPr>
        <w:t>2015</w:t>
      </w:r>
      <w:r>
        <w:rPr>
          <w:rFonts w:hint="eastAsia" w:ascii="宋体" w:hAnsi="宋体" w:cs="Times New Roman"/>
          <w:color w:val="000000"/>
          <w:sz w:val="15"/>
          <w:szCs w:val="15"/>
        </w:rPr>
        <w:t>）。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  <w:jc w:val="both"/>
      <w:rPr>
        <w:rFonts w:cs="Times New Roman"/>
        <w:color w:val="000000" w:themeColor="text1"/>
        <w14:textFill>
          <w14:solidFill>
            <w14:schemeClr w14:val="tx1"/>
          </w14:solidFill>
        </w14:textFill>
      </w:rPr>
    </w:pPr>
    <w:bookmarkStart w:id="0" w:name="_Hlk74923246"/>
    <w:bookmarkStart w:id="1" w:name="_Hlk74923799"/>
    <w:bookmarkStart w:id="2" w:name="_Hlk88250612"/>
    <w:r>
      <w:rPr>
        <w:rFonts w:eastAsia="仿宋" w:cs="Times New Roman"/>
        <w:color w:val="000000" w:themeColor="text1"/>
        <w14:textFill>
          <w14:solidFill>
            <w14:schemeClr w14:val="tx1"/>
          </w14:solidFill>
        </w14:textFill>
      </w:rPr>
      <w:t>《经济学》（季刊）</w:t>
    </w:r>
    <w:bookmarkEnd w:id="0"/>
    <w:bookmarkEnd w:id="1"/>
    <w:bookmarkEnd w:id="2"/>
    <w:r>
      <w:rPr>
        <w:rFonts w:eastAsia="仿宋" w:cs="Times New Roman"/>
        <w:color w:val="000000" w:themeColor="text1"/>
        <w14:textFill>
          <w14:solidFill>
            <w14:schemeClr w14:val="tx1"/>
          </w14:solidFill>
        </w14:textFill>
      </w:rPr>
      <w:t xml:space="preserve">              土地财政、基建投资扩张与生产率下降</w:t>
    </w:r>
    <w:r>
      <w:rPr>
        <w:rFonts w:cs="Times New Roman"/>
        <w:color w:val="000000" w:themeColor="text1"/>
        <w14:textFill>
          <w14:solidFill>
            <w14:schemeClr w14:val="tx1"/>
          </w14:solidFill>
        </w14:textFill>
      </w:rPr>
      <w:t xml:space="preserve">             </w:t>
    </w:r>
    <w:r>
      <w:rPr>
        <w:rFonts w:eastAsia="仿宋" w:cs="Times New Roman"/>
        <w:color w:val="000000" w:themeColor="text1"/>
        <w:sz w:val="21"/>
        <w:szCs w:val="21"/>
        <w14:textFill>
          <w14:solidFill>
            <w14:schemeClr w14:val="tx1"/>
          </w14:solidFill>
        </w14:textFill>
      </w:rPr>
      <w:t>第23卷第4期</w:t>
    </w:r>
  </w:p>
  <w:p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9"/>
  <w:drawingGridVerticalSpacing w:val="357"/>
  <w:displayHorizontalDrawingGridEvery w:val="0"/>
  <w:characterSpacingControl w:val="compressPunctuation"/>
  <w:footnotePr>
    <w:numFmt w:val="decimalEnclosedCircleChinese"/>
    <w:numRestart w:val="eachPage"/>
    <w:footnote w:id="4"/>
    <w:footnote w:id="5"/>
  </w:footnotePr>
  <w:endnotePr>
    <w:numFmt w:val="decimalEnclosedCircleChinese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5YTY5MzAxODJhZDAxMGMwZGQwZTA0ZDg0NjA2ZDkifQ=="/>
  </w:docVars>
  <w:rsids>
    <w:rsidRoot w:val="00932632"/>
    <w:rsid w:val="00006DEC"/>
    <w:rsid w:val="00006EF2"/>
    <w:rsid w:val="00067F8E"/>
    <w:rsid w:val="00090F3E"/>
    <w:rsid w:val="000D1363"/>
    <w:rsid w:val="000D3929"/>
    <w:rsid w:val="000D67D0"/>
    <w:rsid w:val="000F7093"/>
    <w:rsid w:val="000F71E6"/>
    <w:rsid w:val="00174C16"/>
    <w:rsid w:val="0018534B"/>
    <w:rsid w:val="001A4D51"/>
    <w:rsid w:val="001B322D"/>
    <w:rsid w:val="001C150E"/>
    <w:rsid w:val="001E3F21"/>
    <w:rsid w:val="002175EB"/>
    <w:rsid w:val="00225608"/>
    <w:rsid w:val="002455FD"/>
    <w:rsid w:val="00261345"/>
    <w:rsid w:val="00284ACE"/>
    <w:rsid w:val="002904B2"/>
    <w:rsid w:val="002A7B76"/>
    <w:rsid w:val="002B7EB8"/>
    <w:rsid w:val="002C0607"/>
    <w:rsid w:val="0033152A"/>
    <w:rsid w:val="00340C7E"/>
    <w:rsid w:val="00341B47"/>
    <w:rsid w:val="00347C7B"/>
    <w:rsid w:val="003774E3"/>
    <w:rsid w:val="00381BFD"/>
    <w:rsid w:val="00382CBA"/>
    <w:rsid w:val="00395BC3"/>
    <w:rsid w:val="0040606C"/>
    <w:rsid w:val="00416C3B"/>
    <w:rsid w:val="00425A1F"/>
    <w:rsid w:val="004C35CA"/>
    <w:rsid w:val="004C492C"/>
    <w:rsid w:val="005034BB"/>
    <w:rsid w:val="005113F6"/>
    <w:rsid w:val="005743E4"/>
    <w:rsid w:val="005C54B5"/>
    <w:rsid w:val="005D7175"/>
    <w:rsid w:val="005F38EC"/>
    <w:rsid w:val="00604811"/>
    <w:rsid w:val="0061262E"/>
    <w:rsid w:val="00627E39"/>
    <w:rsid w:val="00634A23"/>
    <w:rsid w:val="00656CC4"/>
    <w:rsid w:val="00674EF5"/>
    <w:rsid w:val="006A4C90"/>
    <w:rsid w:val="00722F11"/>
    <w:rsid w:val="007244B2"/>
    <w:rsid w:val="007A50FA"/>
    <w:rsid w:val="007B56DF"/>
    <w:rsid w:val="007B6AAA"/>
    <w:rsid w:val="00816251"/>
    <w:rsid w:val="0084612B"/>
    <w:rsid w:val="00877324"/>
    <w:rsid w:val="00932632"/>
    <w:rsid w:val="00983778"/>
    <w:rsid w:val="009B3208"/>
    <w:rsid w:val="009B5CE2"/>
    <w:rsid w:val="009D2F26"/>
    <w:rsid w:val="00A703B3"/>
    <w:rsid w:val="00A803B3"/>
    <w:rsid w:val="00A81AF3"/>
    <w:rsid w:val="00A84727"/>
    <w:rsid w:val="00A92F51"/>
    <w:rsid w:val="00AB69EC"/>
    <w:rsid w:val="00AC681C"/>
    <w:rsid w:val="00B20CFE"/>
    <w:rsid w:val="00B25699"/>
    <w:rsid w:val="00B377C3"/>
    <w:rsid w:val="00B50BDE"/>
    <w:rsid w:val="00B76FE7"/>
    <w:rsid w:val="00B7749E"/>
    <w:rsid w:val="00B83811"/>
    <w:rsid w:val="00B83C54"/>
    <w:rsid w:val="00BA00DA"/>
    <w:rsid w:val="00BA1461"/>
    <w:rsid w:val="00BA14A4"/>
    <w:rsid w:val="00BB50BE"/>
    <w:rsid w:val="00BD47FA"/>
    <w:rsid w:val="00C847EC"/>
    <w:rsid w:val="00CB432A"/>
    <w:rsid w:val="00D03369"/>
    <w:rsid w:val="00D10B1A"/>
    <w:rsid w:val="00D459E7"/>
    <w:rsid w:val="00D5638D"/>
    <w:rsid w:val="00DC31D9"/>
    <w:rsid w:val="00DD2D91"/>
    <w:rsid w:val="00DE1CA2"/>
    <w:rsid w:val="00DF128E"/>
    <w:rsid w:val="00E2501D"/>
    <w:rsid w:val="00E41F21"/>
    <w:rsid w:val="00E428CA"/>
    <w:rsid w:val="00E64DE0"/>
    <w:rsid w:val="00E70E5E"/>
    <w:rsid w:val="00EC7F3A"/>
    <w:rsid w:val="00ED4AC1"/>
    <w:rsid w:val="00EE68FD"/>
    <w:rsid w:val="00F35FE2"/>
    <w:rsid w:val="00F50A33"/>
    <w:rsid w:val="00F72595"/>
    <w:rsid w:val="00FA6242"/>
    <w:rsid w:val="00FD4B9E"/>
    <w:rsid w:val="01B90B97"/>
    <w:rsid w:val="050F4BEE"/>
    <w:rsid w:val="05C64DB8"/>
    <w:rsid w:val="06726A8E"/>
    <w:rsid w:val="19E00D7C"/>
    <w:rsid w:val="4941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ind w:firstLine="0" w:firstLineChars="0"/>
      <w:jc w:val="center"/>
      <w:outlineLvl w:val="0"/>
    </w:pPr>
    <w:rPr>
      <w:rFonts w:eastAsia="仿宋" w:cs="Times New Roman (正文 CS 字体)"/>
      <w:bCs/>
      <w:color w:val="000000" w:themeColor="text1"/>
      <w:kern w:val="44"/>
      <w:sz w:val="28"/>
      <w:szCs w:val="44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78" w:beforeLines="50"/>
      <w:ind w:firstLine="0" w:firstLineChars="0"/>
      <w:outlineLvl w:val="1"/>
    </w:pPr>
    <w:rPr>
      <w:rFonts w:eastAsia="仿宋" w:cs="Times New Roman"/>
      <w:b/>
      <w:bCs/>
      <w:color w:val="000000" w:themeColor="text1"/>
      <w:szCs w:val="21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line="360" w:lineRule="atLeast"/>
      <w:outlineLvl w:val="2"/>
    </w:pPr>
    <w:rPr>
      <w:rFonts w:cs="Times New Roman (正文 CS 字体)"/>
      <w:bCs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endnote text"/>
    <w:basedOn w:val="1"/>
    <w:link w:val="22"/>
    <w:unhideWhenUsed/>
    <w:qFormat/>
    <w:uiPriority w:val="99"/>
    <w:pPr>
      <w:snapToGrid w:val="0"/>
      <w:jc w:val="left"/>
    </w:p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17"/>
    <w:unhideWhenUsed/>
    <w:qFormat/>
    <w:uiPriority w:val="99"/>
    <w:pPr>
      <w:snapToGrid w:val="0"/>
      <w:jc w:val="left"/>
    </w:pPr>
    <w:rPr>
      <w:sz w:val="18"/>
      <w:szCs w:val="18"/>
    </w:rPr>
  </w:style>
  <w:style w:type="character" w:styleId="12">
    <w:name w:val="footnote reference"/>
    <w:basedOn w:val="11"/>
    <w:unhideWhenUsed/>
    <w:qFormat/>
    <w:uiPriority w:val="99"/>
    <w:rPr>
      <w:vertAlign w:val="superscript"/>
    </w:rPr>
  </w:style>
  <w:style w:type="character" w:customStyle="1" w:styleId="13">
    <w:name w:val="页眉 字符"/>
    <w:basedOn w:val="11"/>
    <w:link w:val="8"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2"/>
    <w:qFormat/>
    <w:uiPriority w:val="9"/>
    <w:rPr>
      <w:rFonts w:ascii="Times New Roman" w:hAnsi="Times New Roman" w:eastAsia="仿宋" w:cs="Times New Roman (正文 CS 字体)"/>
      <w:bCs/>
      <w:color w:val="000000" w:themeColor="text1"/>
      <w:kern w:val="44"/>
      <w:sz w:val="28"/>
      <w:szCs w:val="44"/>
      <w14:textFill>
        <w14:solidFill>
          <w14:schemeClr w14:val="tx1"/>
        </w14:solidFill>
      </w14:textFill>
    </w:rPr>
  </w:style>
  <w:style w:type="character" w:customStyle="1" w:styleId="16">
    <w:name w:val="标题 2 字符"/>
    <w:basedOn w:val="11"/>
    <w:link w:val="3"/>
    <w:qFormat/>
    <w:uiPriority w:val="9"/>
    <w:rPr>
      <w:rFonts w:ascii="Times New Roman" w:hAnsi="Times New Roman" w:eastAsia="仿宋" w:cs="Times New Roman"/>
      <w:b/>
      <w:bCs/>
      <w:color w:val="000000" w:themeColor="text1"/>
      <w:szCs w:val="21"/>
      <w14:textFill>
        <w14:solidFill>
          <w14:schemeClr w14:val="tx1"/>
        </w14:solidFill>
      </w14:textFill>
    </w:rPr>
  </w:style>
  <w:style w:type="character" w:customStyle="1" w:styleId="17">
    <w:name w:val="脚注文本 字符"/>
    <w:basedOn w:val="11"/>
    <w:link w:val="9"/>
    <w:qFormat/>
    <w:uiPriority w:val="99"/>
    <w:rPr>
      <w:rFonts w:ascii="Times New Roman" w:hAnsi="Times New Roman" w:eastAsia="宋体"/>
      <w:sz w:val="18"/>
      <w:szCs w:val="18"/>
    </w:rPr>
  </w:style>
  <w:style w:type="paragraph" w:customStyle="1" w:styleId="18">
    <w:name w:val="MTDisplayEquation"/>
    <w:basedOn w:val="1"/>
    <w:next w:val="1"/>
    <w:link w:val="19"/>
    <w:uiPriority w:val="0"/>
    <w:pPr>
      <w:tabs>
        <w:tab w:val="center" w:pos="4520"/>
        <w:tab w:val="right" w:pos="8300"/>
      </w:tabs>
      <w:ind w:left="720" w:firstLine="0" w:firstLineChars="0"/>
    </w:pPr>
  </w:style>
  <w:style w:type="character" w:customStyle="1" w:styleId="19">
    <w:name w:val="MTDisplayEquation 字符"/>
    <w:basedOn w:val="11"/>
    <w:link w:val="18"/>
    <w:uiPriority w:val="0"/>
    <w:rPr>
      <w:rFonts w:ascii="Times New Roman" w:hAnsi="Times New Roman" w:eastAsia="宋体"/>
    </w:rPr>
  </w:style>
  <w:style w:type="paragraph" w:customStyle="1" w:styleId="20">
    <w:name w:val="Revision"/>
    <w:hidden/>
    <w:semiHidden/>
    <w:qFormat/>
    <w:uiPriority w:val="99"/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框文本 字符"/>
    <w:basedOn w:val="11"/>
    <w:link w:val="6"/>
    <w:semiHidden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22">
    <w:name w:val="尾注文本 字符"/>
    <w:basedOn w:val="11"/>
    <w:link w:val="5"/>
    <w:qFormat/>
    <w:uiPriority w:val="99"/>
    <w:rPr>
      <w:rFonts w:ascii="Times New Roman" w:hAnsi="Times New Roman" w:eastAsia="宋体"/>
    </w:rPr>
  </w:style>
  <w:style w:type="character" w:customStyle="1" w:styleId="23">
    <w:name w:val="标题 3 字符"/>
    <w:basedOn w:val="11"/>
    <w:link w:val="4"/>
    <w:qFormat/>
    <w:uiPriority w:val="9"/>
    <w:rPr>
      <w:rFonts w:ascii="Times New Roman" w:hAnsi="Times New Roman" w:eastAsia="宋体" w:cs="Times New Roman (正文 CS 字体)"/>
      <w:bCs/>
      <w:szCs w:val="32"/>
    </w:rPr>
  </w:style>
  <w:style w:type="character" w:styleId="24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image" Target="media/image9.emf"/><Relationship Id="rId3" Type="http://schemas.openxmlformats.org/officeDocument/2006/relationships/footnotes" Target="footnotes.xml"/><Relationship Id="rId29" Type="http://schemas.openxmlformats.org/officeDocument/2006/relationships/image" Target="media/image8.wmf"/><Relationship Id="rId28" Type="http://schemas.openxmlformats.org/officeDocument/2006/relationships/oleObject" Target="embeddings/oleObject9.bin"/><Relationship Id="rId27" Type="http://schemas.openxmlformats.org/officeDocument/2006/relationships/image" Target="media/image7.wmf"/><Relationship Id="rId26" Type="http://schemas.openxmlformats.org/officeDocument/2006/relationships/oleObject" Target="embeddings/oleObject8.bin"/><Relationship Id="rId25" Type="http://schemas.openxmlformats.org/officeDocument/2006/relationships/image" Target="media/image6.wmf"/><Relationship Id="rId24" Type="http://schemas.openxmlformats.org/officeDocument/2006/relationships/oleObject" Target="embeddings/oleObject7.bin"/><Relationship Id="rId23" Type="http://schemas.openxmlformats.org/officeDocument/2006/relationships/image" Target="media/image5.wmf"/><Relationship Id="rId22" Type="http://schemas.openxmlformats.org/officeDocument/2006/relationships/oleObject" Target="embeddings/oleObject6.bin"/><Relationship Id="rId21" Type="http://schemas.openxmlformats.org/officeDocument/2006/relationships/image" Target="media/image4.wmf"/><Relationship Id="rId20" Type="http://schemas.openxmlformats.org/officeDocument/2006/relationships/oleObject" Target="embeddings/oleObject5.bin"/><Relationship Id="rId2" Type="http://schemas.openxmlformats.org/officeDocument/2006/relationships/settings" Target="settings.xml"/><Relationship Id="rId19" Type="http://schemas.openxmlformats.org/officeDocument/2006/relationships/image" Target="media/image3.wmf"/><Relationship Id="rId18" Type="http://schemas.openxmlformats.org/officeDocument/2006/relationships/oleObject" Target="embeddings/oleObject4.bin"/><Relationship Id="rId17" Type="http://schemas.openxmlformats.org/officeDocument/2006/relationships/image" Target="media/image2.wmf"/><Relationship Id="rId16" Type="http://schemas.openxmlformats.org/officeDocument/2006/relationships/oleObject" Target="embeddings/oleObject3.bin"/><Relationship Id="rId15" Type="http://schemas.openxmlformats.org/officeDocument/2006/relationships/oleObject" Target="embeddings/oleObject2.bin"/><Relationship Id="rId14" Type="http://schemas.openxmlformats.org/officeDocument/2006/relationships/image" Target="media/image1.wmf"/><Relationship Id="rId13" Type="http://schemas.openxmlformats.org/officeDocument/2006/relationships/oleObject" Target="embeddings/oleObject1.bin"/><Relationship Id="rId12" Type="http://schemas.openxmlformats.org/officeDocument/2006/relationships/chart" Target="charts/chart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Sheet1!$M$4</c:f>
              <c:strCache>
                <c:ptCount val="1"/>
                <c:pt idx="0">
                  <c:v>土地出让收入占政府性基金收入比例</c:v>
                </c:pt>
              </c:strCache>
            </c:strRef>
          </c:tx>
          <c:spPr>
            <a:ln w="28575" cap="rnd" cmpd="sng" algn="ctr">
              <a:solidFill>
                <a:schemeClr val="accent1"/>
              </a:solidFill>
              <a:prstDash val="solid"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 cap="flat" cmpd="sng" algn="ctr">
                <a:solidFill>
                  <a:schemeClr val="accent1"/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Sheet1!$L$5:$L$13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Sheet1!$M$5:$M$13</c:f>
              <c:numCache>
                <c:formatCode>General</c:formatCode>
                <c:ptCount val="9"/>
                <c:pt idx="0">
                  <c:v>79.1</c:v>
                </c:pt>
                <c:pt idx="1">
                  <c:v>88.2</c:v>
                </c:pt>
                <c:pt idx="2">
                  <c:v>89.6</c:v>
                </c:pt>
                <c:pt idx="3">
                  <c:v>86.8</c:v>
                </c:pt>
                <c:pt idx="4">
                  <c:v>83.4</c:v>
                </c:pt>
                <c:pt idx="5">
                  <c:v>85.9</c:v>
                </c:pt>
                <c:pt idx="6">
                  <c:v>85.2</c:v>
                </c:pt>
                <c:pt idx="7">
                  <c:v>85.2</c:v>
                </c:pt>
                <c:pt idx="8">
                  <c:v>88.3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641040"/>
        <c:axId val="214641584"/>
      </c:lineChart>
      <c:lineChart>
        <c:grouping val="standard"/>
        <c:varyColors val="0"/>
        <c:ser>
          <c:idx val="1"/>
          <c:order val="1"/>
          <c:tx>
            <c:strRef>
              <c:f>Sheet1!$N$4</c:f>
              <c:strCache>
                <c:ptCount val="1"/>
                <c:pt idx="0">
                  <c:v>房地产五税占一般公共预算收入比例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square"/>
            <c:size val="5"/>
            <c:spPr>
              <a:solidFill>
                <a:schemeClr val="accent2"/>
              </a:solidFill>
              <a:ln w="9525" cap="flat" cmpd="sng" algn="ctr">
                <a:solidFill>
                  <a:schemeClr val="accent2"/>
                </a:solidFill>
                <a:prstDash val="solid"/>
                <a:round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900" b="0" i="0" u="none" strike="noStrike" kern="1200" baseline="0">
                    <a:solidFill>
                      <a:schemeClr val="tx1"/>
                    </a:solidFill>
                    <a:latin typeface="Times New Roman" panose="02020603050405020304" charset="0"/>
                    <a:ea typeface="+mn-ea"/>
                    <a:cs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Sheet1!$L$5:$L$13</c:f>
              <c:numCache>
                <c:formatCode>General</c:formatCode>
                <c:ptCount val="9"/>
                <c:pt idx="0">
                  <c:v>2008</c:v>
                </c:pt>
                <c:pt idx="1">
                  <c:v>2009</c:v>
                </c:pt>
                <c:pt idx="2">
                  <c:v>2010</c:v>
                </c:pt>
                <c:pt idx="3">
                  <c:v>2011</c:v>
                </c:pt>
                <c:pt idx="4">
                  <c:v>2012</c:v>
                </c:pt>
                <c:pt idx="5">
                  <c:v>2013</c:v>
                </c:pt>
                <c:pt idx="6">
                  <c:v>2014</c:v>
                </c:pt>
                <c:pt idx="7">
                  <c:v>2015</c:v>
                </c:pt>
                <c:pt idx="8">
                  <c:v>2016</c:v>
                </c:pt>
              </c:numCache>
            </c:numRef>
          </c:cat>
          <c:val>
            <c:numRef>
              <c:f>Sheet1!$N$5:$N$13</c:f>
              <c:numCache>
                <c:formatCode>General</c:formatCode>
                <c:ptCount val="9"/>
                <c:pt idx="0">
                  <c:v>12.8</c:v>
                </c:pt>
                <c:pt idx="1">
                  <c:v>14.8</c:v>
                </c:pt>
                <c:pt idx="2">
                  <c:v>16.1</c:v>
                </c:pt>
                <c:pt idx="3">
                  <c:v>15.7</c:v>
                </c:pt>
                <c:pt idx="4">
                  <c:v>16.6</c:v>
                </c:pt>
                <c:pt idx="5">
                  <c:v>17.8</c:v>
                </c:pt>
                <c:pt idx="6">
                  <c:v>18.2</c:v>
                </c:pt>
                <c:pt idx="7">
                  <c:v>16.9</c:v>
                </c:pt>
                <c:pt idx="8">
                  <c:v>17.2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14636688"/>
        <c:axId val="214643216"/>
      </c:lineChart>
      <c:catAx>
        <c:axId val="214641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14641584"/>
        <c:crosses val="autoZero"/>
        <c:auto val="1"/>
        <c:lblAlgn val="ctr"/>
        <c:lblOffset val="100"/>
        <c:noMultiLvlLbl val="0"/>
      </c:catAx>
      <c:valAx>
        <c:axId val="2146415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14641040"/>
        <c:crosses val="autoZero"/>
        <c:crossBetween val="between"/>
      </c:valAx>
      <c:catAx>
        <c:axId val="214636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14643216"/>
        <c:crosses val="autoZero"/>
        <c:auto val="1"/>
        <c:lblAlgn val="ctr"/>
        <c:lblOffset val="100"/>
        <c:noMultiLvlLbl val="0"/>
      </c:catAx>
      <c:valAx>
        <c:axId val="21464321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Times New Roman" panose="02020603050405020304" charset="0"/>
                <a:ea typeface="+mn-ea"/>
                <a:cs typeface="Times New Roman" panose="02020603050405020304" charset="0"/>
              </a:defRPr>
            </a:pPr>
          </a:p>
        </c:txPr>
        <c:crossAx val="214636688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C4668-E965-4034-AD67-D1A35BBA5A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381</Words>
  <Characters>2175</Characters>
  <Lines>18</Lines>
  <Paragraphs>5</Paragraphs>
  <TotalTime>3</TotalTime>
  <ScaleCrop>false</ScaleCrop>
  <LinksUpToDate>false</LinksUpToDate>
  <CharactersWithSpaces>2551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2023-07-17T11:35:00Z</dcterms:created>
  <dc:creator>冬州 梅</dc:creator>
  <cp:lastModifiedBy>刘京</cp:lastModifiedBy>
  <dcterms:modified xsi:type="dcterms:W3CDTF">2023-07-30T15:31:27Z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2052-12.1.0.15120</vt:lpwstr>
  </property>
  <property fmtid="{D5CDD505-2E9C-101B-9397-08002B2CF9AE}" pid="4" name="ICV">
    <vt:lpwstr>AE727F9E375845C38F9119BE9B6C0938_12</vt:lpwstr>
  </property>
</Properties>
</file>