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lang w:val="en-US" w:eastAsia="zh-CN"/>
        </w:rPr>
        <w:t>附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A1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 xml:space="preserve"> 稳健性检验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eastAsia="zh-CN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班级学生人数不少于50人</w:t>
      </w:r>
    </w:p>
    <w:tbl>
      <w:tblPr>
        <w:tblStyle w:val="5"/>
        <w:tblW w:w="842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4"/>
        <w:gridCol w:w="38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4604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回归类型</w:t>
            </w:r>
          </w:p>
        </w:tc>
        <w:tc>
          <w:tcPr>
            <w:tcW w:w="3819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测量误差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班级规模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学生人数不少于50人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因变量_个体</w:t>
            </w:r>
          </w:p>
        </w:tc>
        <w:tc>
          <w:tcPr>
            <w:tcW w:w="3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学业课外辅导数量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估计方法</w:t>
            </w:r>
          </w:p>
        </w:tc>
        <w:tc>
          <w:tcPr>
            <w:tcW w:w="3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一阶差分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竞争对手参加学业课外辅导的平均数量</w:t>
            </w:r>
          </w:p>
        </w:tc>
        <w:tc>
          <w:tcPr>
            <w:tcW w:w="381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0.748***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(0.096)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参加学业课外辅导的平均数量</w:t>
            </w:r>
          </w:p>
        </w:tc>
        <w:tc>
          <w:tcPr>
            <w:tcW w:w="381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II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参加学业课外辅导的平均数量</w:t>
            </w:r>
          </w:p>
        </w:tc>
        <w:tc>
          <w:tcPr>
            <w:tcW w:w="381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班级固定效应</w:t>
            </w:r>
          </w:p>
        </w:tc>
        <w:tc>
          <w:tcPr>
            <w:tcW w:w="381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样本量</w:t>
            </w:r>
          </w:p>
        </w:tc>
        <w:tc>
          <w:tcPr>
            <w:tcW w:w="381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1918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4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819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0.141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60" w:firstLineChars="200"/>
        <w:textAlignment w:val="auto"/>
        <w:rPr>
          <w:rFonts w:hint="eastAsia" w:ascii="Times New Roman" w:hAnsi="Times New Roman" w:eastAsia="仿宋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注：括号内为聚类到班级层面的稳健标准误，*</w:t>
      </w:r>
      <w:r>
        <w:rPr>
          <w:rFonts w:ascii="Times New Roman" w:hAnsi="Times New Roman" w:eastAsia="仿宋" w:cs="Times New Roman"/>
          <w:sz w:val="18"/>
          <w:szCs w:val="18"/>
        </w:rPr>
        <w:t>**</w:t>
      </w:r>
      <w:r>
        <w:rPr>
          <w:rFonts w:hint="eastAsia" w:ascii="Times New Roman" w:hAnsi="Times New Roman" w:eastAsia="仿宋" w:cs="Times New Roman"/>
          <w:sz w:val="18"/>
          <w:szCs w:val="18"/>
        </w:rPr>
        <w:t>、*</w:t>
      </w:r>
      <w:r>
        <w:rPr>
          <w:rFonts w:ascii="Times New Roman" w:hAnsi="Times New Roman" w:eastAsia="仿宋" w:cs="Times New Roman"/>
          <w:sz w:val="18"/>
          <w:szCs w:val="18"/>
        </w:rPr>
        <w:t>*</w:t>
      </w:r>
      <w:r>
        <w:rPr>
          <w:rFonts w:hint="eastAsia" w:ascii="Times New Roman" w:hAnsi="Times New Roman" w:eastAsia="仿宋" w:cs="Times New Roman"/>
          <w:sz w:val="18"/>
          <w:szCs w:val="18"/>
        </w:rPr>
        <w:t>、*分别为1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、5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和1</w:t>
      </w:r>
      <w:r>
        <w:rPr>
          <w:rFonts w:ascii="Times New Roman" w:hAnsi="Times New Roman" w:eastAsia="仿宋" w:cs="Times New Roman"/>
          <w:sz w:val="18"/>
          <w:szCs w:val="18"/>
        </w:rPr>
        <w:t>0%</w:t>
      </w:r>
      <w:r>
        <w:rPr>
          <w:rFonts w:hint="eastAsia" w:ascii="Times New Roman" w:hAnsi="Times New Roman" w:eastAsia="仿宋" w:cs="Times New Roman"/>
          <w:sz w:val="18"/>
          <w:szCs w:val="18"/>
        </w:rPr>
        <w:t>水平上显著。竞争对手为班级内“语数外”成绩相仿的同学，非竞争对手I是“语数外”成绩比之优秀的榜样，而非竞争对手I</w:t>
      </w:r>
      <w:r>
        <w:rPr>
          <w:rFonts w:ascii="Times New Roman" w:hAnsi="Times New Roman" w:eastAsia="仿宋" w:cs="Times New Roman"/>
          <w:sz w:val="18"/>
          <w:szCs w:val="18"/>
        </w:rPr>
        <w:t>I</w:t>
      </w:r>
      <w:r>
        <w:rPr>
          <w:rFonts w:hint="eastAsia" w:ascii="Times New Roman" w:hAnsi="Times New Roman" w:eastAsia="仿宋" w:cs="Times New Roman"/>
          <w:sz w:val="18"/>
          <w:szCs w:val="18"/>
        </w:rPr>
        <w:t>是“语数外”成绩比之偏低的其他同学。</w:t>
      </w:r>
      <w:r>
        <w:rPr>
          <w:rFonts w:hint="eastAsia" w:ascii="Times New Roman" w:hAnsi="Times New Roman" w:eastAsia="仿宋" w:cs="Times New Roman"/>
          <w:sz w:val="18"/>
          <w:szCs w:val="1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18"/>
          <w:szCs w:val="18"/>
          <w:lang w:val="en-US" w:eastAsia="zh-CN"/>
        </w:rPr>
        <w:t>下同</w:t>
      </w:r>
      <w:r>
        <w:rPr>
          <w:rFonts w:hint="eastAsia" w:ascii="Times New Roman" w:hAnsi="Times New Roman" w:eastAsia="仿宋" w:cs="Times New Roman"/>
          <w:sz w:val="18"/>
          <w:szCs w:val="1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A2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其他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稳健性检验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eastAsia="zh-CN"/>
        </w:rPr>
        <w:t>）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-（4）</w:t>
      </w:r>
    </w:p>
    <w:tbl>
      <w:tblPr>
        <w:tblStyle w:val="5"/>
        <w:tblW w:w="839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2"/>
        <w:gridCol w:w="1139"/>
        <w:gridCol w:w="1139"/>
        <w:gridCol w:w="1139"/>
        <w:gridCol w:w="113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回归类型</w:t>
            </w:r>
          </w:p>
        </w:tc>
        <w:tc>
          <w:tcPr>
            <w:tcW w:w="1139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替换标准误的聚类层面</w:t>
            </w:r>
          </w:p>
        </w:tc>
        <w:tc>
          <w:tcPr>
            <w:tcW w:w="1139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控制学生初始学业表现</w:t>
            </w:r>
          </w:p>
        </w:tc>
        <w:tc>
          <w:tcPr>
            <w:tcW w:w="1139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纳入学生两期家庭经济状况的变化</w:t>
            </w:r>
          </w:p>
        </w:tc>
        <w:tc>
          <w:tcPr>
            <w:tcW w:w="1139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纳入班级学生间的亲密程度变量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因变量_个体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学业课外辅导数量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估计方法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一阶差分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回归序号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(1)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(2)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)</w:t>
            </w: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竞争对手参加学业课外辅导的平均数量</w:t>
            </w:r>
          </w:p>
        </w:tc>
        <w:tc>
          <w:tcPr>
            <w:tcW w:w="113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0.6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71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(0.04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6)</w:t>
            </w:r>
          </w:p>
        </w:tc>
        <w:tc>
          <w:tcPr>
            <w:tcW w:w="113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.668***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0.052)</w:t>
            </w:r>
          </w:p>
        </w:tc>
        <w:tc>
          <w:tcPr>
            <w:tcW w:w="113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.671***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0.055)</w:t>
            </w:r>
          </w:p>
        </w:tc>
        <w:tc>
          <w:tcPr>
            <w:tcW w:w="113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0.667***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(0.051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学生7年级的“语数外”考试成绩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学生7年级和8年级家庭经济状况的变化情况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班级同学亲密程度两期的变化情况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参加学业课外辅导的平均数量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II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参加学业课外辅导的平均数量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班级固定效应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样本量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3596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596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414</w:t>
            </w:r>
          </w:p>
        </w:tc>
        <w:tc>
          <w:tcPr>
            <w:tcW w:w="1139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3596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2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50</w:t>
            </w:r>
          </w:p>
        </w:tc>
        <w:tc>
          <w:tcPr>
            <w:tcW w:w="1139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.150</w:t>
            </w:r>
          </w:p>
        </w:tc>
        <w:tc>
          <w:tcPr>
            <w:tcW w:w="1139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.156</w:t>
            </w:r>
          </w:p>
        </w:tc>
        <w:tc>
          <w:tcPr>
            <w:tcW w:w="1139" w:type="dxa"/>
            <w:tcBorders>
              <w:top w:val="nil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0.150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仿宋" w:cs="Times New Roman"/>
          <w:sz w:val="18"/>
          <w:szCs w:val="18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注：</w:t>
      </w:r>
      <w:r>
        <w:rPr>
          <w:rFonts w:hint="eastAsia" w:ascii="Times New Roman" w:hAnsi="Times New Roman" w:eastAsia="仿宋" w:cs="Times New Roman"/>
          <w:sz w:val="18"/>
          <w:szCs w:val="18"/>
          <w:lang w:val="en-US" w:eastAsia="zh-CN"/>
        </w:rPr>
        <w:t>除了第（1）列括号内为</w:t>
      </w:r>
      <w:r>
        <w:rPr>
          <w:rFonts w:hint="eastAsia" w:ascii="Times New Roman" w:hAnsi="Times New Roman" w:eastAsia="仿宋" w:cs="Times New Roman"/>
          <w:sz w:val="18"/>
          <w:szCs w:val="18"/>
        </w:rPr>
        <w:t>聚类到学校层面的稳健标准误</w:t>
      </w:r>
      <w:r>
        <w:rPr>
          <w:rFonts w:hint="eastAsia" w:ascii="Times New Roman" w:hAnsi="Times New Roman" w:eastAsia="仿宋" w:cs="Times New Roman"/>
          <w:sz w:val="18"/>
          <w:szCs w:val="18"/>
          <w:lang w:val="en-US" w:eastAsia="zh-CN"/>
        </w:rPr>
        <w:t>，其他列</w:t>
      </w:r>
      <w:r>
        <w:rPr>
          <w:rFonts w:hint="eastAsia" w:ascii="Times New Roman" w:hAnsi="Times New Roman" w:eastAsia="仿宋" w:cs="Times New Roman"/>
          <w:sz w:val="18"/>
          <w:szCs w:val="18"/>
        </w:rPr>
        <w:t>括号内为聚类到班级层面的稳健标准误，*</w:t>
      </w:r>
      <w:r>
        <w:rPr>
          <w:rFonts w:ascii="Times New Roman" w:hAnsi="Times New Roman" w:eastAsia="仿宋" w:cs="Times New Roman"/>
          <w:sz w:val="18"/>
          <w:szCs w:val="18"/>
        </w:rPr>
        <w:t>**</w:t>
      </w:r>
      <w:r>
        <w:rPr>
          <w:rFonts w:hint="eastAsia" w:ascii="Times New Roman" w:hAnsi="Times New Roman" w:eastAsia="仿宋" w:cs="Times New Roman"/>
          <w:sz w:val="18"/>
          <w:szCs w:val="18"/>
        </w:rPr>
        <w:t>、*</w:t>
      </w:r>
      <w:r>
        <w:rPr>
          <w:rFonts w:ascii="Times New Roman" w:hAnsi="Times New Roman" w:eastAsia="仿宋" w:cs="Times New Roman"/>
          <w:sz w:val="18"/>
          <w:szCs w:val="18"/>
        </w:rPr>
        <w:t>*</w:t>
      </w:r>
      <w:r>
        <w:rPr>
          <w:rFonts w:hint="eastAsia" w:ascii="Times New Roman" w:hAnsi="Times New Roman" w:eastAsia="仿宋" w:cs="Times New Roman"/>
          <w:sz w:val="18"/>
          <w:szCs w:val="18"/>
        </w:rPr>
        <w:t>、*分别为1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、5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和1</w:t>
      </w:r>
      <w:r>
        <w:rPr>
          <w:rFonts w:ascii="Times New Roman" w:hAnsi="Times New Roman" w:eastAsia="仿宋" w:cs="Times New Roman"/>
          <w:sz w:val="18"/>
          <w:szCs w:val="18"/>
        </w:rPr>
        <w:t>0%</w:t>
      </w:r>
      <w:r>
        <w:rPr>
          <w:rFonts w:hint="eastAsia" w:ascii="Times New Roman" w:hAnsi="Times New Roman" w:eastAsia="仿宋" w:cs="Times New Roman"/>
          <w:sz w:val="18"/>
          <w:szCs w:val="18"/>
        </w:rPr>
        <w:t>水平上显著。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rPr>
          <w:rFonts w:ascii="Times New Roman" w:hAnsi="Times New Roman" w:eastAsia="仿宋" w:cs="Times New Roman"/>
          <w:b/>
          <w:bCs/>
          <w:sz w:val="22"/>
          <w:szCs w:val="22"/>
        </w:rPr>
      </w:pP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A3</w:t>
      </w:r>
      <w:r>
        <w:rPr>
          <w:rFonts w:ascii="Times New Roman" w:hAnsi="Times New Roman" w:eastAsia="仿宋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其他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稳健性检验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eastAsia="zh-CN"/>
        </w:rPr>
        <w:t>）</w:t>
      </w:r>
    </w:p>
    <w:tbl>
      <w:tblPr>
        <w:tblStyle w:val="5"/>
        <w:tblW w:w="82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182"/>
        <w:gridCol w:w="1181"/>
        <w:gridCol w:w="118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估计方法</w:t>
            </w:r>
          </w:p>
        </w:tc>
        <w:tc>
          <w:tcPr>
            <w:tcW w:w="354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一阶差分（First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-order Difference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FD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因变量_个体是否参加课外辅导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语文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数学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回归序号</w:t>
            </w:r>
          </w:p>
        </w:tc>
        <w:tc>
          <w:tcPr>
            <w:tcW w:w="118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A1)</w:t>
            </w:r>
          </w:p>
        </w:tc>
        <w:tc>
          <w:tcPr>
            <w:tcW w:w="118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A2)</w:t>
            </w:r>
          </w:p>
        </w:tc>
        <w:tc>
          <w:tcPr>
            <w:tcW w:w="118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A3)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竞争对手参加语文课外辅导的比例</w:t>
            </w: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.583***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0.070)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0.047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0.098)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.275***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0.086)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非竞争对手I参加语文课外辅导的比例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参加语文课外辅导的比例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班级固定效应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样本量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353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353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.137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第（A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）与（A2）列“竞争对手参加语文课外辅导的比例”变量组间系数差异的检验：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hi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统计量（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值）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51.81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第（A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）与（A3）列“竞争对手参加语文课外辅导的比例”变量组间系数差异的检验：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hi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统计量（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值）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12.65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(0.000)</w:t>
            </w:r>
          </w:p>
        </w:tc>
        <w:tc>
          <w:tcPr>
            <w:tcW w:w="118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因变量_个体是否参加课外辅导</w:t>
            </w:r>
          </w:p>
        </w:tc>
        <w:tc>
          <w:tcPr>
            <w:tcW w:w="11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数学</w:t>
            </w:r>
          </w:p>
        </w:tc>
        <w:tc>
          <w:tcPr>
            <w:tcW w:w="11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语文</w:t>
            </w:r>
          </w:p>
        </w:tc>
        <w:tc>
          <w:tcPr>
            <w:tcW w:w="11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回归序号</w:t>
            </w:r>
          </w:p>
        </w:tc>
        <w:tc>
          <w:tcPr>
            <w:tcW w:w="1182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B1)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B2)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竞争对手参加数学课外辅导的比例</w:t>
            </w: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.701***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0.063)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.240***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0.053)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.266***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0.070)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非竞争对手I参加数学课外辅导的比例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参加数学课外辅导的比例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班级固定效应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样本量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3289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.156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.104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第（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）与（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2）列“竞争对手参加语文课外辅导的比例”变量组间系数差异的检验：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hi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统计量（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值）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38.55***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第（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）与（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B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3）列“竞争对手参加语文课外辅导的比例”变量组间系数差异的检验：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hi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统计量（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值）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26.40***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(0.000)</w:t>
            </w:r>
          </w:p>
        </w:tc>
        <w:tc>
          <w:tcPr>
            <w:tcW w:w="118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因变量_个体是否参加课外辅导</w:t>
            </w:r>
          </w:p>
        </w:tc>
        <w:tc>
          <w:tcPr>
            <w:tcW w:w="1182" w:type="dxa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英语</w:t>
            </w:r>
          </w:p>
        </w:tc>
        <w:tc>
          <w:tcPr>
            <w:tcW w:w="1181" w:type="dxa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语文</w:t>
            </w:r>
          </w:p>
        </w:tc>
        <w:tc>
          <w:tcPr>
            <w:tcW w:w="1181" w:type="dxa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回归序号</w:t>
            </w:r>
          </w:p>
        </w:tc>
        <w:tc>
          <w:tcPr>
            <w:tcW w:w="1182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C1)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C2)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竞争对手参加英语课外辅导的比例</w:t>
            </w: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.698***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0.054)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.152***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0.058)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.243***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0.073)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非竞争对手I参加英语课外辅导的比例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参加英语课外辅导的比例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班级固定效应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样本量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555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555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.155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.081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第（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）与（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2）列“竞争对手参加语文课外辅导的比例”变量组间系数差异的检验：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hi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统计量（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值）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71.06***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第（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C1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）与（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3）列“竞争对手参加语文课外辅导的比例”变量组间系数差异的检验：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hi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统计量（</w:t>
            </w: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值）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38.35***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(0.000)</w:t>
            </w:r>
          </w:p>
        </w:tc>
        <w:tc>
          <w:tcPr>
            <w:tcW w:w="118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60" w:firstLineChars="200"/>
        <w:textAlignment w:val="auto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注：括号内为聚类到班级层面的稳健标准误，*</w:t>
      </w:r>
      <w:r>
        <w:rPr>
          <w:rFonts w:ascii="Times New Roman" w:hAnsi="Times New Roman" w:eastAsia="仿宋" w:cs="Times New Roman"/>
          <w:sz w:val="18"/>
          <w:szCs w:val="18"/>
        </w:rPr>
        <w:t>**</w:t>
      </w:r>
      <w:r>
        <w:rPr>
          <w:rFonts w:hint="eastAsia" w:ascii="Times New Roman" w:hAnsi="Times New Roman" w:eastAsia="仿宋" w:cs="Times New Roman"/>
          <w:sz w:val="18"/>
          <w:szCs w:val="18"/>
        </w:rPr>
        <w:t>、*</w:t>
      </w:r>
      <w:r>
        <w:rPr>
          <w:rFonts w:ascii="Times New Roman" w:hAnsi="Times New Roman" w:eastAsia="仿宋" w:cs="Times New Roman"/>
          <w:sz w:val="18"/>
          <w:szCs w:val="18"/>
        </w:rPr>
        <w:t>*</w:t>
      </w:r>
      <w:r>
        <w:rPr>
          <w:rFonts w:hint="eastAsia" w:ascii="Times New Roman" w:hAnsi="Times New Roman" w:eastAsia="仿宋" w:cs="Times New Roman"/>
          <w:sz w:val="18"/>
          <w:szCs w:val="18"/>
        </w:rPr>
        <w:t>、*分别为1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、5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和1</w:t>
      </w:r>
      <w:r>
        <w:rPr>
          <w:rFonts w:ascii="Times New Roman" w:hAnsi="Times New Roman" w:eastAsia="仿宋" w:cs="Times New Roman"/>
          <w:sz w:val="18"/>
          <w:szCs w:val="18"/>
        </w:rPr>
        <w:t>0%</w:t>
      </w:r>
      <w:r>
        <w:rPr>
          <w:rFonts w:hint="eastAsia" w:ascii="Times New Roman" w:hAnsi="Times New Roman" w:eastAsia="仿宋" w:cs="Times New Roman"/>
          <w:sz w:val="18"/>
          <w:szCs w:val="18"/>
        </w:rPr>
        <w:t>水平上显著。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A4</w:t>
      </w:r>
      <w:r>
        <w:rPr>
          <w:rFonts w:ascii="Times New Roman" w:hAnsi="Times New Roman" w:eastAsia="仿宋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重新定义学生的学业成绩是否优良：利用学生家长问卷</w:t>
      </w:r>
    </w:p>
    <w:tbl>
      <w:tblPr>
        <w:tblStyle w:val="5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913"/>
        <w:gridCol w:w="191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因变量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_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个体</w:t>
            </w:r>
          </w:p>
        </w:tc>
        <w:tc>
          <w:tcPr>
            <w:tcW w:w="5812" w:type="dxa"/>
            <w:gridSpan w:val="3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学业课外辅导数量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估计方法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一阶差分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回归样本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学生样本：成绩较差，但有成绩优良的好朋友I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学生样本：成绩较差，但有成绩优良的好朋友I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I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学生样本：成绩较差，但有成绩优良的好朋友I，且两期好朋友数量不多于5个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回归序号</w:t>
            </w:r>
          </w:p>
        </w:tc>
        <w:tc>
          <w:tcPr>
            <w:tcW w:w="191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(1)</w:t>
            </w:r>
          </w:p>
        </w:tc>
        <w:tc>
          <w:tcPr>
            <w:tcW w:w="191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(2)</w:t>
            </w:r>
          </w:p>
        </w:tc>
        <w:tc>
          <w:tcPr>
            <w:tcW w:w="198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竞争对手参加学业课外辅导的平均数量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0.772***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(0.122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0.692**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(0.292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0.798***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(0.232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I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参加学业课外辅导的平均数量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-0.027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(0.204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0.177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(0.498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-0.511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(0.609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II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参加学业课外辅导的平均数量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-0.138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(0.245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0.361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(0.458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0.318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(0.618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班级固定效应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样本量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1612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370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21"/>
                <w:szCs w:val="21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0.209</w:t>
            </w:r>
          </w:p>
        </w:tc>
        <w:tc>
          <w:tcPr>
            <w:tcW w:w="1914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0.485</w:t>
            </w:r>
          </w:p>
        </w:tc>
        <w:tc>
          <w:tcPr>
            <w:tcW w:w="1985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0.539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60" w:firstLineChars="200"/>
        <w:textAlignment w:val="auto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注：括号内为聚类到班级层面的稳健标准误，*</w:t>
      </w:r>
      <w:r>
        <w:rPr>
          <w:rFonts w:ascii="Times New Roman" w:hAnsi="Times New Roman" w:eastAsia="仿宋" w:cs="Times New Roman"/>
          <w:sz w:val="18"/>
          <w:szCs w:val="18"/>
        </w:rPr>
        <w:t>**</w:t>
      </w:r>
      <w:r>
        <w:rPr>
          <w:rFonts w:hint="eastAsia" w:ascii="Times New Roman" w:hAnsi="Times New Roman" w:eastAsia="仿宋" w:cs="Times New Roman"/>
          <w:sz w:val="18"/>
          <w:szCs w:val="18"/>
        </w:rPr>
        <w:t>、*</w:t>
      </w:r>
      <w:r>
        <w:rPr>
          <w:rFonts w:ascii="Times New Roman" w:hAnsi="Times New Roman" w:eastAsia="仿宋" w:cs="Times New Roman"/>
          <w:sz w:val="18"/>
          <w:szCs w:val="18"/>
        </w:rPr>
        <w:t>*</w:t>
      </w:r>
      <w:r>
        <w:rPr>
          <w:rFonts w:hint="eastAsia" w:ascii="Times New Roman" w:hAnsi="Times New Roman" w:eastAsia="仿宋" w:cs="Times New Roman"/>
          <w:sz w:val="18"/>
          <w:szCs w:val="18"/>
        </w:rPr>
        <w:t>、*分别为1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、5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和1</w:t>
      </w:r>
      <w:r>
        <w:rPr>
          <w:rFonts w:ascii="Times New Roman" w:hAnsi="Times New Roman" w:eastAsia="仿宋" w:cs="Times New Roman"/>
          <w:sz w:val="18"/>
          <w:szCs w:val="18"/>
        </w:rPr>
        <w:t>0%</w:t>
      </w:r>
      <w:r>
        <w:rPr>
          <w:rFonts w:hint="eastAsia" w:ascii="Times New Roman" w:hAnsi="Times New Roman" w:eastAsia="仿宋" w:cs="Times New Roman"/>
          <w:sz w:val="18"/>
          <w:szCs w:val="18"/>
        </w:rPr>
        <w:t>水平上显著。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22"/>
          <w:szCs w:val="22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A5</w:t>
      </w:r>
      <w:r>
        <w:rPr>
          <w:rFonts w:ascii="Times New Roman" w:hAnsi="Times New Roman" w:eastAsia="仿宋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2"/>
          <w:szCs w:val="22"/>
          <w:lang w:val="en-US" w:eastAsia="zh-CN"/>
        </w:rPr>
        <w:t>限定班级规模：学生人数不少于25人的班级样本</w:t>
      </w:r>
    </w:p>
    <w:tbl>
      <w:tblPr>
        <w:tblStyle w:val="5"/>
        <w:tblW w:w="864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956"/>
        <w:gridCol w:w="957"/>
        <w:gridCol w:w="957"/>
        <w:gridCol w:w="95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回归样本</w:t>
            </w:r>
          </w:p>
        </w:tc>
        <w:tc>
          <w:tcPr>
            <w:tcW w:w="3827" w:type="dxa"/>
            <w:gridSpan w:val="4"/>
            <w:tcBorders>
              <w:top w:val="doub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2014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和2015年C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EPS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数据_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年级和8年级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因变量_个体两期的差值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学习语文难度</w:t>
            </w: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学习数学难度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学习英语难度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认知能力分数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回归序号</w:t>
            </w:r>
          </w:p>
        </w:tc>
        <w:tc>
          <w:tcPr>
            <w:tcW w:w="956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(1)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(2)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(3)</w:t>
            </w:r>
          </w:p>
        </w:tc>
        <w:tc>
          <w:tcPr>
            <w:tcW w:w="95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(4)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学生参加学业课外辅导数量受竞争对手的影响程度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0.001)</w:t>
            </w: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0.002)</w:t>
            </w: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.003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0.002)</w:t>
            </w: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0.000)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学生参加学业课外辅导数量受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非竞争对手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的影响程度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班级特征变量_班主任和任课老师是否发生变化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校级固定效应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样本量</w:t>
            </w:r>
          </w:p>
        </w:tc>
        <w:tc>
          <w:tcPr>
            <w:tcW w:w="956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135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142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138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1"/>
                <w:szCs w:val="21"/>
              </w:rPr>
              <w:t>149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60" w:firstLineChars="200"/>
        <w:textAlignment w:val="auto"/>
        <w:rPr>
          <w:rFonts w:ascii="Times New Roman" w:hAnsi="Times New Roman" w:eastAsia="仿宋" w:cs="Times New Roman"/>
          <w:sz w:val="18"/>
          <w:szCs w:val="18"/>
        </w:rPr>
      </w:pPr>
      <w:r>
        <w:rPr>
          <w:rFonts w:hint="eastAsia" w:ascii="Times New Roman" w:hAnsi="Times New Roman" w:eastAsia="仿宋" w:cs="Times New Roman"/>
          <w:sz w:val="18"/>
          <w:szCs w:val="18"/>
        </w:rPr>
        <w:t>注：括号内为聚类到班级层面的稳健标准误，*</w:t>
      </w:r>
      <w:r>
        <w:rPr>
          <w:rFonts w:ascii="Times New Roman" w:hAnsi="Times New Roman" w:eastAsia="仿宋" w:cs="Times New Roman"/>
          <w:sz w:val="18"/>
          <w:szCs w:val="18"/>
        </w:rPr>
        <w:t>**</w:t>
      </w:r>
      <w:r>
        <w:rPr>
          <w:rFonts w:hint="eastAsia" w:ascii="Times New Roman" w:hAnsi="Times New Roman" w:eastAsia="仿宋" w:cs="Times New Roman"/>
          <w:sz w:val="18"/>
          <w:szCs w:val="18"/>
        </w:rPr>
        <w:t>、*</w:t>
      </w:r>
      <w:r>
        <w:rPr>
          <w:rFonts w:ascii="Times New Roman" w:hAnsi="Times New Roman" w:eastAsia="仿宋" w:cs="Times New Roman"/>
          <w:sz w:val="18"/>
          <w:szCs w:val="18"/>
        </w:rPr>
        <w:t>*</w:t>
      </w:r>
      <w:r>
        <w:rPr>
          <w:rFonts w:hint="eastAsia" w:ascii="Times New Roman" w:hAnsi="Times New Roman" w:eastAsia="仿宋" w:cs="Times New Roman"/>
          <w:sz w:val="18"/>
          <w:szCs w:val="18"/>
        </w:rPr>
        <w:t>、*分别为1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、5</w:t>
      </w:r>
      <w:r>
        <w:rPr>
          <w:rFonts w:ascii="Times New Roman" w:hAnsi="Times New Roman" w:eastAsia="仿宋" w:cs="Times New Roman"/>
          <w:sz w:val="18"/>
          <w:szCs w:val="18"/>
        </w:rPr>
        <w:t>%</w:t>
      </w:r>
      <w:r>
        <w:rPr>
          <w:rFonts w:hint="eastAsia" w:ascii="Times New Roman" w:hAnsi="Times New Roman" w:eastAsia="仿宋" w:cs="Times New Roman"/>
          <w:sz w:val="18"/>
          <w:szCs w:val="18"/>
        </w:rPr>
        <w:t>和1</w:t>
      </w:r>
      <w:r>
        <w:rPr>
          <w:rFonts w:ascii="Times New Roman" w:hAnsi="Times New Roman" w:eastAsia="仿宋" w:cs="Times New Roman"/>
          <w:sz w:val="18"/>
          <w:szCs w:val="18"/>
        </w:rPr>
        <w:t>0%</w:t>
      </w:r>
      <w:r>
        <w:rPr>
          <w:rFonts w:hint="eastAsia" w:ascii="Times New Roman" w:hAnsi="Times New Roman" w:eastAsia="仿宋" w:cs="Times New Roman"/>
          <w:sz w:val="18"/>
          <w:szCs w:val="18"/>
        </w:rPr>
        <w:t>水平上显著。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" w:leftChars="-1" w:hanging="1"/>
        <w:textAlignment w:val="auto"/>
        <w:rPr>
          <w:rFonts w:hint="eastAsia" w:ascii="Calibri" w:hAnsi="Calibri" w:cs="Times New Roman"/>
          <w:b/>
          <w:color w:val="auto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" w:leftChars="-1" w:hanging="1"/>
        <w:textAlignment w:val="auto"/>
        <w:rPr>
          <w:rFonts w:hint="eastAsia" w:ascii="Calibri" w:hAnsi="Calibri" w:cs="Times New Roman"/>
          <w:b/>
          <w:color w:val="auto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" w:leftChars="-1" w:hanging="1"/>
        <w:textAlignment w:val="auto"/>
        <w:rPr>
          <w:rFonts w:hint="eastAsia" w:ascii="Calibri" w:hAnsi="Calibri" w:cs="Times New Roman"/>
          <w:b/>
          <w:color w:val="auto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" w:leftChars="-1" w:hanging="1"/>
        <w:textAlignment w:val="auto"/>
        <w:rPr>
          <w:rFonts w:hint="eastAsia" w:ascii="Calibri" w:hAnsi="Calibri" w:cs="Times New Roman"/>
          <w:b/>
          <w:color w:val="auto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" w:leftChars="-1" w:hanging="1"/>
        <w:textAlignment w:val="auto"/>
        <w:rPr>
          <w:rFonts w:hint="eastAsia" w:ascii="Calibri" w:hAnsi="Calibri" w:cs="Times New Roman"/>
          <w:b/>
          <w:color w:val="auto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" w:leftChars="-1" w:hanging="1"/>
        <w:textAlignment w:val="auto"/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default" w:eastAsia="仿宋"/>
        <w:sz w:val="18"/>
        <w:szCs w:val="18"/>
        <w:lang w:val="en-US" w:eastAsia="zh-CN"/>
      </w:rPr>
    </w:pPr>
    <w:r>
      <w:rPr>
        <w:rFonts w:hint="eastAsia" w:ascii="Times New Roman" w:hAnsi="Times New Roman" w:eastAsia="仿宋" w:cs="Times New Roman"/>
        <w:b/>
        <w:bCs/>
        <w:sz w:val="18"/>
        <w:szCs w:val="18"/>
        <w:lang w:eastAsia="zh-CN"/>
      </w:rPr>
      <w:t>《</w:t>
    </w:r>
    <w:r>
      <w:rPr>
        <w:rFonts w:hint="eastAsia" w:ascii="Times New Roman" w:hAnsi="Times New Roman" w:eastAsia="仿宋" w:cs="Times New Roman"/>
        <w:b/>
        <w:bCs/>
        <w:sz w:val="18"/>
        <w:szCs w:val="18"/>
        <w:lang w:val="en-US" w:eastAsia="zh-CN"/>
      </w:rPr>
      <w:t xml:space="preserve">经济学》（季刊）                </w:t>
    </w:r>
    <w:r>
      <w:rPr>
        <w:rFonts w:hint="default" w:ascii="Times New Roman" w:hAnsi="Times New Roman" w:eastAsia="仿宋" w:cs="Times New Roman"/>
        <w:b/>
        <w:bCs/>
        <w:sz w:val="18"/>
        <w:szCs w:val="18"/>
      </w:rPr>
      <w:t>课外辅导热：竞争压力与同伴效应</w:t>
    </w:r>
    <w:r>
      <w:rPr>
        <w:rFonts w:hint="eastAsia" w:ascii="Times New Roman" w:hAnsi="Times New Roman" w:eastAsia="仿宋" w:cs="Times New Roman"/>
        <w:b/>
        <w:bCs/>
        <w:sz w:val="18"/>
        <w:szCs w:val="18"/>
        <w:lang w:val="en-US" w:eastAsia="zh-CN"/>
      </w:rPr>
      <w:t xml:space="preserve">               第23卷第4期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TY5MzAxODJhZDAxMGMwZGQwZTA0ZDg0NjA2ZDkifQ=="/>
  </w:docVars>
  <w:rsids>
    <w:rsidRoot w:val="00000000"/>
    <w:rsid w:val="12F9603C"/>
    <w:rsid w:val="13855A2D"/>
    <w:rsid w:val="1A2F0409"/>
    <w:rsid w:val="338E617B"/>
    <w:rsid w:val="449C6A74"/>
    <w:rsid w:val="48964299"/>
    <w:rsid w:val="58EE0B11"/>
    <w:rsid w:val="5BDE39BF"/>
    <w:rsid w:val="729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1814</Words>
  <Characters>2505</Characters>
  <Lines>0</Lines>
  <Paragraphs>0</Paragraphs>
  <TotalTime>2</TotalTime>
  <ScaleCrop>false</ScaleCrop>
  <LinksUpToDate>false</LinksUpToDate>
  <CharactersWithSpaces>2511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2023-07-16T14:13:00Z</dcterms:created>
  <dc:creator>chang</dc:creator>
  <cp:lastModifiedBy>刘京</cp:lastModifiedBy>
  <dcterms:modified xsi:type="dcterms:W3CDTF">2023-07-26T16:41:13Z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0B39D262739944D59744F02B1B9C1346_12</vt:lpwstr>
  </property>
</Properties>
</file>