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从“主动负债”到“被动负债”：中央监管转变下的</w:t>
      </w:r>
    </w:p>
    <w:p>
      <w:pPr>
        <w:autoSpaceDE w:val="0"/>
        <w:autoSpaceDN w:val="0"/>
        <w:adjustRightInd w:val="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隐性债务扩张变化</w:t>
      </w:r>
    </w:p>
    <w:p>
      <w:pPr>
        <w:autoSpaceDE w:val="0"/>
        <w:autoSpaceDN w:val="0"/>
        <w:adjustRightInd w:val="0"/>
        <w:jc w:val="center"/>
        <w:rPr>
          <w:rFonts w:hint="eastAsia" w:ascii="宋体" w:hAnsi="宋体"/>
          <w:sz w:val="44"/>
          <w:szCs w:val="28"/>
        </w:rPr>
      </w:pPr>
    </w:p>
    <w:p>
      <w:pPr>
        <w:autoSpaceDE w:val="0"/>
        <w:autoSpaceDN w:val="0"/>
        <w:adjustRightInd w:val="0"/>
        <w:jc w:val="center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 xml:space="preserve">聂卓 </w:t>
      </w:r>
      <w:r>
        <w:rPr>
          <w:rFonts w:hint="eastAsia" w:ascii="楷体" w:hAnsi="楷体" w:eastAsia="楷体"/>
          <w:sz w:val="28"/>
          <w:szCs w:val="28"/>
        </w:rPr>
        <w:t>刘松瑞</w:t>
      </w:r>
      <w:r>
        <w:rPr>
          <w:rFonts w:ascii="楷体" w:hAnsi="楷体" w:eastAsia="楷体"/>
          <w:sz w:val="28"/>
          <w:szCs w:val="28"/>
        </w:rPr>
        <w:t xml:space="preserve"> 玄威</w:t>
      </w:r>
    </w:p>
    <w:p>
      <w:pPr>
        <w:rPr>
          <w:rFonts w:hint="eastAsia"/>
        </w:rPr>
      </w:pPr>
    </w:p>
    <w:p/>
    <w:p/>
    <w:sdt>
      <w:sdtPr>
        <w:rPr>
          <w:rFonts w:hint="default" w:ascii="仿宋" w:hAnsi="仿宋" w:eastAsia="仿宋" w:cs="仿宋"/>
          <w:b/>
          <w:bCs/>
          <w:sz w:val="28"/>
          <w:szCs w:val="28"/>
          <w:lang w:val="en-US"/>
        </w:rPr>
        <w:id w:val="-1712729176"/>
        <w:docPartObj>
          <w:docPartGallery w:val="Table of Contents"/>
          <w:docPartUnique/>
        </w:docPartObj>
      </w:sdtPr>
      <w:sdtEndPr>
        <w:rPr>
          <w:rFonts w:hint="eastAsia" w:ascii="仿宋" w:hAnsi="仿宋" w:eastAsia="仿宋" w:cs="仿宋"/>
          <w:i w:val="0"/>
          <w:iCs w:val="0"/>
          <w:sz w:val="22"/>
          <w:szCs w:val="22"/>
          <w:lang w:val="zh-CN"/>
        </w:rPr>
      </w:sdtEndPr>
      <w:sdtContent>
        <w:p>
          <w:pPr>
            <w:pStyle w:val="17"/>
            <w:spacing w:line="240" w:lineRule="auto"/>
            <w:ind w:firstLine="643"/>
            <w:jc w:val="center"/>
            <w:rPr>
              <w:rFonts w:hint="eastAsia" w:ascii="仿宋" w:hAnsi="仿宋" w:eastAsia="仿宋" w:cs="仿宋"/>
              <w:b/>
              <w:bCs/>
              <w:sz w:val="28"/>
              <w:szCs w:val="28"/>
              <w:lang w:val="en-US" w:eastAsia="zh-CN"/>
            </w:rPr>
          </w:pPr>
          <w:r>
            <w:rPr>
              <w:rFonts w:hint="eastAsia" w:ascii="仿宋" w:hAnsi="仿宋" w:eastAsia="仿宋" w:cs="仿宋"/>
              <w:b/>
              <w:bCs/>
              <w:sz w:val="28"/>
              <w:szCs w:val="28"/>
              <w:lang w:val="en-US" w:eastAsia="zh-CN"/>
            </w:rPr>
            <w:t>目录</w:t>
          </w:r>
        </w:p>
        <w:p>
          <w:pPr>
            <w:pStyle w:val="6"/>
            <w:tabs>
              <w:tab w:val="right" w:leader="dot" w:pos="8306"/>
            </w:tabs>
            <w:rPr>
              <w:rFonts w:hint="eastAsia" w:ascii="仿宋" w:hAnsi="仿宋" w:eastAsia="仿宋" w:cs="仿宋"/>
              <w:i w:val="0"/>
              <w:iCs w:val="0"/>
              <w:sz w:val="22"/>
              <w:szCs w:val="22"/>
            </w:rPr>
          </w:pPr>
          <w:r>
            <w:rPr>
              <w:rFonts w:hint="eastAsia" w:ascii="仿宋" w:hAnsi="仿宋" w:eastAsia="仿宋" w:cs="仿宋"/>
              <w:i w:val="0"/>
              <w:iCs w:val="0"/>
              <w:sz w:val="22"/>
              <w:szCs w:val="22"/>
            </w:rPr>
            <w:t>附录I</w:t>
          </w:r>
          <w:r>
            <w:rPr>
              <w:rFonts w:hint="eastAsia" w:ascii="仿宋" w:hAnsi="仿宋" w:eastAsia="仿宋" w:cs="仿宋"/>
              <w:i w:val="0"/>
              <w:iCs w:val="0"/>
              <w:sz w:val="22"/>
              <w:szCs w:val="22"/>
              <w:lang w:val="en-US" w:eastAsia="zh-CN"/>
            </w:rPr>
            <w:t xml:space="preserve"> </w:t>
          </w:r>
          <w:r>
            <w:rPr>
              <w:rFonts w:hint="eastAsia" w:ascii="仿宋" w:hAnsi="仿宋" w:eastAsia="仿宋" w:cs="仿宋"/>
              <w:i w:val="0"/>
              <w:iCs w:val="0"/>
              <w:sz w:val="22"/>
              <w:szCs w:val="22"/>
            </w:rPr>
            <w:t xml:space="preserve"> 附图</w:t>
          </w:r>
          <w:r>
            <w:rPr>
              <w:rFonts w:hint="eastAsia" w:ascii="仿宋" w:hAnsi="仿宋" w:eastAsia="仿宋" w:cs="仿宋"/>
              <w:i w:val="0"/>
              <w:iCs w:val="0"/>
              <w:sz w:val="22"/>
              <w:szCs w:val="22"/>
            </w:rPr>
            <w:tab/>
          </w:r>
          <w:r>
            <w:rPr>
              <w:rFonts w:hint="eastAsia" w:ascii="仿宋" w:hAnsi="仿宋" w:eastAsia="仿宋" w:cs="仿宋"/>
              <w:i w:val="0"/>
              <w:iCs w:val="0"/>
              <w:sz w:val="22"/>
              <w:szCs w:val="22"/>
              <w:lang w:val="zh-CN"/>
            </w:rPr>
            <w:t>1</w:t>
          </w:r>
        </w:p>
        <w:p>
          <w:pPr>
            <w:pStyle w:val="6"/>
            <w:tabs>
              <w:tab w:val="right" w:leader="dot" w:pos="8306"/>
            </w:tabs>
            <w:rPr>
              <w:rFonts w:hint="eastAsia" w:ascii="仿宋" w:hAnsi="仿宋" w:eastAsia="仿宋" w:cs="仿宋"/>
              <w:i w:val="0"/>
              <w:iCs w:val="0"/>
              <w:sz w:val="22"/>
              <w:szCs w:val="22"/>
            </w:rPr>
          </w:pPr>
          <w:r>
            <w:rPr>
              <w:rFonts w:hint="eastAsia" w:ascii="仿宋" w:hAnsi="仿宋" w:eastAsia="仿宋" w:cs="仿宋"/>
              <w:i w:val="0"/>
              <w:iCs w:val="0"/>
              <w:sz w:val="22"/>
              <w:szCs w:val="22"/>
            </w:rPr>
            <w:t>附录II 替换严监管年份的结果</w:t>
          </w:r>
          <w:r>
            <w:rPr>
              <w:rFonts w:hint="eastAsia" w:ascii="仿宋" w:hAnsi="仿宋" w:eastAsia="仿宋" w:cs="仿宋"/>
              <w:i w:val="0"/>
              <w:iCs w:val="0"/>
              <w:sz w:val="22"/>
              <w:szCs w:val="22"/>
            </w:rPr>
            <w:tab/>
          </w:r>
          <w:r>
            <w:rPr>
              <w:rFonts w:hint="eastAsia" w:ascii="仿宋" w:hAnsi="仿宋" w:eastAsia="仿宋" w:cs="仿宋"/>
              <w:i w:val="0"/>
              <w:iCs w:val="0"/>
              <w:sz w:val="22"/>
              <w:szCs w:val="22"/>
              <w:lang w:val="en-US" w:eastAsia="zh-CN"/>
            </w:rPr>
            <w:t>3</w:t>
          </w:r>
          <w:bookmarkStart w:id="4" w:name="_GoBack"/>
          <w:bookmarkEnd w:id="4"/>
        </w:p>
      </w:sdtContent>
    </w:sdt>
    <w:p>
      <w:pPr>
        <w:rPr>
          <w:rFonts w:hint="eastAsia" w:ascii="等线 Light" w:hAnsi="等线 Light" w:eastAsia="等线 Light"/>
          <w:color w:val="000000"/>
          <w:sz w:val="24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楷体" w:hAnsi="楷体" w:eastAsia="楷体" w:cs="楷体"/>
          <w:color w:val="000000"/>
          <w:sz w:val="28"/>
          <w:szCs w:val="24"/>
        </w:rPr>
      </w:pPr>
      <w:r>
        <w:rPr>
          <w:rFonts w:hint="eastAsia" w:ascii="楷体" w:hAnsi="楷体" w:eastAsia="楷体" w:cs="楷体"/>
          <w:color w:val="000000"/>
          <w:sz w:val="28"/>
          <w:szCs w:val="24"/>
        </w:rPr>
        <w:t>附录I 附图</w:t>
      </w:r>
    </w:p>
    <w:p>
      <w:pPr>
        <w:rPr>
          <w:rFonts w:ascii="等线 Light" w:hAnsi="等线 Light" w:eastAsia="等线 Light"/>
          <w:color w:val="000000"/>
        </w:rPr>
      </w:pPr>
    </w:p>
    <w:p>
      <w:pPr>
        <w:keepNext/>
      </w:pPr>
      <w:r>
        <w:rPr>
          <w:rFonts w:hint="eastAsia"/>
        </w:rPr>
        <w:drawing>
          <wp:inline distT="0" distB="0" distL="0" distR="0">
            <wp:extent cx="5270500" cy="3515360"/>
            <wp:effectExtent l="0" t="0" r="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51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 w:cs="宋体"/>
          <w:b/>
          <w:bCs/>
          <w:sz w:val="20"/>
          <w:szCs w:val="21"/>
        </w:rPr>
      </w:pPr>
      <w:bookmarkStart w:id="0" w:name="_Ref71016364"/>
      <w:r>
        <w:rPr>
          <w:rFonts w:hint="eastAsia" w:ascii="宋体" w:hAnsi="宋体" w:eastAsia="宋体" w:cs="宋体"/>
          <w:b/>
          <w:bCs/>
          <w:sz w:val="20"/>
          <w:szCs w:val="21"/>
        </w:rPr>
        <w:t>图 A</w:t>
      </w:r>
      <w:r>
        <w:rPr>
          <w:rFonts w:hint="eastAsia" w:ascii="宋体" w:hAnsi="宋体" w:eastAsia="宋体" w:cs="宋体"/>
          <w:b/>
          <w:bCs/>
          <w:sz w:val="20"/>
          <w:szCs w:val="21"/>
        </w:rPr>
        <w:fldChar w:fldCharType="begin"/>
      </w:r>
      <w:r>
        <w:rPr>
          <w:rFonts w:hint="eastAsia" w:ascii="宋体" w:hAnsi="宋体" w:eastAsia="宋体" w:cs="宋体"/>
          <w:b/>
          <w:bCs/>
          <w:sz w:val="20"/>
          <w:szCs w:val="21"/>
        </w:rPr>
        <w:instrText xml:space="preserve"> SEQ 图 \* ARABIC </w:instrText>
      </w:r>
      <w:r>
        <w:rPr>
          <w:rFonts w:hint="eastAsia" w:ascii="宋体" w:hAnsi="宋体" w:eastAsia="宋体" w:cs="宋体"/>
          <w:b/>
          <w:bCs/>
          <w:sz w:val="20"/>
          <w:szCs w:val="21"/>
        </w:rPr>
        <w:fldChar w:fldCharType="separate"/>
      </w:r>
      <w:r>
        <w:rPr>
          <w:rFonts w:hint="eastAsia" w:ascii="宋体" w:hAnsi="宋体" w:eastAsia="宋体" w:cs="宋体"/>
          <w:b/>
          <w:bCs/>
          <w:sz w:val="20"/>
          <w:szCs w:val="21"/>
        </w:rPr>
        <w:t>1</w:t>
      </w:r>
      <w:r>
        <w:rPr>
          <w:rFonts w:hint="eastAsia" w:ascii="宋体" w:hAnsi="宋体" w:eastAsia="宋体" w:cs="宋体"/>
          <w:b/>
          <w:bCs/>
          <w:sz w:val="20"/>
          <w:szCs w:val="21"/>
        </w:rPr>
        <w:fldChar w:fldCharType="end"/>
      </w:r>
      <w:bookmarkEnd w:id="0"/>
      <w:r>
        <w:rPr>
          <w:rFonts w:hint="eastAsia" w:ascii="宋体" w:hAnsi="宋体" w:eastAsia="宋体" w:cs="宋体"/>
          <w:b/>
          <w:bCs/>
          <w:sz w:val="20"/>
          <w:szCs w:val="21"/>
        </w:rPr>
        <w:t xml:space="preserve"> 2007-2018年人均融资平台有息负债增量变化趋势</w:t>
      </w:r>
    </w:p>
    <w:p>
      <w:pPr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</w:rPr>
        <w:t>注：图中使用的数据来自曹婧等（2019）公开的融资平台债务数据。图中人均融资平台有息负债增量 = （全国当年融资平台有息负债 – 全国上年融资平台有息负债）/ 当年全国人口。</w:t>
      </w:r>
    </w:p>
    <w:p>
      <w:pPr>
        <w:keepNext/>
      </w:pPr>
      <w:r>
        <w:drawing>
          <wp:inline distT="0" distB="0" distL="0" distR="0">
            <wp:extent cx="5270500" cy="3515360"/>
            <wp:effectExtent l="0" t="0" r="0" b="25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51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 w:cs="宋体"/>
          <w:b/>
          <w:bCs/>
          <w:sz w:val="20"/>
          <w:szCs w:val="21"/>
        </w:rPr>
      </w:pPr>
      <w:bookmarkStart w:id="1" w:name="_Ref71016712"/>
      <w:r>
        <w:rPr>
          <w:rFonts w:hint="eastAsia" w:ascii="宋体" w:hAnsi="宋体" w:eastAsia="宋体" w:cs="宋体"/>
          <w:b/>
          <w:bCs/>
          <w:sz w:val="20"/>
          <w:szCs w:val="21"/>
        </w:rPr>
        <w:t>图 A</w:t>
      </w:r>
      <w:r>
        <w:rPr>
          <w:rFonts w:hint="eastAsia" w:ascii="宋体" w:hAnsi="宋体" w:eastAsia="宋体" w:cs="宋体"/>
          <w:b/>
          <w:bCs/>
          <w:sz w:val="20"/>
          <w:szCs w:val="21"/>
        </w:rPr>
        <w:fldChar w:fldCharType="begin"/>
      </w:r>
      <w:r>
        <w:rPr>
          <w:rFonts w:hint="eastAsia" w:ascii="宋体" w:hAnsi="宋体" w:eastAsia="宋体" w:cs="宋体"/>
          <w:b/>
          <w:bCs/>
          <w:sz w:val="20"/>
          <w:szCs w:val="21"/>
        </w:rPr>
        <w:instrText xml:space="preserve"> SEQ 图 \* ARABIC </w:instrText>
      </w:r>
      <w:r>
        <w:rPr>
          <w:rFonts w:hint="eastAsia" w:ascii="宋体" w:hAnsi="宋体" w:eastAsia="宋体" w:cs="宋体"/>
          <w:b/>
          <w:bCs/>
          <w:sz w:val="20"/>
          <w:szCs w:val="21"/>
        </w:rPr>
        <w:fldChar w:fldCharType="separate"/>
      </w:r>
      <w:r>
        <w:rPr>
          <w:rFonts w:hint="eastAsia" w:ascii="宋体" w:hAnsi="宋体" w:eastAsia="宋体" w:cs="宋体"/>
          <w:b/>
          <w:bCs/>
          <w:sz w:val="20"/>
          <w:szCs w:val="21"/>
        </w:rPr>
        <w:t>2</w:t>
      </w:r>
      <w:r>
        <w:rPr>
          <w:rFonts w:hint="eastAsia" w:ascii="宋体" w:hAnsi="宋体" w:eastAsia="宋体" w:cs="宋体"/>
          <w:b/>
          <w:bCs/>
          <w:sz w:val="20"/>
          <w:szCs w:val="21"/>
        </w:rPr>
        <w:fldChar w:fldCharType="end"/>
      </w:r>
      <w:bookmarkEnd w:id="1"/>
      <w:r>
        <w:rPr>
          <w:rFonts w:hint="eastAsia" w:ascii="宋体" w:hAnsi="宋体" w:eastAsia="宋体" w:cs="宋体"/>
          <w:b/>
          <w:bCs/>
          <w:sz w:val="20"/>
          <w:szCs w:val="21"/>
        </w:rPr>
        <w:t xml:space="preserve"> 2007-2018年不同用途城投债发行变化趋势</w:t>
      </w:r>
    </w:p>
    <w:p>
      <w:pPr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</w:rPr>
        <w:t>注：图中使用的数据来自曹婧等（2019）公开的融资平台债务数据。</w:t>
      </w:r>
    </w:p>
    <w:p>
      <w:pPr>
        <w:rPr>
          <w:rFonts w:hint="eastAsia" w:ascii="等线 Light" w:hAnsi="等线 Light" w:eastAsia="等线 Light"/>
          <w:color w:val="000000"/>
        </w:rPr>
      </w:pPr>
    </w:p>
    <w:p>
      <w:pPr>
        <w:keepNext/>
      </w:pPr>
      <w:r>
        <w:drawing>
          <wp:inline distT="0" distB="0" distL="0" distR="0">
            <wp:extent cx="5270500" cy="3513455"/>
            <wp:effectExtent l="0" t="0" r="0" b="444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51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 w:cs="宋体"/>
          <w:b/>
          <w:bCs/>
          <w:sz w:val="20"/>
          <w:szCs w:val="21"/>
        </w:rPr>
      </w:pPr>
      <w:bookmarkStart w:id="2" w:name="_Ref71017194"/>
      <w:r>
        <w:rPr>
          <w:rFonts w:hint="eastAsia" w:ascii="宋体" w:hAnsi="宋体" w:eastAsia="宋体" w:cs="宋体"/>
          <w:b/>
          <w:bCs/>
          <w:sz w:val="20"/>
          <w:szCs w:val="21"/>
        </w:rPr>
        <w:t>图 A</w:t>
      </w:r>
      <w:r>
        <w:rPr>
          <w:rFonts w:hint="eastAsia" w:ascii="宋体" w:hAnsi="宋体" w:eastAsia="宋体" w:cs="宋体"/>
          <w:b/>
          <w:bCs/>
          <w:sz w:val="20"/>
          <w:szCs w:val="21"/>
        </w:rPr>
        <w:fldChar w:fldCharType="begin"/>
      </w:r>
      <w:r>
        <w:rPr>
          <w:rFonts w:hint="eastAsia" w:ascii="宋体" w:hAnsi="宋体" w:eastAsia="宋体" w:cs="宋体"/>
          <w:b/>
          <w:bCs/>
          <w:sz w:val="20"/>
          <w:szCs w:val="21"/>
        </w:rPr>
        <w:instrText xml:space="preserve"> SEQ 图 \* ARABIC </w:instrText>
      </w:r>
      <w:r>
        <w:rPr>
          <w:rFonts w:hint="eastAsia" w:ascii="宋体" w:hAnsi="宋体" w:eastAsia="宋体" w:cs="宋体"/>
          <w:b/>
          <w:bCs/>
          <w:sz w:val="20"/>
          <w:szCs w:val="21"/>
        </w:rPr>
        <w:fldChar w:fldCharType="separate"/>
      </w:r>
      <w:r>
        <w:rPr>
          <w:rFonts w:hint="eastAsia" w:ascii="宋体" w:hAnsi="宋体" w:eastAsia="宋体" w:cs="宋体"/>
          <w:b/>
          <w:bCs/>
          <w:sz w:val="20"/>
          <w:szCs w:val="21"/>
        </w:rPr>
        <w:t>3</w:t>
      </w:r>
      <w:r>
        <w:rPr>
          <w:rFonts w:hint="eastAsia" w:ascii="宋体" w:hAnsi="宋体" w:eastAsia="宋体" w:cs="宋体"/>
          <w:b/>
          <w:bCs/>
          <w:sz w:val="20"/>
          <w:szCs w:val="21"/>
        </w:rPr>
        <w:fldChar w:fldCharType="end"/>
      </w:r>
      <w:bookmarkEnd w:id="2"/>
      <w:r>
        <w:rPr>
          <w:rFonts w:hint="eastAsia" w:ascii="宋体" w:hAnsi="宋体" w:eastAsia="宋体" w:cs="宋体"/>
          <w:b/>
          <w:bCs/>
          <w:sz w:val="20"/>
          <w:szCs w:val="21"/>
        </w:rPr>
        <w:t xml:space="preserve"> 2007-2018年人均融资平台到期债务规模变化趋势</w:t>
      </w:r>
    </w:p>
    <w:p>
      <w:pPr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</w:rPr>
        <w:t>注：图中数据来自Wind公布的融资平台财务报表数据，到期债务的计算方式参见正文第三节。</w:t>
      </w:r>
    </w:p>
    <w:p>
      <w:pPr>
        <w:widowControl/>
        <w:jc w:val="left"/>
      </w:pPr>
    </w:p>
    <w:p>
      <w:pPr>
        <w:keepNext/>
      </w:pPr>
      <w:r>
        <w:rPr>
          <w:rFonts w:hint="eastAsia"/>
        </w:rPr>
        <w:drawing>
          <wp:inline distT="0" distB="0" distL="0" distR="0">
            <wp:extent cx="5270500" cy="3515360"/>
            <wp:effectExtent l="0" t="0" r="0" b="25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51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 w:cs="宋体"/>
          <w:b/>
          <w:bCs/>
          <w:sz w:val="20"/>
          <w:szCs w:val="21"/>
        </w:rPr>
      </w:pPr>
      <w:bookmarkStart w:id="3" w:name="_Ref71018047"/>
      <w:r>
        <w:rPr>
          <w:rFonts w:hint="eastAsia" w:ascii="宋体" w:hAnsi="宋体" w:eastAsia="宋体" w:cs="宋体"/>
          <w:b/>
          <w:bCs/>
          <w:sz w:val="20"/>
          <w:szCs w:val="21"/>
        </w:rPr>
        <w:t>图 A</w:t>
      </w:r>
      <w:r>
        <w:rPr>
          <w:rFonts w:hint="eastAsia" w:ascii="宋体" w:hAnsi="宋体" w:eastAsia="宋体" w:cs="宋体"/>
          <w:b/>
          <w:bCs/>
          <w:sz w:val="20"/>
          <w:szCs w:val="21"/>
        </w:rPr>
        <w:fldChar w:fldCharType="begin"/>
      </w:r>
      <w:r>
        <w:rPr>
          <w:rFonts w:hint="eastAsia" w:ascii="宋体" w:hAnsi="宋体" w:eastAsia="宋体" w:cs="宋体"/>
          <w:b/>
          <w:bCs/>
          <w:sz w:val="20"/>
          <w:szCs w:val="21"/>
        </w:rPr>
        <w:instrText xml:space="preserve"> SEQ 图 \* ARABIC </w:instrText>
      </w:r>
      <w:r>
        <w:rPr>
          <w:rFonts w:hint="eastAsia" w:ascii="宋体" w:hAnsi="宋体" w:eastAsia="宋体" w:cs="宋体"/>
          <w:b/>
          <w:bCs/>
          <w:sz w:val="20"/>
          <w:szCs w:val="21"/>
        </w:rPr>
        <w:fldChar w:fldCharType="separate"/>
      </w:r>
      <w:r>
        <w:rPr>
          <w:rFonts w:hint="eastAsia" w:ascii="宋体" w:hAnsi="宋体" w:eastAsia="宋体" w:cs="宋体"/>
          <w:b/>
          <w:bCs/>
          <w:sz w:val="20"/>
          <w:szCs w:val="21"/>
        </w:rPr>
        <w:t>4</w:t>
      </w:r>
      <w:r>
        <w:rPr>
          <w:rFonts w:hint="eastAsia" w:ascii="宋体" w:hAnsi="宋体" w:eastAsia="宋体" w:cs="宋体"/>
          <w:b/>
          <w:bCs/>
          <w:sz w:val="20"/>
          <w:szCs w:val="21"/>
        </w:rPr>
        <w:fldChar w:fldCharType="end"/>
      </w:r>
      <w:bookmarkEnd w:id="3"/>
      <w:r>
        <w:rPr>
          <w:rFonts w:hint="eastAsia" w:ascii="宋体" w:hAnsi="宋体" w:eastAsia="宋体" w:cs="宋体"/>
          <w:b/>
          <w:bCs/>
          <w:sz w:val="20"/>
          <w:szCs w:val="21"/>
        </w:rPr>
        <w:t xml:space="preserve"> 2009-2018年全国人均土地出让收入变化趋势</w:t>
      </w:r>
    </w:p>
    <w:p>
      <w:pPr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</w:rPr>
        <w:t>注：图中使用的数据来自《国土资源统计年鉴》。</w:t>
      </w: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  <w:rPr>
          <w:rFonts w:hint="eastAsia"/>
        </w:rPr>
      </w:pPr>
    </w:p>
    <w:p>
      <w:pPr>
        <w:jc w:val="center"/>
        <w:rPr>
          <w:rFonts w:hint="eastAsia" w:ascii="楷体" w:hAnsi="楷体" w:eastAsia="楷体" w:cs="楷体"/>
          <w:color w:val="000000"/>
          <w:sz w:val="28"/>
          <w:szCs w:val="24"/>
        </w:rPr>
      </w:pPr>
      <w:r>
        <w:rPr>
          <w:rFonts w:hint="eastAsia" w:ascii="楷体" w:hAnsi="楷体" w:eastAsia="楷体" w:cs="楷体"/>
          <w:color w:val="000000"/>
          <w:sz w:val="28"/>
          <w:szCs w:val="24"/>
        </w:rPr>
        <w:t>附录II</w:t>
      </w:r>
      <w:r>
        <w:rPr>
          <w:rFonts w:hint="eastAsia" w:ascii="楷体" w:hAnsi="楷体" w:eastAsia="楷体" w:cs="楷体"/>
          <w:color w:val="000000"/>
          <w:sz w:val="28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color w:val="000000"/>
          <w:sz w:val="28"/>
          <w:szCs w:val="24"/>
        </w:rPr>
        <w:t xml:space="preserve"> 替换严监管年份的结果</w:t>
      </w:r>
    </w:p>
    <w:p/>
    <w:p>
      <w:pPr>
        <w:jc w:val="center"/>
        <w:rPr>
          <w:rFonts w:hint="eastAsia" w:ascii="宋体" w:hAnsi="宋体" w:eastAsia="宋体" w:cs="宋体"/>
          <w:b/>
          <w:bCs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20"/>
          <w:szCs w:val="20"/>
        </w:rPr>
        <w:t>表</w:t>
      </w:r>
      <w:r>
        <w:rPr>
          <w:rFonts w:hint="eastAsia" w:ascii="宋体" w:hAnsi="宋体" w:eastAsia="宋体" w:cs="宋体"/>
          <w:b/>
          <w:bCs/>
          <w:color w:val="000000"/>
          <w:sz w:val="20"/>
          <w:szCs w:val="20"/>
        </w:rPr>
        <w:t>II1</w:t>
      </w:r>
      <w:r>
        <w:rPr>
          <w:rFonts w:hint="eastAsia" w:ascii="宋体" w:hAnsi="宋体" w:eastAsia="宋体" w:cs="宋体"/>
          <w:b/>
          <w:bCs/>
          <w:sz w:val="20"/>
          <w:szCs w:val="20"/>
        </w:rPr>
        <w:t xml:space="preserve">  市委书记激励对城投债发行的影响：替换严监管年份</w:t>
      </w:r>
    </w:p>
    <w:tbl>
      <w:tblPr>
        <w:tblStyle w:val="9"/>
        <w:tblW w:w="94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1100"/>
        <w:gridCol w:w="1100"/>
        <w:gridCol w:w="1100"/>
        <w:gridCol w:w="1100"/>
        <w:gridCol w:w="1128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36" w:type="dxa"/>
            <w:tcBorders>
              <w:top w:val="single" w:color="000000" w:sz="4" w:space="0"/>
              <w:left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Calibri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ascii="仿宋" w:hAnsi="仿宋" w:eastAsia="仿宋" w:cs="Calibri"/>
                <w:sz w:val="18"/>
                <w:szCs w:val="18"/>
              </w:rPr>
              <w:t>(1)</w:t>
            </w:r>
          </w:p>
        </w:tc>
        <w:tc>
          <w:tcPr>
            <w:tcW w:w="1100" w:type="dxa"/>
            <w:tcBorders>
              <w:top w:val="single" w:color="000000" w:sz="4" w:space="0"/>
              <w:left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ascii="仿宋" w:hAnsi="仿宋" w:eastAsia="仿宋" w:cs="Calibri"/>
                <w:sz w:val="18"/>
                <w:szCs w:val="18"/>
              </w:rPr>
              <w:t>(2)</w:t>
            </w:r>
          </w:p>
        </w:tc>
        <w:tc>
          <w:tcPr>
            <w:tcW w:w="1100" w:type="dxa"/>
            <w:tcBorders>
              <w:top w:val="single" w:color="000000" w:sz="4" w:space="0"/>
              <w:left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ascii="仿宋" w:hAnsi="仿宋" w:eastAsia="仿宋" w:cs="Calibri"/>
                <w:sz w:val="18"/>
                <w:szCs w:val="18"/>
              </w:rPr>
              <w:t>(3)</w:t>
            </w:r>
          </w:p>
        </w:tc>
        <w:tc>
          <w:tcPr>
            <w:tcW w:w="1100" w:type="dxa"/>
            <w:tcBorders>
              <w:top w:val="single" w:color="000000" w:sz="4" w:space="0"/>
              <w:left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ascii="仿宋" w:hAnsi="仿宋" w:eastAsia="仿宋" w:cs="Calibri"/>
                <w:sz w:val="18"/>
                <w:szCs w:val="18"/>
              </w:rPr>
              <w:t>(4)</w:t>
            </w:r>
          </w:p>
        </w:tc>
        <w:tc>
          <w:tcPr>
            <w:tcW w:w="1128" w:type="dxa"/>
            <w:tcBorders>
              <w:top w:val="single" w:color="000000" w:sz="4" w:space="0"/>
              <w:left w:val="nil"/>
              <w:right w:val="nil"/>
            </w:tcBorders>
          </w:tcPr>
          <w:p>
            <w:pPr>
              <w:widowControl/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sz w:val="18"/>
                <w:szCs w:val="18"/>
              </w:rPr>
              <w:t>(</w:t>
            </w:r>
            <w:r>
              <w:rPr>
                <w:rFonts w:ascii="仿宋" w:hAnsi="仿宋" w:eastAsia="仿宋" w:cs="Calibri"/>
                <w:sz w:val="18"/>
                <w:szCs w:val="18"/>
              </w:rPr>
              <w:t>5)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right w:val="nil"/>
            </w:tcBorders>
          </w:tcPr>
          <w:p>
            <w:pPr>
              <w:widowControl/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sz w:val="18"/>
                <w:szCs w:val="18"/>
              </w:rPr>
              <w:t>(</w:t>
            </w:r>
            <w:r>
              <w:rPr>
                <w:rFonts w:ascii="仿宋" w:hAnsi="仿宋" w:eastAsia="仿宋" w:cs="Calibri"/>
                <w:sz w:val="18"/>
                <w:szCs w:val="18"/>
              </w:rPr>
              <w:t>6)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6662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 xml:space="preserve">被解释变量 </w:t>
            </w:r>
            <w:r>
              <w:rPr>
                <w:rFonts w:ascii="仿宋" w:hAnsi="仿宋" w:eastAsia="仿宋"/>
                <w:sz w:val="18"/>
                <w:szCs w:val="18"/>
              </w:rPr>
              <w:t>=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人均新发行城投债金额（对数）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3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sz w:val="18"/>
                <w:szCs w:val="18"/>
              </w:rPr>
              <w:t>市委书记激励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ascii="仿宋" w:hAnsi="仿宋" w:eastAsia="仿宋" w:cs="Calibri"/>
                <w:sz w:val="18"/>
                <w:szCs w:val="18"/>
              </w:rPr>
              <w:t>0.2971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ascii="仿宋" w:hAnsi="仿宋" w:eastAsia="仿宋" w:cs="Calibri"/>
                <w:sz w:val="18"/>
                <w:szCs w:val="18"/>
              </w:rPr>
              <w:t>0.4604*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ascii="仿宋" w:hAnsi="仿宋" w:eastAsia="仿宋" w:cs="Calibri"/>
                <w:sz w:val="18"/>
                <w:szCs w:val="18"/>
              </w:rPr>
              <w:t>0.4800*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ascii="仿宋" w:hAnsi="仿宋" w:eastAsia="仿宋" w:cs="Calibri"/>
                <w:sz w:val="18"/>
                <w:szCs w:val="18"/>
              </w:rPr>
              <w:t>0.2238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ascii="仿宋" w:hAnsi="仿宋" w:eastAsia="仿宋" w:cs="Calibri"/>
                <w:sz w:val="18"/>
                <w:szCs w:val="18"/>
              </w:rPr>
              <w:t>0.3511*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ascii="仿宋" w:hAnsi="仿宋" w:eastAsia="仿宋" w:cs="Calibri"/>
                <w:sz w:val="18"/>
                <w:szCs w:val="18"/>
              </w:rPr>
              <w:t>0.3743**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Calibri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ascii="仿宋" w:hAnsi="仿宋" w:eastAsia="仿宋" w:cs="Calibri"/>
                <w:sz w:val="18"/>
                <w:szCs w:val="18"/>
              </w:rPr>
              <w:t>(0.258)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ascii="仿宋" w:hAnsi="仿宋" w:eastAsia="仿宋" w:cs="Calibri"/>
                <w:sz w:val="18"/>
                <w:szCs w:val="18"/>
              </w:rPr>
              <w:t>(0.249)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ascii="仿宋" w:hAnsi="仿宋" w:eastAsia="仿宋" w:cs="Calibri"/>
                <w:sz w:val="18"/>
                <w:szCs w:val="18"/>
              </w:rPr>
              <w:t>(0.250)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ascii="仿宋" w:hAnsi="仿宋" w:eastAsia="仿宋" w:cs="Calibri"/>
                <w:sz w:val="18"/>
                <w:szCs w:val="18"/>
              </w:rPr>
              <w:t>(0.192)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ascii="仿宋" w:hAnsi="仿宋" w:eastAsia="仿宋" w:cs="Calibri"/>
                <w:sz w:val="18"/>
                <w:szCs w:val="18"/>
              </w:rPr>
              <w:t>(0.188)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ascii="仿宋" w:hAnsi="仿宋" w:eastAsia="仿宋" w:cs="Calibri"/>
                <w:sz w:val="18"/>
                <w:szCs w:val="18"/>
              </w:rPr>
              <w:t>(0.188)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sz w:val="18"/>
                <w:szCs w:val="18"/>
              </w:rPr>
              <w:t>市委书记激励*2</w:t>
            </w:r>
            <w:r>
              <w:rPr>
                <w:rFonts w:ascii="仿宋" w:hAnsi="仿宋" w:eastAsia="仿宋" w:cs="Calibri"/>
                <w:sz w:val="18"/>
                <w:szCs w:val="18"/>
              </w:rPr>
              <w:t>014</w:t>
            </w:r>
            <w:r>
              <w:rPr>
                <w:rFonts w:hint="eastAsia" w:ascii="仿宋" w:hAnsi="仿宋" w:eastAsia="仿宋" w:cs="Calibri"/>
                <w:sz w:val="18"/>
                <w:szCs w:val="18"/>
              </w:rPr>
              <w:t>年后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ascii="仿宋" w:hAnsi="仿宋" w:eastAsia="仿宋" w:cs="Calibri"/>
                <w:sz w:val="18"/>
                <w:szCs w:val="18"/>
              </w:rPr>
              <w:t>-0.1570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ascii="仿宋" w:hAnsi="仿宋" w:eastAsia="仿宋" w:cs="Calibri"/>
                <w:sz w:val="18"/>
                <w:szCs w:val="18"/>
              </w:rPr>
              <w:t>-0.5501*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ascii="仿宋" w:hAnsi="仿宋" w:eastAsia="仿宋" w:cs="Calibri"/>
                <w:sz w:val="18"/>
                <w:szCs w:val="18"/>
              </w:rPr>
              <w:t>-0.5446*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Calibri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ascii="仿宋" w:hAnsi="仿宋" w:eastAsia="仿宋" w:cs="Calibri"/>
                <w:sz w:val="18"/>
                <w:szCs w:val="18"/>
              </w:rPr>
              <w:t>(0.322)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ascii="仿宋" w:hAnsi="仿宋" w:eastAsia="仿宋" w:cs="Calibri"/>
                <w:sz w:val="18"/>
                <w:szCs w:val="18"/>
              </w:rPr>
              <w:t>(0.320)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ascii="仿宋" w:hAnsi="仿宋" w:eastAsia="仿宋" w:cs="Calibri"/>
                <w:sz w:val="18"/>
                <w:szCs w:val="18"/>
              </w:rPr>
              <w:t>(0.320)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sz w:val="18"/>
                <w:szCs w:val="18"/>
              </w:rPr>
              <w:t>市委书记激励*2</w:t>
            </w:r>
            <w:r>
              <w:rPr>
                <w:rFonts w:ascii="仿宋" w:hAnsi="仿宋" w:eastAsia="仿宋" w:cs="Calibri"/>
                <w:sz w:val="18"/>
                <w:szCs w:val="18"/>
              </w:rPr>
              <w:t>016</w:t>
            </w:r>
            <w:r>
              <w:rPr>
                <w:rFonts w:hint="eastAsia" w:ascii="仿宋" w:hAnsi="仿宋" w:eastAsia="仿宋" w:cs="Calibri"/>
                <w:sz w:val="18"/>
                <w:szCs w:val="18"/>
              </w:rPr>
              <w:t>年后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ascii="仿宋" w:hAnsi="仿宋" w:eastAsia="仿宋" w:cs="Calibri"/>
                <w:sz w:val="18"/>
                <w:szCs w:val="18"/>
              </w:rPr>
              <w:t>-0.0574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ascii="仿宋" w:hAnsi="仿宋" w:eastAsia="仿宋" w:cs="Calibri"/>
                <w:sz w:val="18"/>
                <w:szCs w:val="18"/>
              </w:rPr>
              <w:t>-0.6450**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ascii="仿宋" w:hAnsi="仿宋" w:eastAsia="仿宋" w:cs="Calibri"/>
                <w:sz w:val="18"/>
                <w:szCs w:val="18"/>
              </w:rPr>
              <w:t>-0.6496**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Calibri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ascii="仿宋" w:hAnsi="仿宋" w:eastAsia="仿宋" w:cs="Calibri"/>
                <w:sz w:val="18"/>
                <w:szCs w:val="18"/>
              </w:rPr>
              <w:t>(0.306)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ascii="仿宋" w:hAnsi="仿宋" w:eastAsia="仿宋" w:cs="Calibri"/>
                <w:sz w:val="18"/>
                <w:szCs w:val="18"/>
              </w:rPr>
              <w:t>(0.319)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ascii="仿宋" w:hAnsi="仿宋" w:eastAsia="仿宋" w:cs="Calibri"/>
                <w:sz w:val="18"/>
                <w:szCs w:val="18"/>
              </w:rPr>
              <w:t>(0.315)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sz w:val="18"/>
                <w:szCs w:val="18"/>
              </w:rPr>
              <w:t>观测值数量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ascii="仿宋" w:hAnsi="仿宋" w:eastAsia="仿宋" w:cs="Calibri"/>
                <w:sz w:val="18"/>
                <w:szCs w:val="18"/>
              </w:rPr>
              <w:t>3,471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ascii="仿宋" w:hAnsi="仿宋" w:eastAsia="仿宋" w:cs="Calibri"/>
                <w:sz w:val="18"/>
                <w:szCs w:val="18"/>
              </w:rPr>
              <w:t>3,471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ascii="仿宋" w:hAnsi="仿宋" w:eastAsia="仿宋" w:cs="Calibri"/>
                <w:sz w:val="18"/>
                <w:szCs w:val="18"/>
              </w:rPr>
              <w:t>3,471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ascii="仿宋" w:hAnsi="仿宋" w:eastAsia="仿宋" w:cs="Calibri"/>
                <w:sz w:val="18"/>
                <w:szCs w:val="18"/>
              </w:rPr>
              <w:t>3,471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ascii="仿宋" w:hAnsi="仿宋" w:eastAsia="仿宋" w:cs="Calibri"/>
                <w:sz w:val="18"/>
                <w:szCs w:val="18"/>
              </w:rPr>
              <w:t>3,471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ascii="仿宋" w:hAnsi="仿宋" w:eastAsia="仿宋" w:cs="Calibri"/>
                <w:sz w:val="18"/>
                <w:szCs w:val="18"/>
              </w:rPr>
              <w:t>3,471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sz w:val="18"/>
                <w:szCs w:val="18"/>
              </w:rPr>
              <w:t>城市固定效应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YES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YES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YES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YES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YES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sz w:val="18"/>
                <w:szCs w:val="18"/>
              </w:rPr>
              <w:t>年份固定效应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YES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YES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YES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YES</w:t>
            </w:r>
          </w:p>
        </w:tc>
        <w:tc>
          <w:tcPr>
            <w:tcW w:w="1128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YES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sz w:val="18"/>
                <w:szCs w:val="18"/>
              </w:rPr>
              <w:t>省份*年份固定效应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NO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YES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YES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NO</w:t>
            </w:r>
          </w:p>
        </w:tc>
        <w:tc>
          <w:tcPr>
            <w:tcW w:w="1128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YES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sz w:val="18"/>
                <w:szCs w:val="18"/>
              </w:rPr>
              <w:t>控制变量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NO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NO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YES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NO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YES</w:t>
            </w:r>
          </w:p>
        </w:tc>
      </w:tr>
    </w:tbl>
    <w:p>
      <w:pPr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</w:rPr>
        <w:t>注：稳健标准误均聚类在城市层面，*** p&lt;0.01, ** p&lt;0.05, * p&lt;0.1。</w:t>
      </w:r>
    </w:p>
    <w:p/>
    <w:p>
      <w:pPr>
        <w:jc w:val="center"/>
        <w:rPr>
          <w:rFonts w:hint="eastAsia" w:ascii="宋体" w:hAnsi="宋体" w:eastAsia="宋体" w:cs="宋体"/>
          <w:b/>
          <w:bCs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20"/>
          <w:szCs w:val="20"/>
        </w:rPr>
        <w:t>表</w:t>
      </w:r>
      <w:r>
        <w:rPr>
          <w:rFonts w:hint="eastAsia" w:ascii="宋体" w:hAnsi="宋体" w:eastAsia="宋体" w:cs="宋体"/>
          <w:b/>
          <w:bCs/>
          <w:color w:val="000000"/>
          <w:sz w:val="20"/>
          <w:szCs w:val="20"/>
        </w:rPr>
        <w:t>II2</w:t>
      </w:r>
      <w:r>
        <w:rPr>
          <w:rFonts w:hint="eastAsia" w:ascii="宋体" w:hAnsi="宋体" w:eastAsia="宋体" w:cs="宋体"/>
          <w:b/>
          <w:bCs/>
          <w:sz w:val="20"/>
          <w:szCs w:val="20"/>
        </w:rPr>
        <w:t xml:space="preserve">  到期债务压力对城投债发行的影响：替换严监管年份</w:t>
      </w:r>
    </w:p>
    <w:tbl>
      <w:tblPr>
        <w:tblStyle w:val="9"/>
        <w:tblW w:w="94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1100"/>
        <w:gridCol w:w="1100"/>
        <w:gridCol w:w="1100"/>
        <w:gridCol w:w="1100"/>
        <w:gridCol w:w="1128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36" w:type="dxa"/>
            <w:tcBorders>
              <w:top w:val="single" w:color="000000" w:sz="4" w:space="0"/>
              <w:left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Calibri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ascii="仿宋" w:hAnsi="仿宋" w:eastAsia="仿宋" w:cs="Calibri"/>
                <w:sz w:val="18"/>
                <w:szCs w:val="18"/>
              </w:rPr>
              <w:t>(1)</w:t>
            </w:r>
          </w:p>
        </w:tc>
        <w:tc>
          <w:tcPr>
            <w:tcW w:w="1100" w:type="dxa"/>
            <w:tcBorders>
              <w:top w:val="single" w:color="000000" w:sz="4" w:space="0"/>
              <w:left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ascii="仿宋" w:hAnsi="仿宋" w:eastAsia="仿宋" w:cs="Calibri"/>
                <w:sz w:val="18"/>
                <w:szCs w:val="18"/>
              </w:rPr>
              <w:t>(2)</w:t>
            </w:r>
          </w:p>
        </w:tc>
        <w:tc>
          <w:tcPr>
            <w:tcW w:w="1100" w:type="dxa"/>
            <w:tcBorders>
              <w:top w:val="single" w:color="000000" w:sz="4" w:space="0"/>
              <w:left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ascii="仿宋" w:hAnsi="仿宋" w:eastAsia="仿宋" w:cs="Calibri"/>
                <w:sz w:val="18"/>
                <w:szCs w:val="18"/>
              </w:rPr>
              <w:t>(3)</w:t>
            </w:r>
          </w:p>
        </w:tc>
        <w:tc>
          <w:tcPr>
            <w:tcW w:w="1100" w:type="dxa"/>
            <w:tcBorders>
              <w:top w:val="single" w:color="000000" w:sz="4" w:space="0"/>
              <w:left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ascii="仿宋" w:hAnsi="仿宋" w:eastAsia="仿宋" w:cs="Calibri"/>
                <w:sz w:val="18"/>
                <w:szCs w:val="18"/>
              </w:rPr>
              <w:t>(4)</w:t>
            </w:r>
          </w:p>
        </w:tc>
        <w:tc>
          <w:tcPr>
            <w:tcW w:w="1128" w:type="dxa"/>
            <w:tcBorders>
              <w:top w:val="single" w:color="000000" w:sz="4" w:space="0"/>
              <w:left w:val="nil"/>
              <w:right w:val="nil"/>
            </w:tcBorders>
          </w:tcPr>
          <w:p>
            <w:pPr>
              <w:widowControl/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sz w:val="18"/>
                <w:szCs w:val="18"/>
              </w:rPr>
              <w:t>(</w:t>
            </w:r>
            <w:r>
              <w:rPr>
                <w:rFonts w:ascii="仿宋" w:hAnsi="仿宋" w:eastAsia="仿宋" w:cs="Calibri"/>
                <w:sz w:val="18"/>
                <w:szCs w:val="18"/>
              </w:rPr>
              <w:t>5)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right w:val="nil"/>
            </w:tcBorders>
          </w:tcPr>
          <w:p>
            <w:pPr>
              <w:widowControl/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sz w:val="18"/>
                <w:szCs w:val="18"/>
              </w:rPr>
              <w:t>(</w:t>
            </w:r>
            <w:r>
              <w:rPr>
                <w:rFonts w:ascii="仿宋" w:hAnsi="仿宋" w:eastAsia="仿宋" w:cs="Calibri"/>
                <w:sz w:val="18"/>
                <w:szCs w:val="18"/>
              </w:rPr>
              <w:t>6)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6662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 xml:space="preserve">被解释变量 </w:t>
            </w:r>
            <w:r>
              <w:rPr>
                <w:rFonts w:ascii="仿宋" w:hAnsi="仿宋" w:eastAsia="仿宋"/>
                <w:sz w:val="18"/>
                <w:szCs w:val="18"/>
              </w:rPr>
              <w:t>=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人均新发行城投债金额（对数）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3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sz w:val="18"/>
                <w:szCs w:val="18"/>
              </w:rPr>
              <w:t>到期债务压力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ascii="仿宋" w:hAnsi="仿宋" w:eastAsia="仿宋" w:cs="Calibri"/>
                <w:sz w:val="18"/>
                <w:szCs w:val="18"/>
              </w:rPr>
              <w:t>0.1551**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ascii="仿宋" w:hAnsi="仿宋" w:eastAsia="仿宋" w:cs="Calibri"/>
                <w:sz w:val="18"/>
                <w:szCs w:val="18"/>
              </w:rPr>
              <w:t>0.1243*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ascii="仿宋" w:hAnsi="仿宋" w:eastAsia="仿宋" w:cs="Calibri"/>
                <w:sz w:val="18"/>
                <w:szCs w:val="18"/>
              </w:rPr>
              <w:t>0.1207*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ascii="仿宋" w:hAnsi="仿宋" w:eastAsia="仿宋" w:cs="Calibri"/>
                <w:sz w:val="18"/>
                <w:szCs w:val="18"/>
              </w:rPr>
              <w:t>0.1909***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ascii="仿宋" w:hAnsi="仿宋" w:eastAsia="仿宋" w:cs="Calibri"/>
                <w:sz w:val="18"/>
                <w:szCs w:val="18"/>
              </w:rPr>
              <w:t>0.1606**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ascii="仿宋" w:hAnsi="仿宋" w:eastAsia="仿宋" w:cs="Calibri"/>
                <w:sz w:val="18"/>
                <w:szCs w:val="18"/>
              </w:rPr>
              <w:t>0.1675**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ascii="仿宋" w:hAnsi="仿宋" w:eastAsia="仿宋" w:cs="Calibri"/>
                <w:sz w:val="18"/>
                <w:szCs w:val="18"/>
              </w:rPr>
              <w:t>(0.067)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ascii="仿宋" w:hAnsi="仿宋" w:eastAsia="仿宋" w:cs="Calibri"/>
                <w:sz w:val="18"/>
                <w:szCs w:val="18"/>
              </w:rPr>
              <w:t>(0.064)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ascii="仿宋" w:hAnsi="仿宋" w:eastAsia="仿宋" w:cs="Calibri"/>
                <w:sz w:val="18"/>
                <w:szCs w:val="18"/>
              </w:rPr>
              <w:t>(0.065)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ascii="仿宋" w:hAnsi="仿宋" w:eastAsia="仿宋" w:cs="Calibri"/>
                <w:sz w:val="18"/>
                <w:szCs w:val="18"/>
              </w:rPr>
              <w:t>(0.069)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ascii="仿宋" w:hAnsi="仿宋" w:eastAsia="仿宋" w:cs="Calibri"/>
                <w:sz w:val="18"/>
                <w:szCs w:val="18"/>
              </w:rPr>
              <w:t>(0.066)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ascii="仿宋" w:hAnsi="仿宋" w:eastAsia="仿宋" w:cs="Calibri"/>
                <w:sz w:val="18"/>
                <w:szCs w:val="18"/>
              </w:rPr>
              <w:t>(0.067)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到期债务压力*</w:t>
            </w:r>
            <w:r>
              <w:rPr>
                <w:rFonts w:hint="eastAsia" w:ascii="仿宋" w:hAnsi="仿宋" w:eastAsia="仿宋" w:cs="Calibri"/>
                <w:sz w:val="18"/>
                <w:szCs w:val="18"/>
              </w:rPr>
              <w:t>2</w:t>
            </w:r>
            <w:r>
              <w:rPr>
                <w:rFonts w:ascii="仿宋" w:hAnsi="仿宋" w:eastAsia="仿宋" w:cs="Calibri"/>
                <w:sz w:val="18"/>
                <w:szCs w:val="18"/>
              </w:rPr>
              <w:t>015</w:t>
            </w:r>
            <w:r>
              <w:rPr>
                <w:rFonts w:hint="eastAsia" w:ascii="仿宋" w:hAnsi="仿宋" w:eastAsia="仿宋" w:cs="Calibri"/>
                <w:sz w:val="18"/>
                <w:szCs w:val="18"/>
              </w:rPr>
              <w:t>年后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ascii="仿宋" w:hAnsi="仿宋" w:eastAsia="仿宋" w:cs="Calibri"/>
                <w:sz w:val="18"/>
                <w:szCs w:val="18"/>
              </w:rPr>
              <w:t>0.4604***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ascii="仿宋" w:hAnsi="仿宋" w:eastAsia="仿宋" w:cs="Calibri"/>
                <w:sz w:val="18"/>
                <w:szCs w:val="18"/>
              </w:rPr>
              <w:t>0.4265***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ascii="仿宋" w:hAnsi="仿宋" w:eastAsia="仿宋" w:cs="Calibri"/>
                <w:sz w:val="18"/>
                <w:szCs w:val="18"/>
              </w:rPr>
              <w:t>0.4540***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Calibri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ascii="仿宋" w:hAnsi="仿宋" w:eastAsia="仿宋" w:cs="Calibri"/>
                <w:sz w:val="18"/>
                <w:szCs w:val="18"/>
              </w:rPr>
              <w:t>(0.061)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ascii="仿宋" w:hAnsi="仿宋" w:eastAsia="仿宋" w:cs="Calibri"/>
                <w:sz w:val="18"/>
                <w:szCs w:val="18"/>
              </w:rPr>
              <w:t>(0.067)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ascii="仿宋" w:hAnsi="仿宋" w:eastAsia="仿宋" w:cs="Calibri"/>
                <w:sz w:val="18"/>
                <w:szCs w:val="18"/>
              </w:rPr>
              <w:t>(0.071)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到期债务压力*</w:t>
            </w:r>
            <w:r>
              <w:rPr>
                <w:rFonts w:hint="eastAsia" w:ascii="仿宋" w:hAnsi="仿宋" w:eastAsia="仿宋" w:cs="Calibri"/>
                <w:sz w:val="18"/>
                <w:szCs w:val="18"/>
              </w:rPr>
              <w:t>2</w:t>
            </w:r>
            <w:r>
              <w:rPr>
                <w:rFonts w:ascii="仿宋" w:hAnsi="仿宋" w:eastAsia="仿宋" w:cs="Calibri"/>
                <w:sz w:val="18"/>
                <w:szCs w:val="18"/>
              </w:rPr>
              <w:t>015</w:t>
            </w:r>
            <w:r>
              <w:rPr>
                <w:rFonts w:hint="eastAsia" w:ascii="仿宋" w:hAnsi="仿宋" w:eastAsia="仿宋" w:cs="Calibri"/>
                <w:sz w:val="18"/>
                <w:szCs w:val="18"/>
              </w:rPr>
              <w:t>年后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ascii="仿宋" w:hAnsi="仿宋" w:eastAsia="仿宋" w:cs="Calibri"/>
                <w:sz w:val="18"/>
                <w:szCs w:val="18"/>
              </w:rPr>
              <w:t>0.3871***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ascii="仿宋" w:hAnsi="仿宋" w:eastAsia="仿宋" w:cs="Calibri"/>
                <w:sz w:val="18"/>
                <w:szCs w:val="18"/>
              </w:rPr>
              <w:t>0.3122***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ascii="仿宋" w:hAnsi="仿宋" w:eastAsia="仿宋" w:cs="Calibri"/>
                <w:sz w:val="18"/>
                <w:szCs w:val="18"/>
              </w:rPr>
              <w:t>0.3170***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Calibri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ascii="仿宋" w:hAnsi="仿宋" w:eastAsia="仿宋" w:cs="Calibri"/>
                <w:sz w:val="18"/>
                <w:szCs w:val="18"/>
              </w:rPr>
              <w:t>(0.072)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ascii="仿宋" w:hAnsi="仿宋" w:eastAsia="仿宋" w:cs="Calibri"/>
                <w:sz w:val="18"/>
                <w:szCs w:val="18"/>
              </w:rPr>
              <w:t>(0.077)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ascii="仿宋" w:hAnsi="仿宋" w:eastAsia="仿宋" w:cs="Calibri"/>
                <w:sz w:val="18"/>
                <w:szCs w:val="18"/>
              </w:rPr>
              <w:t>(0.082)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sz w:val="18"/>
                <w:szCs w:val="18"/>
              </w:rPr>
              <w:t>观测值数量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ascii="仿宋" w:hAnsi="仿宋" w:eastAsia="仿宋" w:cs="Calibri"/>
                <w:sz w:val="18"/>
                <w:szCs w:val="18"/>
              </w:rPr>
              <w:t>3,268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ascii="仿宋" w:hAnsi="仿宋" w:eastAsia="仿宋" w:cs="Calibri"/>
                <w:sz w:val="18"/>
                <w:szCs w:val="18"/>
              </w:rPr>
              <w:t>3,268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ascii="仿宋" w:hAnsi="仿宋" w:eastAsia="仿宋" w:cs="Calibri"/>
                <w:sz w:val="18"/>
                <w:szCs w:val="18"/>
              </w:rPr>
              <w:t>3,268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ascii="仿宋" w:hAnsi="仿宋" w:eastAsia="仿宋" w:cs="Calibri"/>
                <w:sz w:val="18"/>
                <w:szCs w:val="18"/>
              </w:rPr>
              <w:t>3,268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ascii="仿宋" w:hAnsi="仿宋" w:eastAsia="仿宋" w:cs="Calibri"/>
                <w:sz w:val="18"/>
                <w:szCs w:val="18"/>
              </w:rPr>
              <w:t>3,268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ascii="仿宋" w:hAnsi="仿宋" w:eastAsia="仿宋" w:cs="Calibri"/>
                <w:sz w:val="18"/>
                <w:szCs w:val="18"/>
              </w:rPr>
              <w:t>3,268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sz w:val="18"/>
                <w:szCs w:val="18"/>
              </w:rPr>
              <w:t>城市固定效应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YES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YES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YES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YES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YES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sz w:val="18"/>
                <w:szCs w:val="18"/>
              </w:rPr>
              <w:t>年份固定效应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YES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YES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YES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YES</w:t>
            </w:r>
          </w:p>
        </w:tc>
        <w:tc>
          <w:tcPr>
            <w:tcW w:w="1128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YES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sz w:val="18"/>
                <w:szCs w:val="18"/>
              </w:rPr>
              <w:t>省份*年份固定效应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NO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YES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YES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NO</w:t>
            </w:r>
          </w:p>
        </w:tc>
        <w:tc>
          <w:tcPr>
            <w:tcW w:w="1128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YES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bottom"/>
          </w:tcPr>
          <w:p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YES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83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Calibri"/>
                <w:sz w:val="18"/>
                <w:szCs w:val="18"/>
              </w:rPr>
            </w:pPr>
            <w:r>
              <w:rPr>
                <w:rFonts w:hint="eastAsia" w:ascii="仿宋" w:hAnsi="仿宋" w:eastAsia="仿宋" w:cs="Calibri"/>
                <w:sz w:val="18"/>
                <w:szCs w:val="18"/>
              </w:rPr>
              <w:t>控制变量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NO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NO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YES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NO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YES</w:t>
            </w:r>
          </w:p>
        </w:tc>
      </w:tr>
    </w:tbl>
    <w:p>
      <w:pPr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</w:rPr>
        <w:t>注：稳健标准误均聚类在城市层面，*** p&lt;0.01, ** p&lt;0.05, * p&lt;0.1。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ascii="宋体" w:hAnsi="宋体" w:cs="Arial"/>
          <w:b/>
          <w:bCs/>
          <w:color w:val="auto"/>
          <w:kern w:val="0"/>
          <w:szCs w:val="21"/>
        </w:rPr>
      </w:pPr>
      <w:r>
        <w:rPr>
          <w:rFonts w:hint="eastAsia" w:ascii="Calibri" w:hAnsi="Calibri" w:cs="Times New Roman"/>
          <w:b/>
          <w:color w:val="auto"/>
          <w:szCs w:val="22"/>
        </w:rPr>
        <w:t>注：该附录是期刊所发表论文的组成部分，同样视为作者公开发表的内容。如研究中使用该附录中的内容，</w:t>
      </w:r>
      <w:r>
        <w:rPr>
          <w:rFonts w:hint="eastAsia" w:ascii="宋体" w:hAnsi="宋体" w:cs="Arial"/>
          <w:b/>
          <w:bCs/>
          <w:color w:val="auto"/>
          <w:kern w:val="0"/>
          <w:szCs w:val="21"/>
        </w:rPr>
        <w:t>请务必在研究成果上注明</w:t>
      </w:r>
      <w:r>
        <w:rPr>
          <w:rFonts w:hint="eastAsia" w:ascii="宋体" w:hAnsi="宋体" w:cs="Arial"/>
          <w:b/>
          <w:bCs/>
          <w:color w:val="auto"/>
          <w:kern w:val="0"/>
          <w:szCs w:val="21"/>
          <w:lang w:val="en-US" w:eastAsia="zh-CN"/>
        </w:rPr>
        <w:t>附录</w:t>
      </w:r>
      <w:r>
        <w:rPr>
          <w:rFonts w:hint="eastAsia" w:ascii="宋体" w:hAnsi="宋体" w:cs="Arial"/>
          <w:b/>
          <w:bCs/>
          <w:color w:val="auto"/>
          <w:kern w:val="0"/>
          <w:szCs w:val="21"/>
        </w:rPr>
        <w:t>下载出处</w:t>
      </w:r>
      <w:r>
        <w:rPr>
          <w:rFonts w:hint="eastAsia" w:ascii="宋体" w:hAnsi="宋体" w:cs="Arial"/>
          <w:color w:val="auto"/>
          <w:kern w:val="0"/>
          <w:szCs w:val="21"/>
        </w:rPr>
        <w:t>。</w:t>
      </w:r>
    </w:p>
    <w:p>
      <w:pPr>
        <w:rPr>
          <w:rFonts w:hint="eastAsia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44984930"/>
      <w:docPartObj>
        <w:docPartGallery w:val="autotext"/>
      </w:docPartObj>
    </w:sdtPr>
    <w:sdtContent>
      <w:p>
        <w:pPr>
          <w:pStyle w:val="4"/>
          <w:jc w:val="center"/>
        </w:pP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-1044984930"/>
        <w:docPartObj>
          <w:docPartGallery w:val="autotext"/>
        </w:docPartObj>
      </w:sdtPr>
      <w:sdtContent/>
    </w:sdt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 w:eastAsiaTheme="minorEastAsia"/>
        <w:lang w:val="en-US" w:eastAsia="zh-CN"/>
      </w:rPr>
    </w:pPr>
    <w:r>
      <w:rPr>
        <w:rFonts w:hint="eastAsia" w:ascii="仿宋" w:hAnsi="仿宋" w:eastAsia="仿宋" w:cs="仿宋"/>
        <w:lang w:eastAsia="zh-CN"/>
      </w:rPr>
      <w:t>《</w:t>
    </w:r>
    <w:r>
      <w:rPr>
        <w:rFonts w:hint="eastAsia" w:ascii="仿宋" w:hAnsi="仿宋" w:eastAsia="仿宋" w:cs="仿宋"/>
        <w:lang w:val="en-US" w:eastAsia="zh-CN"/>
      </w:rPr>
      <w:t xml:space="preserve">经济学 </w:t>
    </w:r>
    <w:r>
      <w:rPr>
        <w:rFonts w:hint="eastAsia" w:ascii="仿宋" w:hAnsi="仿宋" w:eastAsia="仿宋" w:cs="仿宋"/>
        <w:lang w:eastAsia="zh-CN"/>
      </w:rPr>
      <w:t>》（</w:t>
    </w:r>
    <w:r>
      <w:rPr>
        <w:rFonts w:hint="eastAsia" w:ascii="仿宋" w:hAnsi="仿宋" w:eastAsia="仿宋" w:cs="仿宋"/>
        <w:lang w:val="en-US" w:eastAsia="zh-CN"/>
      </w:rPr>
      <w:t>季刊</w:t>
    </w:r>
    <w:r>
      <w:rPr>
        <w:rFonts w:hint="eastAsia" w:ascii="仿宋" w:hAnsi="仿宋" w:eastAsia="仿宋" w:cs="仿宋"/>
        <w:lang w:eastAsia="zh-CN"/>
      </w:rPr>
      <w:t>）</w:t>
    </w:r>
    <w:r>
      <w:rPr>
        <w:rFonts w:hint="eastAsia" w:ascii="仿宋" w:hAnsi="仿宋" w:eastAsia="仿宋" w:cs="仿宋"/>
        <w:lang w:val="en-US" w:eastAsia="zh-CN"/>
      </w:rPr>
      <w:t xml:space="preserve">                                                              2023年第6期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5YTY5MzAxODJhZDAxMGMwZGQwZTA0ZDg0NjA2ZDkifQ=="/>
  </w:docVars>
  <w:rsids>
    <w:rsidRoot w:val="007031A2"/>
    <w:rsid w:val="00081E19"/>
    <w:rsid w:val="002452FE"/>
    <w:rsid w:val="0028403E"/>
    <w:rsid w:val="002A3315"/>
    <w:rsid w:val="0060758C"/>
    <w:rsid w:val="00670BFD"/>
    <w:rsid w:val="007031A2"/>
    <w:rsid w:val="00723A7A"/>
    <w:rsid w:val="007D1C39"/>
    <w:rsid w:val="0082059A"/>
    <w:rsid w:val="00860409"/>
    <w:rsid w:val="008B4FFC"/>
    <w:rsid w:val="00953D8B"/>
    <w:rsid w:val="0096687F"/>
    <w:rsid w:val="009C41D9"/>
    <w:rsid w:val="00BF40B0"/>
    <w:rsid w:val="00CF34B1"/>
    <w:rsid w:val="00D15674"/>
    <w:rsid w:val="00D254EB"/>
    <w:rsid w:val="00DB6CA3"/>
    <w:rsid w:val="00E02860"/>
    <w:rsid w:val="00E81582"/>
    <w:rsid w:val="1E302D5E"/>
    <w:rsid w:val="36B244A5"/>
    <w:rsid w:val="429C09DF"/>
    <w:rsid w:val="68E7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7">
    <w:name w:val="footnote text"/>
    <w:basedOn w:val="1"/>
    <w:link w:val="16"/>
    <w:semiHidden/>
    <w:unhideWhenUsed/>
    <w:uiPriority w:val="99"/>
    <w:pPr>
      <w:snapToGrid w:val="0"/>
      <w:jc w:val="left"/>
    </w:pPr>
    <w:rPr>
      <w:rFonts w:ascii="Times New Roman" w:hAnsi="Times New Roman" w:eastAsia="宋体" w:cs="Times New Roman"/>
      <w:color w:val="333333"/>
      <w:kern w:val="0"/>
      <w:sz w:val="18"/>
      <w:szCs w:val="18"/>
    </w:rPr>
  </w:style>
  <w:style w:type="paragraph" w:styleId="8">
    <w:name w:val="toc 2"/>
    <w:basedOn w:val="1"/>
    <w:next w:val="1"/>
    <w:unhideWhenUsed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character" w:styleId="11">
    <w:name w:val="footnote reference"/>
    <w:basedOn w:val="10"/>
    <w:semiHidden/>
    <w:unhideWhenUsed/>
    <w:uiPriority w:val="99"/>
    <w:rPr>
      <w:vertAlign w:val="superscript"/>
    </w:rPr>
  </w:style>
  <w:style w:type="character" w:customStyle="1" w:styleId="12">
    <w:name w:val="标题 1 Char"/>
    <w:basedOn w:val="10"/>
    <w:link w:val="2"/>
    <w:uiPriority w:val="9"/>
    <w:rPr>
      <w:b/>
      <w:bCs/>
      <w:kern w:val="44"/>
      <w:sz w:val="44"/>
      <w:szCs w:val="44"/>
    </w:rPr>
  </w:style>
  <w:style w:type="paragraph" w:customStyle="1" w:styleId="13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14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6">
    <w:name w:val="脚注文本 Char"/>
    <w:basedOn w:val="10"/>
    <w:link w:val="7"/>
    <w:semiHidden/>
    <w:qFormat/>
    <w:uiPriority w:val="99"/>
    <w:rPr>
      <w:rFonts w:ascii="Times New Roman" w:hAnsi="Times New Roman" w:eastAsia="宋体" w:cs="Times New Roman"/>
      <w:color w:val="333333"/>
      <w:kern w:val="0"/>
      <w:sz w:val="18"/>
      <w:szCs w:val="18"/>
    </w:rPr>
  </w:style>
  <w:style w:type="paragraph" w:customStyle="1" w:styleId="17">
    <w:name w:val="论文正文"/>
    <w:basedOn w:val="1"/>
    <w:qFormat/>
    <w:uiPriority w:val="0"/>
    <w:pPr>
      <w:spacing w:line="400" w:lineRule="exact"/>
      <w:ind w:firstLine="20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2FCF80-192E-47BB-816B-3E4272576F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243</Words>
  <Characters>1386</Characters>
  <Lines>11</Lines>
  <Paragraphs>3</Paragraphs>
  <TotalTime>2</TotalTime>
  <ScaleCrop>false</ScaleCrop>
  <LinksUpToDate>false</LinksUpToDate>
  <CharactersWithSpaces>1626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2023-10-24T07:19:00Z</dcterms:created>
  <dc:creator>User</dc:creator>
  <cp:lastModifiedBy>刘京</cp:lastModifiedBy>
  <dcterms:modified xsi:type="dcterms:W3CDTF">2023-11-17T08:46:20Z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6B2FA68CFD754653870893D39CF87316_12</vt:lpwstr>
  </property>
</Properties>
</file>