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Times New Roman"/>
          <w:b/>
          <w:bCs/>
          <w:sz w:val="32"/>
          <w:szCs w:val="32"/>
          <w:lang w:eastAsia="zh-CN"/>
        </w:rPr>
      </w:pPr>
      <w:r>
        <w:rPr>
          <w:rFonts w:hint="eastAsia" w:ascii="仿宋" w:hAnsi="仿宋" w:eastAsia="仿宋" w:cs="Times New Roman"/>
          <w:b/>
          <w:bCs/>
          <w:sz w:val="32"/>
          <w:szCs w:val="32"/>
        </w:rPr>
        <w:t>电力扩张对工业发展影响的因果评估</w:t>
      </w:r>
    </w:p>
    <w:p>
      <w:pPr>
        <w:jc w:val="center"/>
        <w:rPr>
          <w:rFonts w:ascii="仿宋" w:hAnsi="仿宋" w:eastAsia="仿宋" w:cs="Times New Roman"/>
          <w:b/>
          <w:bCs/>
          <w:sz w:val="28"/>
          <w:szCs w:val="28"/>
        </w:rPr>
      </w:pPr>
      <w:r>
        <w:rPr>
          <w:rFonts w:hint="eastAsia" w:ascii="仿宋" w:hAnsi="仿宋" w:eastAsia="仿宋" w:cs="Times New Roman"/>
          <w:b/>
          <w:bCs/>
          <w:sz w:val="28"/>
          <w:szCs w:val="28"/>
          <w:lang w:eastAsia="zh-CN"/>
        </w:rPr>
        <w:t>——</w:t>
      </w:r>
      <w:r>
        <w:rPr>
          <w:rFonts w:hint="eastAsia" w:ascii="仿宋" w:hAnsi="仿宋" w:eastAsia="仿宋" w:cs="Times New Roman"/>
          <w:b/>
          <w:bCs/>
          <w:sz w:val="28"/>
          <w:szCs w:val="28"/>
        </w:rPr>
        <w:t>来自</w:t>
      </w:r>
      <w:r>
        <w:rPr>
          <w:rFonts w:ascii="仿宋" w:hAnsi="仿宋" w:eastAsia="仿宋" w:cs="Times New Roman"/>
          <w:b/>
          <w:bCs/>
          <w:sz w:val="28"/>
          <w:szCs w:val="28"/>
        </w:rPr>
        <w:t>近代中国的证据</w:t>
      </w:r>
    </w:p>
    <w:p>
      <w:pPr>
        <w:jc w:val="center"/>
        <w:rPr>
          <w:rFonts w:ascii="楷体" w:hAnsi="楷体" w:eastAsia="楷体" w:cs="Times New Roman"/>
          <w:sz w:val="28"/>
          <w:szCs w:val="28"/>
        </w:rPr>
      </w:pPr>
      <w:r>
        <w:rPr>
          <w:rFonts w:hint="eastAsia" w:ascii="楷体" w:hAnsi="楷体" w:eastAsia="楷体" w:cs="Times New Roman"/>
          <w:sz w:val="28"/>
          <w:szCs w:val="28"/>
        </w:rPr>
        <w:t>刘丛 陈婷 薄诗雨</w:t>
      </w:r>
    </w:p>
    <w:p>
      <w:pPr>
        <w:jc w:val="center"/>
        <w:rPr>
          <w:rFonts w:hint="eastAsia" w:ascii="仿宋" w:hAnsi="仿宋" w:eastAsia="仿宋" w:cs="Times New Roman"/>
          <w:b/>
          <w:bCs/>
          <w:sz w:val="28"/>
          <w:szCs w:val="28"/>
        </w:rPr>
      </w:pPr>
    </w:p>
    <w:p>
      <w:pPr>
        <w:jc w:val="center"/>
        <w:rPr>
          <w:rFonts w:hint="eastAsia" w:ascii="仿宋" w:hAnsi="仿宋" w:eastAsia="仿宋" w:cs="Times New Roman"/>
          <w:b/>
          <w:bCs/>
          <w:sz w:val="28"/>
          <w:szCs w:val="28"/>
          <w:lang w:eastAsia="zh-CN"/>
        </w:rPr>
      </w:pPr>
      <w:r>
        <w:rPr>
          <w:rFonts w:hint="eastAsia" w:ascii="仿宋" w:hAnsi="仿宋" w:eastAsia="仿宋" w:cs="Times New Roman"/>
          <w:b/>
          <w:bCs/>
          <w:sz w:val="28"/>
          <w:szCs w:val="28"/>
          <w:lang w:val="en-US" w:eastAsia="zh-CN"/>
        </w:rPr>
        <w:t>目录</w:t>
      </w:r>
    </w:p>
    <w:sdt>
      <w:sdtPr>
        <w:rPr>
          <w:sz w:val="24"/>
          <w:szCs w:val="28"/>
          <w:lang w:val="zh-CN"/>
        </w:rPr>
        <w:id w:val="-91158663"/>
        <w:docPartObj>
          <w:docPartGallery w:val="Table of Contents"/>
          <w:docPartUnique/>
        </w:docPartObj>
      </w:sdtPr>
      <w:sdtEndPr>
        <w:rPr>
          <w:b/>
          <w:bCs/>
          <w:sz w:val="32"/>
          <w:szCs w:val="36"/>
          <w:lang w:val="zh-CN"/>
        </w:rPr>
      </w:sdtEndPr>
      <w:sdtContent>
        <w:p>
          <w:pPr>
            <w:widowControl/>
            <w:jc w:val="left"/>
            <w:rPr>
              <w:sz w:val="32"/>
              <w:szCs w:val="36"/>
            </w:rPr>
          </w:pPr>
        </w:p>
        <w:p>
          <w:pPr>
            <w:pStyle w:val="5"/>
            <w:tabs>
              <w:tab w:val="right" w:leader="dot" w:pos="8296"/>
            </w:tabs>
            <w:rPr>
              <w:rFonts w:hint="eastAsia" w:ascii="仿宋" w:hAnsi="仿宋" w:eastAsia="仿宋" w:cs="仿宋"/>
              <w:sz w:val="22"/>
              <w:szCs w:val="22"/>
              <w14:ligatures w14:val="standardContextual"/>
            </w:rPr>
          </w:pP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TOC \o "1-3" \h \z \u </w:instrText>
          </w:r>
          <w:r>
            <w:rPr>
              <w:rFonts w:hint="eastAsia" w:ascii="仿宋" w:hAnsi="仿宋" w:eastAsia="仿宋" w:cs="仿宋"/>
              <w:sz w:val="22"/>
              <w:szCs w:val="22"/>
            </w:rPr>
            <w:fldChar w:fldCharType="separate"/>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HYPERLINK \l "_Toc155478221" </w:instrText>
          </w:r>
          <w:r>
            <w:rPr>
              <w:rFonts w:hint="eastAsia" w:ascii="仿宋" w:hAnsi="仿宋" w:eastAsia="仿宋" w:cs="仿宋"/>
              <w:sz w:val="22"/>
              <w:szCs w:val="22"/>
            </w:rPr>
            <w:fldChar w:fldCharType="separate"/>
          </w:r>
          <w:r>
            <w:rPr>
              <w:rStyle w:val="8"/>
              <w:rFonts w:hint="eastAsia" w:ascii="仿宋" w:hAnsi="仿宋" w:eastAsia="仿宋" w:cs="仿宋"/>
              <w:sz w:val="22"/>
              <w:szCs w:val="22"/>
            </w:rPr>
            <w:t xml:space="preserve">附录I </w:t>
          </w:r>
          <w:r>
            <w:rPr>
              <w:rStyle w:val="8"/>
              <w:rFonts w:hint="eastAsia" w:ascii="仿宋" w:hAnsi="仿宋" w:eastAsia="仿宋" w:cs="仿宋"/>
              <w:sz w:val="22"/>
              <w:szCs w:val="22"/>
              <w:lang w:val="en-US" w:eastAsia="zh-CN"/>
            </w:rPr>
            <w:t xml:space="preserve"> </w:t>
          </w:r>
          <w:r>
            <w:rPr>
              <w:rStyle w:val="8"/>
              <w:rFonts w:hint="eastAsia" w:ascii="仿宋" w:hAnsi="仿宋" w:eastAsia="仿宋" w:cs="仿宋"/>
              <w:sz w:val="22"/>
              <w:szCs w:val="22"/>
            </w:rPr>
            <w:t>附表</w:t>
          </w:r>
          <w:r>
            <w:rPr>
              <w:rFonts w:hint="eastAsia" w:ascii="仿宋" w:hAnsi="仿宋" w:eastAsia="仿宋" w:cs="仿宋"/>
              <w:sz w:val="22"/>
              <w:szCs w:val="22"/>
            </w:rPr>
            <w:tab/>
          </w:r>
          <w:r>
            <w:rPr>
              <w:rFonts w:hint="eastAsia" w:ascii="仿宋" w:hAnsi="仿宋" w:eastAsia="仿宋" w:cs="仿宋"/>
              <w:sz w:val="22"/>
              <w:szCs w:val="22"/>
              <w:lang w:val="en-US" w:eastAsia="zh-CN"/>
            </w:rPr>
            <w:t>1</w:t>
          </w:r>
          <w:r>
            <w:rPr>
              <w:rFonts w:hint="eastAsia" w:ascii="仿宋" w:hAnsi="仿宋" w:eastAsia="仿宋" w:cs="仿宋"/>
              <w:sz w:val="22"/>
              <w:szCs w:val="22"/>
            </w:rPr>
            <w:fldChar w:fldCharType="end"/>
          </w:r>
        </w:p>
        <w:p>
          <w:pPr>
            <w:pStyle w:val="5"/>
            <w:tabs>
              <w:tab w:val="right" w:leader="dot" w:pos="8296"/>
            </w:tabs>
            <w:rPr>
              <w:rFonts w:hint="eastAsia" w:ascii="仿宋" w:hAnsi="仿宋" w:eastAsia="仿宋" w:cs="仿宋"/>
              <w:sz w:val="22"/>
              <w:szCs w:val="22"/>
              <w14:ligatures w14:val="standardContextual"/>
            </w:rPr>
          </w:pP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HYPERLINK \l "_Toc155478222" </w:instrText>
          </w:r>
          <w:r>
            <w:rPr>
              <w:rFonts w:hint="eastAsia" w:ascii="仿宋" w:hAnsi="仿宋" w:eastAsia="仿宋" w:cs="仿宋"/>
              <w:sz w:val="22"/>
              <w:szCs w:val="22"/>
            </w:rPr>
            <w:fldChar w:fldCharType="separate"/>
          </w:r>
          <w:r>
            <w:rPr>
              <w:rStyle w:val="8"/>
              <w:rFonts w:hint="eastAsia" w:ascii="仿宋" w:hAnsi="仿宋" w:eastAsia="仿宋" w:cs="仿宋"/>
              <w:sz w:val="22"/>
              <w:szCs w:val="22"/>
            </w:rPr>
            <w:t>附录II</w:t>
          </w:r>
          <w:r>
            <w:rPr>
              <w:rStyle w:val="8"/>
              <w:rFonts w:hint="eastAsia" w:ascii="仿宋" w:hAnsi="仿宋" w:eastAsia="仿宋" w:cs="仿宋"/>
              <w:sz w:val="22"/>
              <w:szCs w:val="22"/>
              <w:lang w:val="en-US" w:eastAsia="zh-CN"/>
            </w:rPr>
            <w:t xml:space="preserve"> </w:t>
          </w:r>
          <w:r>
            <w:rPr>
              <w:rStyle w:val="8"/>
              <w:rFonts w:hint="eastAsia" w:ascii="仿宋" w:hAnsi="仿宋" w:eastAsia="仿宋" w:cs="仿宋"/>
              <w:sz w:val="22"/>
              <w:szCs w:val="22"/>
            </w:rPr>
            <w:t>关于交错双重差分方法的讨论</w:t>
          </w:r>
          <w:r>
            <w:rPr>
              <w:rFonts w:hint="eastAsia" w:ascii="仿宋" w:hAnsi="仿宋" w:eastAsia="仿宋" w:cs="仿宋"/>
              <w:sz w:val="22"/>
              <w:szCs w:val="22"/>
            </w:rPr>
            <w:tab/>
          </w:r>
          <w:r>
            <w:rPr>
              <w:rFonts w:hint="eastAsia" w:ascii="仿宋" w:hAnsi="仿宋" w:eastAsia="仿宋" w:cs="仿宋"/>
              <w:sz w:val="22"/>
              <w:szCs w:val="22"/>
              <w:lang w:val="en-US" w:eastAsia="zh-CN"/>
            </w:rPr>
            <w:t>4</w:t>
          </w:r>
          <w:r>
            <w:rPr>
              <w:rFonts w:hint="eastAsia" w:ascii="仿宋" w:hAnsi="仿宋" w:eastAsia="仿宋" w:cs="仿宋"/>
              <w:sz w:val="22"/>
              <w:szCs w:val="22"/>
            </w:rPr>
            <w:fldChar w:fldCharType="end"/>
          </w:r>
        </w:p>
        <w:p>
          <w:pPr>
            <w:rPr>
              <w:sz w:val="32"/>
              <w:szCs w:val="36"/>
            </w:rPr>
          </w:pPr>
          <w:r>
            <w:rPr>
              <w:rFonts w:hint="eastAsia" w:ascii="仿宋" w:hAnsi="仿宋" w:eastAsia="仿宋" w:cs="仿宋"/>
              <w:b/>
              <w:bCs/>
              <w:sz w:val="22"/>
              <w:szCs w:val="22"/>
              <w:lang w:val="zh-CN"/>
            </w:rPr>
            <w:fldChar w:fldCharType="end"/>
          </w:r>
        </w:p>
      </w:sdtContent>
    </w:sdt>
    <w:p>
      <w:pPr>
        <w:pStyle w:val="2"/>
        <w:rPr>
          <w:rFonts w:hint="eastAsia"/>
        </w:rPr>
        <w:sectPr>
          <w:headerReference r:id="rId3" w:type="default"/>
          <w:pgSz w:w="11906" w:h="16838"/>
          <w:pgMar w:top="1440" w:right="1800" w:bottom="1440" w:left="1800" w:header="851" w:footer="992" w:gutter="0"/>
          <w:cols w:space="425" w:num="1"/>
          <w:docGrid w:type="lines" w:linePitch="312" w:charSpace="0"/>
        </w:sectPr>
      </w:pPr>
      <w:bookmarkStart w:id="0" w:name="_Toc155478222"/>
    </w:p>
    <w:p>
      <w:pPr>
        <w:pStyle w:val="2"/>
        <w:jc w:val="center"/>
        <w:rPr>
          <w:rFonts w:hint="eastAsia" w:ascii="楷体" w:hAnsi="楷体" w:eastAsia="楷体" w:cs="楷体"/>
          <w:b w:val="0"/>
          <w:bCs w:val="0"/>
          <w:sz w:val="28"/>
          <w:szCs w:val="28"/>
        </w:rPr>
      </w:pPr>
      <w:r>
        <w:rPr>
          <w:rFonts w:hint="eastAsia" w:ascii="楷体" w:hAnsi="楷体" w:eastAsia="楷体" w:cs="楷体"/>
          <w:b w:val="0"/>
          <w:bCs w:val="0"/>
          <w:sz w:val="28"/>
          <w:szCs w:val="28"/>
        </w:rPr>
        <w:t>附录Ⅰ 附表</w:t>
      </w:r>
      <w:bookmarkEnd w:id="0"/>
    </w:p>
    <w:p>
      <w:pPr>
        <w:ind w:firstLine="360"/>
        <w:jc w:val="center"/>
        <w:rPr>
          <w:rFonts w:hint="eastAsia" w:ascii="宋体" w:hAnsi="宋体" w:eastAsia="宋体" w:cs="宋体"/>
          <w:b/>
          <w:bCs/>
          <w:sz w:val="20"/>
          <w:szCs w:val="21"/>
        </w:rPr>
      </w:pPr>
      <w:r>
        <w:rPr>
          <w:rFonts w:hint="eastAsia" w:ascii="宋体" w:hAnsi="宋体" w:eastAsia="宋体" w:cs="宋体"/>
          <w:b/>
          <w:bCs/>
          <w:sz w:val="20"/>
          <w:szCs w:val="21"/>
        </w:rPr>
        <w:t>表A1 变量描述统计</w:t>
      </w:r>
    </w:p>
    <w:tbl>
      <w:tblPr>
        <w:tblStyle w:val="6"/>
        <w:tblW w:w="8222" w:type="dxa"/>
        <w:tblInd w:w="0" w:type="dxa"/>
        <w:tblLayout w:type="fixed"/>
        <w:tblCellMar>
          <w:top w:w="0" w:type="dxa"/>
          <w:left w:w="108" w:type="dxa"/>
          <w:bottom w:w="0" w:type="dxa"/>
          <w:right w:w="108" w:type="dxa"/>
        </w:tblCellMar>
      </w:tblPr>
      <w:tblGrid>
        <w:gridCol w:w="800"/>
        <w:gridCol w:w="2461"/>
        <w:gridCol w:w="850"/>
        <w:gridCol w:w="992"/>
        <w:gridCol w:w="993"/>
        <w:gridCol w:w="992"/>
        <w:gridCol w:w="1134"/>
      </w:tblGrid>
      <w:tr>
        <w:tblPrEx>
          <w:tblCellMar>
            <w:top w:w="0" w:type="dxa"/>
            <w:left w:w="108" w:type="dxa"/>
            <w:bottom w:w="0" w:type="dxa"/>
            <w:right w:w="108" w:type="dxa"/>
          </w:tblCellMar>
        </w:tblPrEx>
        <w:tc>
          <w:tcPr>
            <w:tcW w:w="3261" w:type="dxa"/>
            <w:gridSpan w:val="2"/>
            <w:tcBorders>
              <w:top w:val="single" w:color="auto" w:sz="4" w:space="0"/>
              <w:left w:val="nil"/>
              <w:bottom w:val="single" w:color="auto" w:sz="10" w:space="0"/>
              <w:right w:val="nil"/>
            </w:tcBorders>
          </w:tcPr>
          <w:p>
            <w:pPr>
              <w:autoSpaceDE w:val="0"/>
              <w:autoSpaceDN w:val="0"/>
              <w:adjustRightInd w:val="0"/>
              <w:jc w:val="left"/>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变量（单位）</w:t>
            </w:r>
          </w:p>
        </w:tc>
        <w:tc>
          <w:tcPr>
            <w:tcW w:w="850" w:type="dxa"/>
            <w:tcBorders>
              <w:top w:val="single" w:color="auto" w:sz="4" w:space="0"/>
              <w:left w:val="nil"/>
              <w:bottom w:val="single" w:color="auto" w:sz="10" w:space="0"/>
              <w:right w:val="nil"/>
            </w:tcBorders>
          </w:tcPr>
          <w:p>
            <w:pPr>
              <w:autoSpaceDE w:val="0"/>
              <w:autoSpaceDN w:val="0"/>
              <w:adjustRightInd w:val="0"/>
              <w:jc w:val="right"/>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观察值</w:t>
            </w:r>
          </w:p>
        </w:tc>
        <w:tc>
          <w:tcPr>
            <w:tcW w:w="992" w:type="dxa"/>
            <w:tcBorders>
              <w:top w:val="single" w:color="auto" w:sz="4" w:space="0"/>
              <w:left w:val="nil"/>
              <w:bottom w:val="single" w:color="auto" w:sz="10" w:space="0"/>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 xml:space="preserve"> </w:t>
            </w:r>
            <w:r>
              <w:rPr>
                <w:rFonts w:hint="eastAsia" w:ascii="Times New Roman" w:hAnsi="Times New Roman" w:eastAsia="仿宋" w:cs="Times New Roman"/>
                <w:kern w:val="0"/>
                <w:sz w:val="18"/>
                <w:szCs w:val="18"/>
              </w:rPr>
              <w:t>均值</w:t>
            </w:r>
          </w:p>
        </w:tc>
        <w:tc>
          <w:tcPr>
            <w:tcW w:w="993" w:type="dxa"/>
            <w:tcBorders>
              <w:top w:val="single" w:color="auto" w:sz="4" w:space="0"/>
              <w:left w:val="nil"/>
              <w:bottom w:val="single" w:color="auto" w:sz="10" w:space="0"/>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 xml:space="preserve"> </w:t>
            </w:r>
            <w:r>
              <w:rPr>
                <w:rFonts w:hint="eastAsia" w:ascii="Times New Roman" w:hAnsi="Times New Roman" w:eastAsia="仿宋" w:cs="Times New Roman"/>
                <w:kern w:val="0"/>
                <w:sz w:val="18"/>
                <w:szCs w:val="18"/>
              </w:rPr>
              <w:t>标准差</w:t>
            </w:r>
          </w:p>
        </w:tc>
        <w:tc>
          <w:tcPr>
            <w:tcW w:w="992" w:type="dxa"/>
            <w:tcBorders>
              <w:top w:val="single" w:color="auto" w:sz="4" w:space="0"/>
              <w:left w:val="nil"/>
              <w:bottom w:val="single" w:color="auto" w:sz="10" w:space="0"/>
              <w:right w:val="nil"/>
            </w:tcBorders>
          </w:tcPr>
          <w:p>
            <w:pPr>
              <w:autoSpaceDE w:val="0"/>
              <w:autoSpaceDN w:val="0"/>
              <w:adjustRightInd w:val="0"/>
              <w:jc w:val="right"/>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最小值</w:t>
            </w:r>
          </w:p>
        </w:tc>
        <w:tc>
          <w:tcPr>
            <w:tcW w:w="1134" w:type="dxa"/>
            <w:tcBorders>
              <w:top w:val="single" w:color="auto" w:sz="4" w:space="0"/>
              <w:left w:val="nil"/>
              <w:bottom w:val="single" w:color="auto" w:sz="10" w:space="0"/>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 xml:space="preserve"> </w:t>
            </w:r>
            <w:r>
              <w:rPr>
                <w:rFonts w:hint="eastAsia" w:ascii="Times New Roman" w:hAnsi="Times New Roman" w:eastAsia="仿宋" w:cs="Times New Roman"/>
                <w:kern w:val="0"/>
                <w:sz w:val="18"/>
                <w:szCs w:val="18"/>
              </w:rPr>
              <w:t>最大值</w:t>
            </w:r>
          </w:p>
        </w:tc>
      </w:tr>
      <w:tr>
        <w:tblPrEx>
          <w:tblCellMar>
            <w:top w:w="0" w:type="dxa"/>
            <w:left w:w="108" w:type="dxa"/>
            <w:bottom w:w="0" w:type="dxa"/>
            <w:right w:w="108" w:type="dxa"/>
          </w:tblCellMar>
        </w:tblPrEx>
        <w:tc>
          <w:tcPr>
            <w:tcW w:w="3261" w:type="dxa"/>
            <w:gridSpan w:val="2"/>
            <w:tcBorders>
              <w:top w:val="single" w:color="auto" w:sz="4" w:space="0"/>
              <w:left w:val="nil"/>
              <w:right w:val="nil"/>
            </w:tcBorders>
          </w:tcPr>
          <w:p>
            <w:pPr>
              <w:autoSpaceDE w:val="0"/>
              <w:autoSpaceDN w:val="0"/>
              <w:adjustRightInd w:val="0"/>
              <w:jc w:val="left"/>
              <w:rPr>
                <w:rFonts w:ascii="Times New Roman" w:hAnsi="Times New Roman" w:eastAsia="仿宋" w:cs="Times New Roman"/>
                <w:b/>
                <w:bCs/>
                <w:kern w:val="0"/>
                <w:sz w:val="18"/>
                <w:szCs w:val="18"/>
              </w:rPr>
            </w:pPr>
            <w:r>
              <w:rPr>
                <w:rFonts w:hint="eastAsia" w:ascii="Times New Roman" w:hAnsi="Times New Roman" w:eastAsia="仿宋" w:cs="Times New Roman"/>
                <w:b/>
                <w:bCs/>
                <w:kern w:val="0"/>
                <w:sz w:val="18"/>
                <w:szCs w:val="18"/>
              </w:rPr>
              <w:t>自变量</w:t>
            </w:r>
          </w:p>
        </w:tc>
        <w:tc>
          <w:tcPr>
            <w:tcW w:w="850" w:type="dxa"/>
            <w:tcBorders>
              <w:top w:val="single" w:color="auto" w:sz="4" w:space="0"/>
              <w:left w:val="nil"/>
              <w:right w:val="nil"/>
            </w:tcBorders>
          </w:tcPr>
          <w:p>
            <w:pPr>
              <w:autoSpaceDE w:val="0"/>
              <w:autoSpaceDN w:val="0"/>
              <w:adjustRightInd w:val="0"/>
              <w:jc w:val="right"/>
              <w:rPr>
                <w:rFonts w:ascii="Times New Roman" w:hAnsi="Times New Roman" w:eastAsia="仿宋" w:cs="Times New Roman"/>
                <w:b/>
                <w:bCs/>
                <w:kern w:val="0"/>
                <w:sz w:val="18"/>
                <w:szCs w:val="18"/>
              </w:rPr>
            </w:pPr>
          </w:p>
        </w:tc>
        <w:tc>
          <w:tcPr>
            <w:tcW w:w="992" w:type="dxa"/>
            <w:tcBorders>
              <w:top w:val="single" w:color="auto" w:sz="4" w:space="0"/>
              <w:left w:val="nil"/>
              <w:right w:val="nil"/>
            </w:tcBorders>
          </w:tcPr>
          <w:p>
            <w:pPr>
              <w:autoSpaceDE w:val="0"/>
              <w:autoSpaceDN w:val="0"/>
              <w:adjustRightInd w:val="0"/>
              <w:jc w:val="right"/>
              <w:rPr>
                <w:rFonts w:ascii="Times New Roman" w:hAnsi="Times New Roman" w:eastAsia="仿宋" w:cs="Times New Roman"/>
                <w:b/>
                <w:bCs/>
                <w:kern w:val="0"/>
                <w:sz w:val="18"/>
                <w:szCs w:val="18"/>
              </w:rPr>
            </w:pPr>
          </w:p>
        </w:tc>
        <w:tc>
          <w:tcPr>
            <w:tcW w:w="993" w:type="dxa"/>
            <w:tcBorders>
              <w:top w:val="single" w:color="auto" w:sz="4" w:space="0"/>
              <w:left w:val="nil"/>
              <w:right w:val="nil"/>
            </w:tcBorders>
          </w:tcPr>
          <w:p>
            <w:pPr>
              <w:autoSpaceDE w:val="0"/>
              <w:autoSpaceDN w:val="0"/>
              <w:adjustRightInd w:val="0"/>
              <w:jc w:val="right"/>
              <w:rPr>
                <w:rFonts w:ascii="Times New Roman" w:hAnsi="Times New Roman" w:eastAsia="仿宋" w:cs="Times New Roman"/>
                <w:b/>
                <w:bCs/>
                <w:kern w:val="0"/>
                <w:sz w:val="18"/>
                <w:szCs w:val="18"/>
              </w:rPr>
            </w:pPr>
          </w:p>
        </w:tc>
        <w:tc>
          <w:tcPr>
            <w:tcW w:w="992" w:type="dxa"/>
            <w:tcBorders>
              <w:top w:val="single" w:color="auto" w:sz="4" w:space="0"/>
              <w:left w:val="nil"/>
              <w:right w:val="nil"/>
            </w:tcBorders>
          </w:tcPr>
          <w:p>
            <w:pPr>
              <w:autoSpaceDE w:val="0"/>
              <w:autoSpaceDN w:val="0"/>
              <w:adjustRightInd w:val="0"/>
              <w:jc w:val="right"/>
              <w:rPr>
                <w:rFonts w:ascii="Times New Roman" w:hAnsi="Times New Roman" w:eastAsia="仿宋" w:cs="Times New Roman"/>
                <w:b/>
                <w:bCs/>
                <w:kern w:val="0"/>
                <w:sz w:val="18"/>
                <w:szCs w:val="18"/>
              </w:rPr>
            </w:pPr>
          </w:p>
        </w:tc>
        <w:tc>
          <w:tcPr>
            <w:tcW w:w="1134" w:type="dxa"/>
            <w:tcBorders>
              <w:top w:val="single" w:color="auto" w:sz="4" w:space="0"/>
              <w:left w:val="nil"/>
              <w:right w:val="nil"/>
            </w:tcBorders>
          </w:tcPr>
          <w:p>
            <w:pPr>
              <w:autoSpaceDE w:val="0"/>
              <w:autoSpaceDN w:val="0"/>
              <w:adjustRightInd w:val="0"/>
              <w:jc w:val="right"/>
              <w:rPr>
                <w:rFonts w:ascii="Times New Roman" w:hAnsi="Times New Roman" w:eastAsia="仿宋" w:cs="Times New Roman"/>
                <w:b/>
                <w:bCs/>
                <w:kern w:val="0"/>
                <w:sz w:val="18"/>
                <w:szCs w:val="18"/>
              </w:rPr>
            </w:pPr>
          </w:p>
        </w:tc>
      </w:tr>
      <w:tr>
        <w:tblPrEx>
          <w:tblCellMar>
            <w:top w:w="0" w:type="dxa"/>
            <w:left w:w="108" w:type="dxa"/>
            <w:bottom w:w="0" w:type="dxa"/>
            <w:right w:w="108" w:type="dxa"/>
          </w:tblCellMar>
        </w:tblPrEx>
        <w:tc>
          <w:tcPr>
            <w:tcW w:w="3261" w:type="dxa"/>
            <w:gridSpan w:val="2"/>
            <w:tcBorders>
              <w:top w:val="nil"/>
              <w:left w:val="nil"/>
              <w:bottom w:val="nil"/>
              <w:right w:val="nil"/>
            </w:tcBorders>
          </w:tcPr>
          <w:p>
            <w:pPr>
              <w:autoSpaceDE w:val="0"/>
              <w:autoSpaceDN w:val="0"/>
              <w:adjustRightInd w:val="0"/>
              <w:jc w:val="left"/>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县级发电容量（千瓦时）</w:t>
            </w:r>
          </w:p>
        </w:tc>
        <w:tc>
          <w:tcPr>
            <w:tcW w:w="850"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28161</w:t>
            </w:r>
          </w:p>
        </w:tc>
        <w:tc>
          <w:tcPr>
            <w:tcW w:w="992"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87.575</w:t>
            </w:r>
          </w:p>
        </w:tc>
        <w:tc>
          <w:tcPr>
            <w:tcW w:w="993"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904.113</w:t>
            </w:r>
          </w:p>
        </w:tc>
        <w:tc>
          <w:tcPr>
            <w:tcW w:w="992"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0</w:t>
            </w:r>
          </w:p>
        </w:tc>
        <w:tc>
          <w:tcPr>
            <w:tcW w:w="1134"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24000</w:t>
            </w:r>
          </w:p>
        </w:tc>
      </w:tr>
      <w:tr>
        <w:tblPrEx>
          <w:tblCellMar>
            <w:top w:w="0" w:type="dxa"/>
            <w:left w:w="108" w:type="dxa"/>
            <w:bottom w:w="0" w:type="dxa"/>
            <w:right w:w="108" w:type="dxa"/>
          </w:tblCellMar>
        </w:tblPrEx>
        <w:tc>
          <w:tcPr>
            <w:tcW w:w="3261" w:type="dxa"/>
            <w:gridSpan w:val="2"/>
            <w:tcBorders>
              <w:top w:val="nil"/>
              <w:left w:val="nil"/>
              <w:bottom w:val="single" w:color="auto" w:sz="4" w:space="0"/>
              <w:right w:val="nil"/>
            </w:tcBorders>
          </w:tcPr>
          <w:p>
            <w:pPr>
              <w:autoSpaceDE w:val="0"/>
              <w:autoSpaceDN w:val="0"/>
              <w:adjustRightInd w:val="0"/>
              <w:jc w:val="left"/>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是否有电厂</w:t>
            </w:r>
          </w:p>
        </w:tc>
        <w:tc>
          <w:tcPr>
            <w:tcW w:w="850" w:type="dxa"/>
            <w:tcBorders>
              <w:top w:val="nil"/>
              <w:left w:val="nil"/>
              <w:bottom w:val="single" w:color="auto" w:sz="4" w:space="0"/>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28161</w:t>
            </w:r>
          </w:p>
        </w:tc>
        <w:tc>
          <w:tcPr>
            <w:tcW w:w="992" w:type="dxa"/>
            <w:tcBorders>
              <w:top w:val="nil"/>
              <w:left w:val="nil"/>
              <w:bottom w:val="single" w:color="auto" w:sz="4" w:space="0"/>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0.058</w:t>
            </w:r>
          </w:p>
        </w:tc>
        <w:tc>
          <w:tcPr>
            <w:tcW w:w="993" w:type="dxa"/>
            <w:tcBorders>
              <w:top w:val="nil"/>
              <w:left w:val="nil"/>
              <w:bottom w:val="single" w:color="auto" w:sz="4" w:space="0"/>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0.235</w:t>
            </w:r>
          </w:p>
        </w:tc>
        <w:tc>
          <w:tcPr>
            <w:tcW w:w="992" w:type="dxa"/>
            <w:tcBorders>
              <w:top w:val="nil"/>
              <w:left w:val="nil"/>
              <w:bottom w:val="single" w:color="auto" w:sz="4" w:space="0"/>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0</w:t>
            </w:r>
          </w:p>
        </w:tc>
        <w:tc>
          <w:tcPr>
            <w:tcW w:w="1134" w:type="dxa"/>
            <w:tcBorders>
              <w:top w:val="nil"/>
              <w:left w:val="nil"/>
              <w:bottom w:val="single" w:color="auto" w:sz="4" w:space="0"/>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1</w:t>
            </w:r>
          </w:p>
        </w:tc>
      </w:tr>
      <w:tr>
        <w:tblPrEx>
          <w:tblCellMar>
            <w:top w:w="0" w:type="dxa"/>
            <w:left w:w="108" w:type="dxa"/>
            <w:bottom w:w="0" w:type="dxa"/>
            <w:right w:w="108" w:type="dxa"/>
          </w:tblCellMar>
        </w:tblPrEx>
        <w:tc>
          <w:tcPr>
            <w:tcW w:w="3261" w:type="dxa"/>
            <w:gridSpan w:val="2"/>
            <w:tcBorders>
              <w:top w:val="nil"/>
              <w:left w:val="nil"/>
              <w:right w:val="nil"/>
            </w:tcBorders>
          </w:tcPr>
          <w:p>
            <w:pPr>
              <w:autoSpaceDE w:val="0"/>
              <w:autoSpaceDN w:val="0"/>
              <w:adjustRightInd w:val="0"/>
              <w:jc w:val="left"/>
              <w:rPr>
                <w:rFonts w:ascii="Times New Roman" w:hAnsi="Times New Roman" w:eastAsia="仿宋" w:cs="Times New Roman"/>
                <w:b/>
                <w:bCs/>
                <w:kern w:val="0"/>
                <w:sz w:val="18"/>
                <w:szCs w:val="18"/>
              </w:rPr>
            </w:pPr>
            <w:r>
              <w:rPr>
                <w:rFonts w:hint="eastAsia" w:ascii="Times New Roman" w:hAnsi="Times New Roman" w:eastAsia="仿宋" w:cs="Times New Roman"/>
                <w:b/>
                <w:bCs/>
                <w:kern w:val="0"/>
                <w:sz w:val="18"/>
                <w:szCs w:val="18"/>
              </w:rPr>
              <w:t>因变量</w:t>
            </w:r>
          </w:p>
        </w:tc>
        <w:tc>
          <w:tcPr>
            <w:tcW w:w="850" w:type="dxa"/>
            <w:tcBorders>
              <w:top w:val="nil"/>
              <w:left w:val="nil"/>
              <w:right w:val="nil"/>
            </w:tcBorders>
          </w:tcPr>
          <w:p>
            <w:pPr>
              <w:autoSpaceDE w:val="0"/>
              <w:autoSpaceDN w:val="0"/>
              <w:adjustRightInd w:val="0"/>
              <w:jc w:val="right"/>
              <w:rPr>
                <w:rFonts w:ascii="Times New Roman" w:hAnsi="Times New Roman" w:eastAsia="仿宋" w:cs="Times New Roman"/>
                <w:b/>
                <w:bCs/>
                <w:kern w:val="0"/>
                <w:sz w:val="18"/>
                <w:szCs w:val="18"/>
              </w:rPr>
            </w:pPr>
          </w:p>
        </w:tc>
        <w:tc>
          <w:tcPr>
            <w:tcW w:w="992" w:type="dxa"/>
            <w:tcBorders>
              <w:top w:val="nil"/>
              <w:left w:val="nil"/>
              <w:right w:val="nil"/>
            </w:tcBorders>
          </w:tcPr>
          <w:p>
            <w:pPr>
              <w:autoSpaceDE w:val="0"/>
              <w:autoSpaceDN w:val="0"/>
              <w:adjustRightInd w:val="0"/>
              <w:jc w:val="right"/>
              <w:rPr>
                <w:rFonts w:ascii="Times New Roman" w:hAnsi="Times New Roman" w:eastAsia="仿宋" w:cs="Times New Roman"/>
                <w:b/>
                <w:bCs/>
                <w:kern w:val="0"/>
                <w:sz w:val="18"/>
                <w:szCs w:val="18"/>
              </w:rPr>
            </w:pPr>
          </w:p>
        </w:tc>
        <w:tc>
          <w:tcPr>
            <w:tcW w:w="993" w:type="dxa"/>
            <w:tcBorders>
              <w:top w:val="nil"/>
              <w:left w:val="nil"/>
              <w:right w:val="nil"/>
            </w:tcBorders>
          </w:tcPr>
          <w:p>
            <w:pPr>
              <w:autoSpaceDE w:val="0"/>
              <w:autoSpaceDN w:val="0"/>
              <w:adjustRightInd w:val="0"/>
              <w:jc w:val="right"/>
              <w:rPr>
                <w:rFonts w:ascii="Times New Roman" w:hAnsi="Times New Roman" w:eastAsia="仿宋" w:cs="Times New Roman"/>
                <w:b/>
                <w:bCs/>
                <w:kern w:val="0"/>
                <w:sz w:val="18"/>
                <w:szCs w:val="18"/>
              </w:rPr>
            </w:pPr>
          </w:p>
        </w:tc>
        <w:tc>
          <w:tcPr>
            <w:tcW w:w="992" w:type="dxa"/>
            <w:tcBorders>
              <w:top w:val="nil"/>
              <w:left w:val="nil"/>
              <w:right w:val="nil"/>
            </w:tcBorders>
          </w:tcPr>
          <w:p>
            <w:pPr>
              <w:autoSpaceDE w:val="0"/>
              <w:autoSpaceDN w:val="0"/>
              <w:adjustRightInd w:val="0"/>
              <w:jc w:val="right"/>
              <w:rPr>
                <w:rFonts w:ascii="Times New Roman" w:hAnsi="Times New Roman" w:eastAsia="仿宋" w:cs="Times New Roman"/>
                <w:b/>
                <w:bCs/>
                <w:kern w:val="0"/>
                <w:sz w:val="18"/>
                <w:szCs w:val="18"/>
              </w:rPr>
            </w:pPr>
          </w:p>
        </w:tc>
        <w:tc>
          <w:tcPr>
            <w:tcW w:w="1134" w:type="dxa"/>
            <w:tcBorders>
              <w:top w:val="nil"/>
              <w:left w:val="nil"/>
              <w:right w:val="nil"/>
            </w:tcBorders>
          </w:tcPr>
          <w:p>
            <w:pPr>
              <w:autoSpaceDE w:val="0"/>
              <w:autoSpaceDN w:val="0"/>
              <w:adjustRightInd w:val="0"/>
              <w:jc w:val="right"/>
              <w:rPr>
                <w:rFonts w:ascii="Times New Roman" w:hAnsi="Times New Roman" w:eastAsia="仿宋" w:cs="Times New Roman"/>
                <w:b/>
                <w:bCs/>
                <w:kern w:val="0"/>
                <w:sz w:val="18"/>
                <w:szCs w:val="18"/>
              </w:rPr>
            </w:pPr>
          </w:p>
        </w:tc>
      </w:tr>
      <w:tr>
        <w:tblPrEx>
          <w:tblCellMar>
            <w:top w:w="0" w:type="dxa"/>
            <w:left w:w="108" w:type="dxa"/>
            <w:bottom w:w="0" w:type="dxa"/>
            <w:right w:w="108" w:type="dxa"/>
          </w:tblCellMar>
        </w:tblPrEx>
        <w:tc>
          <w:tcPr>
            <w:tcW w:w="3261" w:type="dxa"/>
            <w:gridSpan w:val="2"/>
            <w:tcBorders>
              <w:left w:val="nil"/>
              <w:right w:val="nil"/>
            </w:tcBorders>
          </w:tcPr>
          <w:p>
            <w:pPr>
              <w:autoSpaceDE w:val="0"/>
              <w:autoSpaceDN w:val="0"/>
              <w:adjustRightInd w:val="0"/>
              <w:jc w:val="left"/>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新进入企业数量（个）</w:t>
            </w:r>
          </w:p>
        </w:tc>
        <w:tc>
          <w:tcPr>
            <w:tcW w:w="850" w:type="dxa"/>
            <w:tcBorders>
              <w:left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28161</w:t>
            </w:r>
          </w:p>
        </w:tc>
        <w:tc>
          <w:tcPr>
            <w:tcW w:w="992" w:type="dxa"/>
            <w:tcBorders>
              <w:left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0.118</w:t>
            </w:r>
          </w:p>
        </w:tc>
        <w:tc>
          <w:tcPr>
            <w:tcW w:w="993" w:type="dxa"/>
            <w:tcBorders>
              <w:left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0.779</w:t>
            </w:r>
          </w:p>
        </w:tc>
        <w:tc>
          <w:tcPr>
            <w:tcW w:w="992" w:type="dxa"/>
            <w:tcBorders>
              <w:left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0</w:t>
            </w:r>
          </w:p>
        </w:tc>
        <w:tc>
          <w:tcPr>
            <w:tcW w:w="1134" w:type="dxa"/>
            <w:tcBorders>
              <w:left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69</w:t>
            </w:r>
          </w:p>
        </w:tc>
      </w:tr>
      <w:tr>
        <w:tblPrEx>
          <w:tblCellMar>
            <w:top w:w="0" w:type="dxa"/>
            <w:left w:w="108" w:type="dxa"/>
            <w:bottom w:w="0" w:type="dxa"/>
            <w:right w:w="108" w:type="dxa"/>
          </w:tblCellMar>
        </w:tblPrEx>
        <w:tc>
          <w:tcPr>
            <w:tcW w:w="3261" w:type="dxa"/>
            <w:gridSpan w:val="2"/>
            <w:tcBorders>
              <w:left w:val="nil"/>
              <w:bottom w:val="single" w:color="auto" w:sz="4" w:space="0"/>
              <w:right w:val="nil"/>
            </w:tcBorders>
          </w:tcPr>
          <w:p>
            <w:pPr>
              <w:autoSpaceDE w:val="0"/>
              <w:autoSpaceDN w:val="0"/>
              <w:adjustRightInd w:val="0"/>
              <w:jc w:val="left"/>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新进入企业资本量（千元，1</w:t>
            </w:r>
            <w:r>
              <w:rPr>
                <w:rFonts w:ascii="Times New Roman" w:hAnsi="Times New Roman" w:eastAsia="仿宋" w:cs="Times New Roman"/>
                <w:kern w:val="0"/>
                <w:sz w:val="18"/>
                <w:szCs w:val="18"/>
              </w:rPr>
              <w:t>875</w:t>
            </w:r>
            <w:r>
              <w:rPr>
                <w:rFonts w:hint="eastAsia" w:ascii="Times New Roman" w:hAnsi="Times New Roman" w:eastAsia="仿宋" w:cs="Times New Roman"/>
                <w:kern w:val="0"/>
                <w:sz w:val="18"/>
                <w:szCs w:val="18"/>
              </w:rPr>
              <w:t>年不变价格）</w:t>
            </w:r>
          </w:p>
        </w:tc>
        <w:tc>
          <w:tcPr>
            <w:tcW w:w="850" w:type="dxa"/>
            <w:tcBorders>
              <w:left w:val="nil"/>
              <w:bottom w:val="single" w:color="auto" w:sz="4" w:space="0"/>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28161</w:t>
            </w:r>
          </w:p>
        </w:tc>
        <w:tc>
          <w:tcPr>
            <w:tcW w:w="992" w:type="dxa"/>
            <w:tcBorders>
              <w:left w:val="nil"/>
              <w:bottom w:val="single" w:color="auto" w:sz="4" w:space="0"/>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113715.3</w:t>
            </w:r>
          </w:p>
        </w:tc>
        <w:tc>
          <w:tcPr>
            <w:tcW w:w="993" w:type="dxa"/>
            <w:tcBorders>
              <w:left w:val="nil"/>
              <w:bottom w:val="single" w:color="auto" w:sz="4" w:space="0"/>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919836</w:t>
            </w:r>
          </w:p>
        </w:tc>
        <w:tc>
          <w:tcPr>
            <w:tcW w:w="992" w:type="dxa"/>
            <w:tcBorders>
              <w:left w:val="nil"/>
              <w:bottom w:val="single" w:color="auto" w:sz="4" w:space="0"/>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0</w:t>
            </w:r>
          </w:p>
        </w:tc>
        <w:tc>
          <w:tcPr>
            <w:tcW w:w="1134" w:type="dxa"/>
            <w:tcBorders>
              <w:left w:val="nil"/>
              <w:bottom w:val="single" w:color="auto" w:sz="4" w:space="0"/>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 xml:space="preserve"> 27276452</w:t>
            </w:r>
          </w:p>
        </w:tc>
      </w:tr>
      <w:tr>
        <w:tblPrEx>
          <w:tblCellMar>
            <w:top w:w="0" w:type="dxa"/>
            <w:left w:w="108" w:type="dxa"/>
            <w:bottom w:w="0" w:type="dxa"/>
            <w:right w:w="108" w:type="dxa"/>
          </w:tblCellMar>
        </w:tblPrEx>
        <w:tc>
          <w:tcPr>
            <w:tcW w:w="3261" w:type="dxa"/>
            <w:gridSpan w:val="2"/>
            <w:tcBorders>
              <w:top w:val="single" w:color="auto" w:sz="4" w:space="0"/>
              <w:left w:val="nil"/>
              <w:right w:val="nil"/>
            </w:tcBorders>
          </w:tcPr>
          <w:p>
            <w:pPr>
              <w:autoSpaceDE w:val="0"/>
              <w:autoSpaceDN w:val="0"/>
              <w:adjustRightInd w:val="0"/>
              <w:jc w:val="left"/>
              <w:rPr>
                <w:rFonts w:ascii="Times New Roman" w:hAnsi="Times New Roman" w:eastAsia="仿宋" w:cs="Times New Roman"/>
                <w:b/>
                <w:bCs/>
                <w:kern w:val="0"/>
                <w:sz w:val="18"/>
                <w:szCs w:val="18"/>
              </w:rPr>
            </w:pPr>
            <w:r>
              <w:rPr>
                <w:rFonts w:hint="eastAsia" w:ascii="Times New Roman" w:hAnsi="Times New Roman" w:eastAsia="仿宋" w:cs="Times New Roman"/>
                <w:b/>
                <w:bCs/>
                <w:kern w:val="0"/>
                <w:sz w:val="18"/>
                <w:szCs w:val="18"/>
              </w:rPr>
              <w:t>控制变量</w:t>
            </w:r>
          </w:p>
        </w:tc>
        <w:tc>
          <w:tcPr>
            <w:tcW w:w="850" w:type="dxa"/>
            <w:tcBorders>
              <w:top w:val="single" w:color="auto" w:sz="4" w:space="0"/>
              <w:left w:val="nil"/>
              <w:right w:val="nil"/>
            </w:tcBorders>
          </w:tcPr>
          <w:p>
            <w:pPr>
              <w:autoSpaceDE w:val="0"/>
              <w:autoSpaceDN w:val="0"/>
              <w:adjustRightInd w:val="0"/>
              <w:jc w:val="right"/>
              <w:rPr>
                <w:rFonts w:ascii="Times New Roman" w:hAnsi="Times New Roman" w:eastAsia="仿宋" w:cs="Times New Roman"/>
                <w:b/>
                <w:bCs/>
                <w:kern w:val="0"/>
                <w:sz w:val="18"/>
                <w:szCs w:val="18"/>
              </w:rPr>
            </w:pPr>
          </w:p>
        </w:tc>
        <w:tc>
          <w:tcPr>
            <w:tcW w:w="992" w:type="dxa"/>
            <w:tcBorders>
              <w:top w:val="single" w:color="auto" w:sz="4" w:space="0"/>
              <w:left w:val="nil"/>
              <w:right w:val="nil"/>
            </w:tcBorders>
          </w:tcPr>
          <w:p>
            <w:pPr>
              <w:autoSpaceDE w:val="0"/>
              <w:autoSpaceDN w:val="0"/>
              <w:adjustRightInd w:val="0"/>
              <w:jc w:val="right"/>
              <w:rPr>
                <w:rFonts w:ascii="Times New Roman" w:hAnsi="Times New Roman" w:eastAsia="仿宋" w:cs="Times New Roman"/>
                <w:b/>
                <w:bCs/>
                <w:kern w:val="0"/>
                <w:sz w:val="18"/>
                <w:szCs w:val="18"/>
              </w:rPr>
            </w:pPr>
          </w:p>
        </w:tc>
        <w:tc>
          <w:tcPr>
            <w:tcW w:w="993" w:type="dxa"/>
            <w:tcBorders>
              <w:top w:val="single" w:color="auto" w:sz="4" w:space="0"/>
              <w:left w:val="nil"/>
              <w:right w:val="nil"/>
            </w:tcBorders>
          </w:tcPr>
          <w:p>
            <w:pPr>
              <w:autoSpaceDE w:val="0"/>
              <w:autoSpaceDN w:val="0"/>
              <w:adjustRightInd w:val="0"/>
              <w:jc w:val="right"/>
              <w:rPr>
                <w:rFonts w:ascii="Times New Roman" w:hAnsi="Times New Roman" w:eastAsia="仿宋" w:cs="Times New Roman"/>
                <w:b/>
                <w:bCs/>
                <w:kern w:val="0"/>
                <w:sz w:val="18"/>
                <w:szCs w:val="18"/>
              </w:rPr>
            </w:pPr>
          </w:p>
        </w:tc>
        <w:tc>
          <w:tcPr>
            <w:tcW w:w="992" w:type="dxa"/>
            <w:tcBorders>
              <w:top w:val="single" w:color="auto" w:sz="4" w:space="0"/>
              <w:left w:val="nil"/>
              <w:right w:val="nil"/>
            </w:tcBorders>
          </w:tcPr>
          <w:p>
            <w:pPr>
              <w:autoSpaceDE w:val="0"/>
              <w:autoSpaceDN w:val="0"/>
              <w:adjustRightInd w:val="0"/>
              <w:jc w:val="right"/>
              <w:rPr>
                <w:rFonts w:ascii="Times New Roman" w:hAnsi="Times New Roman" w:eastAsia="仿宋" w:cs="Times New Roman"/>
                <w:b/>
                <w:bCs/>
                <w:kern w:val="0"/>
                <w:sz w:val="18"/>
                <w:szCs w:val="18"/>
              </w:rPr>
            </w:pPr>
          </w:p>
        </w:tc>
        <w:tc>
          <w:tcPr>
            <w:tcW w:w="1134" w:type="dxa"/>
            <w:tcBorders>
              <w:top w:val="single" w:color="auto" w:sz="4" w:space="0"/>
              <w:left w:val="nil"/>
              <w:right w:val="nil"/>
            </w:tcBorders>
          </w:tcPr>
          <w:p>
            <w:pPr>
              <w:autoSpaceDE w:val="0"/>
              <w:autoSpaceDN w:val="0"/>
              <w:adjustRightInd w:val="0"/>
              <w:jc w:val="right"/>
              <w:rPr>
                <w:rFonts w:ascii="Times New Roman" w:hAnsi="Times New Roman" w:eastAsia="仿宋" w:cs="Times New Roman"/>
                <w:b/>
                <w:bCs/>
                <w:kern w:val="0"/>
                <w:sz w:val="18"/>
                <w:szCs w:val="18"/>
              </w:rPr>
            </w:pPr>
          </w:p>
        </w:tc>
      </w:tr>
      <w:tr>
        <w:tblPrEx>
          <w:tblCellMar>
            <w:top w:w="0" w:type="dxa"/>
            <w:left w:w="108" w:type="dxa"/>
            <w:bottom w:w="0" w:type="dxa"/>
            <w:right w:w="108" w:type="dxa"/>
          </w:tblCellMar>
        </w:tblPrEx>
        <w:tc>
          <w:tcPr>
            <w:tcW w:w="3261" w:type="dxa"/>
            <w:gridSpan w:val="2"/>
            <w:tcBorders>
              <w:left w:val="nil"/>
              <w:bottom w:val="nil"/>
              <w:right w:val="nil"/>
            </w:tcBorders>
          </w:tcPr>
          <w:p>
            <w:pPr>
              <w:autoSpaceDE w:val="0"/>
              <w:autoSpaceDN w:val="0"/>
              <w:adjustRightInd w:val="0"/>
              <w:jc w:val="left"/>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经度</w:t>
            </w:r>
          </w:p>
        </w:tc>
        <w:tc>
          <w:tcPr>
            <w:tcW w:w="850" w:type="dxa"/>
            <w:tcBorders>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28161</w:t>
            </w:r>
          </w:p>
        </w:tc>
        <w:tc>
          <w:tcPr>
            <w:tcW w:w="992" w:type="dxa"/>
            <w:tcBorders>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114.887</w:t>
            </w:r>
          </w:p>
        </w:tc>
        <w:tc>
          <w:tcPr>
            <w:tcW w:w="993" w:type="dxa"/>
            <w:tcBorders>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5.561</w:t>
            </w:r>
          </w:p>
        </w:tc>
        <w:tc>
          <w:tcPr>
            <w:tcW w:w="992" w:type="dxa"/>
            <w:tcBorders>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100.134</w:t>
            </w:r>
          </w:p>
        </w:tc>
        <w:tc>
          <w:tcPr>
            <w:tcW w:w="1134" w:type="dxa"/>
            <w:tcBorders>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134.033</w:t>
            </w:r>
          </w:p>
        </w:tc>
      </w:tr>
      <w:tr>
        <w:tblPrEx>
          <w:tblCellMar>
            <w:top w:w="0" w:type="dxa"/>
            <w:left w:w="108" w:type="dxa"/>
            <w:bottom w:w="0" w:type="dxa"/>
            <w:right w:w="108" w:type="dxa"/>
          </w:tblCellMar>
        </w:tblPrEx>
        <w:tc>
          <w:tcPr>
            <w:tcW w:w="3261" w:type="dxa"/>
            <w:gridSpan w:val="2"/>
            <w:tcBorders>
              <w:top w:val="nil"/>
              <w:left w:val="nil"/>
              <w:bottom w:val="nil"/>
              <w:right w:val="nil"/>
            </w:tcBorders>
          </w:tcPr>
          <w:p>
            <w:pPr>
              <w:autoSpaceDE w:val="0"/>
              <w:autoSpaceDN w:val="0"/>
              <w:adjustRightInd w:val="0"/>
              <w:jc w:val="left"/>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纬度</w:t>
            </w:r>
          </w:p>
        </w:tc>
        <w:tc>
          <w:tcPr>
            <w:tcW w:w="850"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28161</w:t>
            </w:r>
          </w:p>
        </w:tc>
        <w:tc>
          <w:tcPr>
            <w:tcW w:w="992"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31.795</w:t>
            </w:r>
          </w:p>
        </w:tc>
        <w:tc>
          <w:tcPr>
            <w:tcW w:w="993"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5.216</w:t>
            </w:r>
          </w:p>
        </w:tc>
        <w:tc>
          <w:tcPr>
            <w:tcW w:w="992"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19.234</w:t>
            </w:r>
          </w:p>
        </w:tc>
        <w:tc>
          <w:tcPr>
            <w:tcW w:w="1134"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48.045</w:t>
            </w:r>
          </w:p>
        </w:tc>
      </w:tr>
      <w:tr>
        <w:tblPrEx>
          <w:tblCellMar>
            <w:top w:w="0" w:type="dxa"/>
            <w:left w:w="108" w:type="dxa"/>
            <w:bottom w:w="0" w:type="dxa"/>
            <w:right w:w="108" w:type="dxa"/>
          </w:tblCellMar>
        </w:tblPrEx>
        <w:tc>
          <w:tcPr>
            <w:tcW w:w="3261" w:type="dxa"/>
            <w:gridSpan w:val="2"/>
            <w:tcBorders>
              <w:top w:val="nil"/>
              <w:left w:val="nil"/>
              <w:bottom w:val="nil"/>
              <w:right w:val="nil"/>
            </w:tcBorders>
          </w:tcPr>
          <w:p>
            <w:pPr>
              <w:autoSpaceDE w:val="0"/>
              <w:autoSpaceDN w:val="0"/>
              <w:adjustRightInd w:val="0"/>
              <w:jc w:val="left"/>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洋务运动时期的军工企业数（个）</w:t>
            </w:r>
          </w:p>
        </w:tc>
        <w:tc>
          <w:tcPr>
            <w:tcW w:w="850"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28161</w:t>
            </w:r>
          </w:p>
        </w:tc>
        <w:tc>
          <w:tcPr>
            <w:tcW w:w="992"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0.056</w:t>
            </w:r>
          </w:p>
        </w:tc>
        <w:tc>
          <w:tcPr>
            <w:tcW w:w="993"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0.298</w:t>
            </w:r>
          </w:p>
        </w:tc>
        <w:tc>
          <w:tcPr>
            <w:tcW w:w="992"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0</w:t>
            </w:r>
          </w:p>
        </w:tc>
        <w:tc>
          <w:tcPr>
            <w:tcW w:w="1134"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3</w:t>
            </w:r>
          </w:p>
        </w:tc>
      </w:tr>
      <w:tr>
        <w:tblPrEx>
          <w:tblCellMar>
            <w:top w:w="0" w:type="dxa"/>
            <w:left w:w="108" w:type="dxa"/>
            <w:bottom w:w="0" w:type="dxa"/>
            <w:right w:w="108" w:type="dxa"/>
          </w:tblCellMar>
        </w:tblPrEx>
        <w:tc>
          <w:tcPr>
            <w:tcW w:w="3261" w:type="dxa"/>
            <w:gridSpan w:val="2"/>
            <w:tcBorders>
              <w:top w:val="nil"/>
              <w:left w:val="nil"/>
              <w:bottom w:val="nil"/>
              <w:right w:val="nil"/>
            </w:tcBorders>
          </w:tcPr>
          <w:p>
            <w:pPr>
              <w:autoSpaceDE w:val="0"/>
              <w:autoSpaceDN w:val="0"/>
              <w:adjustRightInd w:val="0"/>
              <w:jc w:val="left"/>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是否简缺</w:t>
            </w:r>
          </w:p>
        </w:tc>
        <w:tc>
          <w:tcPr>
            <w:tcW w:w="850"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28161</w:t>
            </w:r>
          </w:p>
        </w:tc>
        <w:tc>
          <w:tcPr>
            <w:tcW w:w="992"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0.21</w:t>
            </w:r>
          </w:p>
        </w:tc>
        <w:tc>
          <w:tcPr>
            <w:tcW w:w="993"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0.408</w:t>
            </w:r>
          </w:p>
        </w:tc>
        <w:tc>
          <w:tcPr>
            <w:tcW w:w="992"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0</w:t>
            </w:r>
          </w:p>
        </w:tc>
        <w:tc>
          <w:tcPr>
            <w:tcW w:w="1134"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1</w:t>
            </w:r>
          </w:p>
        </w:tc>
      </w:tr>
      <w:tr>
        <w:tblPrEx>
          <w:tblCellMar>
            <w:top w:w="0" w:type="dxa"/>
            <w:left w:w="108" w:type="dxa"/>
            <w:bottom w:w="0" w:type="dxa"/>
            <w:right w:w="108" w:type="dxa"/>
          </w:tblCellMar>
        </w:tblPrEx>
        <w:tc>
          <w:tcPr>
            <w:tcW w:w="3261" w:type="dxa"/>
            <w:gridSpan w:val="2"/>
            <w:tcBorders>
              <w:top w:val="nil"/>
              <w:left w:val="nil"/>
              <w:bottom w:val="nil"/>
              <w:right w:val="nil"/>
            </w:tcBorders>
          </w:tcPr>
          <w:p>
            <w:pPr>
              <w:autoSpaceDE w:val="0"/>
              <w:autoSpaceDN w:val="0"/>
              <w:adjustRightInd w:val="0"/>
              <w:jc w:val="left"/>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是否中缺</w:t>
            </w:r>
          </w:p>
        </w:tc>
        <w:tc>
          <w:tcPr>
            <w:tcW w:w="850"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28161</w:t>
            </w:r>
          </w:p>
        </w:tc>
        <w:tc>
          <w:tcPr>
            <w:tcW w:w="992"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0.32</w:t>
            </w:r>
          </w:p>
        </w:tc>
        <w:tc>
          <w:tcPr>
            <w:tcW w:w="993"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0.466</w:t>
            </w:r>
          </w:p>
        </w:tc>
        <w:tc>
          <w:tcPr>
            <w:tcW w:w="992"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0</w:t>
            </w:r>
          </w:p>
        </w:tc>
        <w:tc>
          <w:tcPr>
            <w:tcW w:w="1134"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1</w:t>
            </w:r>
          </w:p>
        </w:tc>
      </w:tr>
      <w:tr>
        <w:tblPrEx>
          <w:tblCellMar>
            <w:top w:w="0" w:type="dxa"/>
            <w:left w:w="108" w:type="dxa"/>
            <w:bottom w:w="0" w:type="dxa"/>
            <w:right w:w="108" w:type="dxa"/>
          </w:tblCellMar>
        </w:tblPrEx>
        <w:tc>
          <w:tcPr>
            <w:tcW w:w="3261" w:type="dxa"/>
            <w:gridSpan w:val="2"/>
            <w:tcBorders>
              <w:top w:val="nil"/>
              <w:left w:val="nil"/>
              <w:bottom w:val="nil"/>
              <w:right w:val="nil"/>
            </w:tcBorders>
          </w:tcPr>
          <w:p>
            <w:pPr>
              <w:autoSpaceDE w:val="0"/>
              <w:autoSpaceDN w:val="0"/>
              <w:adjustRightInd w:val="0"/>
              <w:jc w:val="left"/>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是否要缺</w:t>
            </w:r>
          </w:p>
        </w:tc>
        <w:tc>
          <w:tcPr>
            <w:tcW w:w="850"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28161</w:t>
            </w:r>
          </w:p>
        </w:tc>
        <w:tc>
          <w:tcPr>
            <w:tcW w:w="992"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0.362</w:t>
            </w:r>
          </w:p>
        </w:tc>
        <w:tc>
          <w:tcPr>
            <w:tcW w:w="993"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0.481</w:t>
            </w:r>
          </w:p>
        </w:tc>
        <w:tc>
          <w:tcPr>
            <w:tcW w:w="992"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0</w:t>
            </w:r>
          </w:p>
        </w:tc>
        <w:tc>
          <w:tcPr>
            <w:tcW w:w="1134"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1</w:t>
            </w:r>
          </w:p>
        </w:tc>
      </w:tr>
      <w:tr>
        <w:tblPrEx>
          <w:tblCellMar>
            <w:top w:w="0" w:type="dxa"/>
            <w:left w:w="108" w:type="dxa"/>
            <w:bottom w:w="0" w:type="dxa"/>
            <w:right w:w="108" w:type="dxa"/>
          </w:tblCellMar>
        </w:tblPrEx>
        <w:tc>
          <w:tcPr>
            <w:tcW w:w="3261" w:type="dxa"/>
            <w:gridSpan w:val="2"/>
            <w:tcBorders>
              <w:top w:val="nil"/>
              <w:left w:val="nil"/>
              <w:bottom w:val="nil"/>
              <w:right w:val="nil"/>
            </w:tcBorders>
          </w:tcPr>
          <w:p>
            <w:pPr>
              <w:autoSpaceDE w:val="0"/>
              <w:autoSpaceDN w:val="0"/>
              <w:adjustRightInd w:val="0"/>
              <w:jc w:val="left"/>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是否省会</w:t>
            </w:r>
          </w:p>
        </w:tc>
        <w:tc>
          <w:tcPr>
            <w:tcW w:w="850"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28161</w:t>
            </w:r>
          </w:p>
        </w:tc>
        <w:tc>
          <w:tcPr>
            <w:tcW w:w="992"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0.208</w:t>
            </w:r>
          </w:p>
        </w:tc>
        <w:tc>
          <w:tcPr>
            <w:tcW w:w="993"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0.406</w:t>
            </w:r>
          </w:p>
        </w:tc>
        <w:tc>
          <w:tcPr>
            <w:tcW w:w="992"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0</w:t>
            </w:r>
          </w:p>
        </w:tc>
        <w:tc>
          <w:tcPr>
            <w:tcW w:w="1134"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1</w:t>
            </w:r>
          </w:p>
        </w:tc>
      </w:tr>
      <w:tr>
        <w:tblPrEx>
          <w:tblCellMar>
            <w:top w:w="0" w:type="dxa"/>
            <w:left w:w="108" w:type="dxa"/>
            <w:bottom w:w="0" w:type="dxa"/>
            <w:right w:w="108" w:type="dxa"/>
          </w:tblCellMar>
        </w:tblPrEx>
        <w:tc>
          <w:tcPr>
            <w:tcW w:w="3261" w:type="dxa"/>
            <w:gridSpan w:val="2"/>
            <w:tcBorders>
              <w:top w:val="nil"/>
              <w:left w:val="nil"/>
              <w:bottom w:val="nil"/>
              <w:right w:val="nil"/>
            </w:tcBorders>
          </w:tcPr>
          <w:p>
            <w:pPr>
              <w:autoSpaceDE w:val="0"/>
              <w:autoSpaceDN w:val="0"/>
              <w:adjustRightInd w:val="0"/>
              <w:jc w:val="left"/>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是否首县</w:t>
            </w:r>
          </w:p>
        </w:tc>
        <w:tc>
          <w:tcPr>
            <w:tcW w:w="850"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28161</w:t>
            </w:r>
          </w:p>
        </w:tc>
        <w:tc>
          <w:tcPr>
            <w:tcW w:w="992"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0.271</w:t>
            </w:r>
          </w:p>
        </w:tc>
        <w:tc>
          <w:tcPr>
            <w:tcW w:w="993"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0.444</w:t>
            </w:r>
          </w:p>
        </w:tc>
        <w:tc>
          <w:tcPr>
            <w:tcW w:w="992"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0</w:t>
            </w:r>
          </w:p>
        </w:tc>
        <w:tc>
          <w:tcPr>
            <w:tcW w:w="1134"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1</w:t>
            </w:r>
          </w:p>
        </w:tc>
      </w:tr>
      <w:tr>
        <w:tblPrEx>
          <w:tblCellMar>
            <w:top w:w="0" w:type="dxa"/>
            <w:left w:w="108" w:type="dxa"/>
            <w:bottom w:w="0" w:type="dxa"/>
            <w:right w:w="108" w:type="dxa"/>
          </w:tblCellMar>
        </w:tblPrEx>
        <w:tc>
          <w:tcPr>
            <w:tcW w:w="3261" w:type="dxa"/>
            <w:gridSpan w:val="2"/>
            <w:tcBorders>
              <w:top w:val="nil"/>
              <w:left w:val="nil"/>
              <w:bottom w:val="nil"/>
              <w:right w:val="nil"/>
            </w:tcBorders>
          </w:tcPr>
          <w:p>
            <w:pPr>
              <w:autoSpaceDE w:val="0"/>
              <w:autoSpaceDN w:val="0"/>
              <w:adjustRightInd w:val="0"/>
              <w:jc w:val="left"/>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到对外战场的距离（千米）</w:t>
            </w:r>
          </w:p>
        </w:tc>
        <w:tc>
          <w:tcPr>
            <w:tcW w:w="850"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28161</w:t>
            </w:r>
          </w:p>
        </w:tc>
        <w:tc>
          <w:tcPr>
            <w:tcW w:w="992"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394.772</w:t>
            </w:r>
          </w:p>
        </w:tc>
        <w:tc>
          <w:tcPr>
            <w:tcW w:w="993"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306.743</w:t>
            </w:r>
          </w:p>
        </w:tc>
        <w:tc>
          <w:tcPr>
            <w:tcW w:w="992"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0</w:t>
            </w:r>
          </w:p>
        </w:tc>
        <w:tc>
          <w:tcPr>
            <w:tcW w:w="1134"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1690.16</w:t>
            </w:r>
          </w:p>
        </w:tc>
      </w:tr>
      <w:tr>
        <w:tblPrEx>
          <w:tblCellMar>
            <w:top w:w="0" w:type="dxa"/>
            <w:left w:w="108" w:type="dxa"/>
            <w:bottom w:w="0" w:type="dxa"/>
            <w:right w:w="108" w:type="dxa"/>
          </w:tblCellMar>
        </w:tblPrEx>
        <w:tc>
          <w:tcPr>
            <w:tcW w:w="3261" w:type="dxa"/>
            <w:gridSpan w:val="2"/>
            <w:tcBorders>
              <w:top w:val="nil"/>
              <w:left w:val="nil"/>
              <w:bottom w:val="nil"/>
              <w:right w:val="nil"/>
            </w:tcBorders>
          </w:tcPr>
          <w:p>
            <w:pPr>
              <w:autoSpaceDE w:val="0"/>
              <w:autoSpaceDN w:val="0"/>
              <w:adjustRightInd w:val="0"/>
              <w:jc w:val="left"/>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到海岸线的距离（千米）</w:t>
            </w:r>
          </w:p>
        </w:tc>
        <w:tc>
          <w:tcPr>
            <w:tcW w:w="850"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28161</w:t>
            </w:r>
          </w:p>
        </w:tc>
        <w:tc>
          <w:tcPr>
            <w:tcW w:w="992"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352.806</w:t>
            </w:r>
          </w:p>
        </w:tc>
        <w:tc>
          <w:tcPr>
            <w:tcW w:w="993"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323.825</w:t>
            </w:r>
          </w:p>
        </w:tc>
        <w:tc>
          <w:tcPr>
            <w:tcW w:w="992"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0.513</w:t>
            </w:r>
          </w:p>
        </w:tc>
        <w:tc>
          <w:tcPr>
            <w:tcW w:w="1134"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1247.605</w:t>
            </w:r>
          </w:p>
        </w:tc>
      </w:tr>
      <w:tr>
        <w:tblPrEx>
          <w:tblCellMar>
            <w:top w:w="0" w:type="dxa"/>
            <w:left w:w="108" w:type="dxa"/>
            <w:bottom w:w="0" w:type="dxa"/>
            <w:right w:w="108" w:type="dxa"/>
          </w:tblCellMar>
        </w:tblPrEx>
        <w:tc>
          <w:tcPr>
            <w:tcW w:w="3261" w:type="dxa"/>
            <w:gridSpan w:val="2"/>
            <w:tcBorders>
              <w:top w:val="nil"/>
              <w:left w:val="nil"/>
              <w:bottom w:val="nil"/>
              <w:right w:val="nil"/>
            </w:tcBorders>
          </w:tcPr>
          <w:p>
            <w:pPr>
              <w:autoSpaceDE w:val="0"/>
              <w:autoSpaceDN w:val="0"/>
              <w:adjustRightInd w:val="0"/>
              <w:jc w:val="left"/>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到河流的距离（千米）</w:t>
            </w:r>
          </w:p>
        </w:tc>
        <w:tc>
          <w:tcPr>
            <w:tcW w:w="850"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28161</w:t>
            </w:r>
          </w:p>
        </w:tc>
        <w:tc>
          <w:tcPr>
            <w:tcW w:w="992"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3.598</w:t>
            </w:r>
          </w:p>
        </w:tc>
        <w:tc>
          <w:tcPr>
            <w:tcW w:w="993"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6.005</w:t>
            </w:r>
          </w:p>
        </w:tc>
        <w:tc>
          <w:tcPr>
            <w:tcW w:w="992"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0</w:t>
            </w:r>
          </w:p>
        </w:tc>
        <w:tc>
          <w:tcPr>
            <w:tcW w:w="1134"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40.052</w:t>
            </w:r>
          </w:p>
        </w:tc>
      </w:tr>
      <w:tr>
        <w:tblPrEx>
          <w:tblCellMar>
            <w:top w:w="0" w:type="dxa"/>
            <w:left w:w="108" w:type="dxa"/>
            <w:bottom w:w="0" w:type="dxa"/>
            <w:right w:w="108" w:type="dxa"/>
          </w:tblCellMar>
        </w:tblPrEx>
        <w:tc>
          <w:tcPr>
            <w:tcW w:w="3261" w:type="dxa"/>
            <w:gridSpan w:val="2"/>
            <w:tcBorders>
              <w:top w:val="nil"/>
              <w:left w:val="nil"/>
              <w:bottom w:val="nil"/>
              <w:right w:val="nil"/>
            </w:tcBorders>
          </w:tcPr>
          <w:p>
            <w:pPr>
              <w:autoSpaceDE w:val="0"/>
              <w:autoSpaceDN w:val="0"/>
              <w:adjustRightInd w:val="0"/>
              <w:jc w:val="left"/>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到通商口岸的距离（千米）</w:t>
            </w:r>
          </w:p>
        </w:tc>
        <w:tc>
          <w:tcPr>
            <w:tcW w:w="850"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28161</w:t>
            </w:r>
          </w:p>
        </w:tc>
        <w:tc>
          <w:tcPr>
            <w:tcW w:w="992"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216.933</w:t>
            </w:r>
          </w:p>
        </w:tc>
        <w:tc>
          <w:tcPr>
            <w:tcW w:w="993"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176.396</w:t>
            </w:r>
          </w:p>
        </w:tc>
        <w:tc>
          <w:tcPr>
            <w:tcW w:w="992"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0</w:t>
            </w:r>
          </w:p>
        </w:tc>
        <w:tc>
          <w:tcPr>
            <w:tcW w:w="1134"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1295.844</w:t>
            </w:r>
          </w:p>
        </w:tc>
      </w:tr>
      <w:tr>
        <w:tblPrEx>
          <w:tblCellMar>
            <w:top w:w="0" w:type="dxa"/>
            <w:left w:w="108" w:type="dxa"/>
            <w:bottom w:w="0" w:type="dxa"/>
            <w:right w:w="108" w:type="dxa"/>
          </w:tblCellMar>
        </w:tblPrEx>
        <w:tc>
          <w:tcPr>
            <w:tcW w:w="3261" w:type="dxa"/>
            <w:gridSpan w:val="2"/>
            <w:tcBorders>
              <w:top w:val="nil"/>
              <w:left w:val="nil"/>
              <w:bottom w:val="nil"/>
              <w:right w:val="nil"/>
            </w:tcBorders>
          </w:tcPr>
          <w:p>
            <w:pPr>
              <w:autoSpaceDE w:val="0"/>
              <w:autoSpaceDN w:val="0"/>
              <w:adjustRightInd w:val="0"/>
              <w:jc w:val="left"/>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是否被太平天国运动影响</w:t>
            </w:r>
          </w:p>
        </w:tc>
        <w:tc>
          <w:tcPr>
            <w:tcW w:w="850"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28161</w:t>
            </w:r>
          </w:p>
        </w:tc>
        <w:tc>
          <w:tcPr>
            <w:tcW w:w="992"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0.374</w:t>
            </w:r>
          </w:p>
        </w:tc>
        <w:tc>
          <w:tcPr>
            <w:tcW w:w="993"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0.484</w:t>
            </w:r>
          </w:p>
        </w:tc>
        <w:tc>
          <w:tcPr>
            <w:tcW w:w="992"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0</w:t>
            </w:r>
          </w:p>
        </w:tc>
        <w:tc>
          <w:tcPr>
            <w:tcW w:w="1134"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1</w:t>
            </w:r>
          </w:p>
        </w:tc>
      </w:tr>
      <w:tr>
        <w:tblPrEx>
          <w:tblCellMar>
            <w:top w:w="0" w:type="dxa"/>
            <w:left w:w="108" w:type="dxa"/>
            <w:bottom w:w="0" w:type="dxa"/>
            <w:right w:w="108" w:type="dxa"/>
          </w:tblCellMar>
        </w:tblPrEx>
        <w:tc>
          <w:tcPr>
            <w:tcW w:w="3261" w:type="dxa"/>
            <w:gridSpan w:val="2"/>
            <w:tcBorders>
              <w:top w:val="nil"/>
              <w:left w:val="nil"/>
              <w:bottom w:val="nil"/>
              <w:right w:val="nil"/>
            </w:tcBorders>
          </w:tcPr>
          <w:p>
            <w:pPr>
              <w:autoSpaceDE w:val="0"/>
              <w:autoSpaceDN w:val="0"/>
              <w:adjustRightInd w:val="0"/>
              <w:jc w:val="left"/>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土壤适宜程度指数（棉）</w:t>
            </w:r>
          </w:p>
        </w:tc>
        <w:tc>
          <w:tcPr>
            <w:tcW w:w="850"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28161</w:t>
            </w:r>
          </w:p>
        </w:tc>
        <w:tc>
          <w:tcPr>
            <w:tcW w:w="992"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5.63</w:t>
            </w:r>
          </w:p>
        </w:tc>
        <w:tc>
          <w:tcPr>
            <w:tcW w:w="993"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1.31</w:t>
            </w:r>
          </w:p>
        </w:tc>
        <w:tc>
          <w:tcPr>
            <w:tcW w:w="992"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0</w:t>
            </w:r>
          </w:p>
        </w:tc>
        <w:tc>
          <w:tcPr>
            <w:tcW w:w="1134"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8.748</w:t>
            </w:r>
          </w:p>
        </w:tc>
      </w:tr>
      <w:tr>
        <w:tblPrEx>
          <w:tblCellMar>
            <w:top w:w="0" w:type="dxa"/>
            <w:left w:w="108" w:type="dxa"/>
            <w:bottom w:w="0" w:type="dxa"/>
            <w:right w:w="108" w:type="dxa"/>
          </w:tblCellMar>
        </w:tblPrEx>
        <w:tc>
          <w:tcPr>
            <w:tcW w:w="3261" w:type="dxa"/>
            <w:gridSpan w:val="2"/>
            <w:tcBorders>
              <w:top w:val="nil"/>
              <w:left w:val="nil"/>
              <w:bottom w:val="nil"/>
              <w:right w:val="nil"/>
            </w:tcBorders>
          </w:tcPr>
          <w:p>
            <w:pPr>
              <w:autoSpaceDE w:val="0"/>
              <w:autoSpaceDN w:val="0"/>
              <w:adjustRightInd w:val="0"/>
              <w:jc w:val="left"/>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土壤适宜程度指数（茶叶）</w:t>
            </w:r>
          </w:p>
        </w:tc>
        <w:tc>
          <w:tcPr>
            <w:tcW w:w="850"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28161</w:t>
            </w:r>
          </w:p>
        </w:tc>
        <w:tc>
          <w:tcPr>
            <w:tcW w:w="992"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6.766</w:t>
            </w:r>
          </w:p>
        </w:tc>
        <w:tc>
          <w:tcPr>
            <w:tcW w:w="993"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2.009</w:t>
            </w:r>
          </w:p>
        </w:tc>
        <w:tc>
          <w:tcPr>
            <w:tcW w:w="992"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0</w:t>
            </w:r>
          </w:p>
        </w:tc>
        <w:tc>
          <w:tcPr>
            <w:tcW w:w="1134"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9.167</w:t>
            </w:r>
          </w:p>
        </w:tc>
      </w:tr>
      <w:tr>
        <w:tblPrEx>
          <w:tblCellMar>
            <w:top w:w="0" w:type="dxa"/>
            <w:left w:w="108" w:type="dxa"/>
            <w:bottom w:w="0" w:type="dxa"/>
            <w:right w:w="108" w:type="dxa"/>
          </w:tblCellMar>
        </w:tblPrEx>
        <w:tc>
          <w:tcPr>
            <w:tcW w:w="3261" w:type="dxa"/>
            <w:gridSpan w:val="2"/>
            <w:tcBorders>
              <w:top w:val="nil"/>
              <w:left w:val="nil"/>
              <w:bottom w:val="nil"/>
              <w:right w:val="nil"/>
            </w:tcBorders>
          </w:tcPr>
          <w:p>
            <w:pPr>
              <w:autoSpaceDE w:val="0"/>
              <w:autoSpaceDN w:val="0"/>
              <w:adjustRightInd w:val="0"/>
              <w:jc w:val="left"/>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土壤适宜程度指数（大豆）</w:t>
            </w:r>
          </w:p>
        </w:tc>
        <w:tc>
          <w:tcPr>
            <w:tcW w:w="850"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28161</w:t>
            </w:r>
          </w:p>
        </w:tc>
        <w:tc>
          <w:tcPr>
            <w:tcW w:w="992"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5.9</w:t>
            </w:r>
          </w:p>
        </w:tc>
        <w:tc>
          <w:tcPr>
            <w:tcW w:w="993"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1.106</w:t>
            </w:r>
          </w:p>
        </w:tc>
        <w:tc>
          <w:tcPr>
            <w:tcW w:w="992"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0</w:t>
            </w:r>
          </w:p>
        </w:tc>
        <w:tc>
          <w:tcPr>
            <w:tcW w:w="1134" w:type="dxa"/>
            <w:tcBorders>
              <w:top w:val="nil"/>
              <w:left w:val="nil"/>
              <w:bottom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8.286</w:t>
            </w:r>
          </w:p>
        </w:tc>
      </w:tr>
      <w:tr>
        <w:tblPrEx>
          <w:tblCellMar>
            <w:top w:w="0" w:type="dxa"/>
            <w:left w:w="108" w:type="dxa"/>
            <w:bottom w:w="0" w:type="dxa"/>
            <w:right w:w="108" w:type="dxa"/>
          </w:tblCellMar>
        </w:tblPrEx>
        <w:tc>
          <w:tcPr>
            <w:tcW w:w="3261" w:type="dxa"/>
            <w:gridSpan w:val="2"/>
            <w:tcBorders>
              <w:top w:val="nil"/>
              <w:left w:val="nil"/>
              <w:right w:val="nil"/>
            </w:tcBorders>
          </w:tcPr>
          <w:p>
            <w:pPr>
              <w:autoSpaceDE w:val="0"/>
              <w:autoSpaceDN w:val="0"/>
              <w:adjustRightInd w:val="0"/>
              <w:jc w:val="left"/>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土壤适宜程度指数（小麦）</w:t>
            </w:r>
          </w:p>
        </w:tc>
        <w:tc>
          <w:tcPr>
            <w:tcW w:w="850" w:type="dxa"/>
            <w:tcBorders>
              <w:top w:val="nil"/>
              <w:left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28161</w:t>
            </w:r>
          </w:p>
        </w:tc>
        <w:tc>
          <w:tcPr>
            <w:tcW w:w="992" w:type="dxa"/>
            <w:tcBorders>
              <w:top w:val="nil"/>
              <w:left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5.75</w:t>
            </w:r>
          </w:p>
        </w:tc>
        <w:tc>
          <w:tcPr>
            <w:tcW w:w="993" w:type="dxa"/>
            <w:tcBorders>
              <w:top w:val="nil"/>
              <w:left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0.914</w:t>
            </w:r>
          </w:p>
        </w:tc>
        <w:tc>
          <w:tcPr>
            <w:tcW w:w="992" w:type="dxa"/>
            <w:tcBorders>
              <w:top w:val="nil"/>
              <w:left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0</w:t>
            </w:r>
          </w:p>
        </w:tc>
        <w:tc>
          <w:tcPr>
            <w:tcW w:w="1134" w:type="dxa"/>
            <w:tcBorders>
              <w:top w:val="nil"/>
              <w:left w:val="nil"/>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8.143</w:t>
            </w:r>
          </w:p>
        </w:tc>
      </w:tr>
      <w:tr>
        <w:tblPrEx>
          <w:tblCellMar>
            <w:top w:w="0" w:type="dxa"/>
            <w:left w:w="108" w:type="dxa"/>
            <w:bottom w:w="0" w:type="dxa"/>
            <w:right w:w="108" w:type="dxa"/>
          </w:tblCellMar>
        </w:tblPrEx>
        <w:tc>
          <w:tcPr>
            <w:tcW w:w="3261" w:type="dxa"/>
            <w:gridSpan w:val="2"/>
            <w:tcBorders>
              <w:top w:val="nil"/>
              <w:left w:val="nil"/>
              <w:bottom w:val="single" w:color="auto" w:sz="4" w:space="0"/>
              <w:right w:val="nil"/>
            </w:tcBorders>
          </w:tcPr>
          <w:p>
            <w:pPr>
              <w:autoSpaceDE w:val="0"/>
              <w:autoSpaceDN w:val="0"/>
              <w:adjustRightInd w:val="0"/>
              <w:jc w:val="left"/>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是否有租界</w:t>
            </w:r>
          </w:p>
        </w:tc>
        <w:tc>
          <w:tcPr>
            <w:tcW w:w="850" w:type="dxa"/>
            <w:tcBorders>
              <w:top w:val="nil"/>
              <w:left w:val="nil"/>
              <w:bottom w:val="single" w:color="auto" w:sz="4" w:space="0"/>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28161</w:t>
            </w:r>
          </w:p>
        </w:tc>
        <w:tc>
          <w:tcPr>
            <w:tcW w:w="992" w:type="dxa"/>
            <w:tcBorders>
              <w:top w:val="nil"/>
              <w:left w:val="nil"/>
              <w:bottom w:val="single" w:color="auto" w:sz="4" w:space="0"/>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0.016</w:t>
            </w:r>
          </w:p>
        </w:tc>
        <w:tc>
          <w:tcPr>
            <w:tcW w:w="993" w:type="dxa"/>
            <w:tcBorders>
              <w:top w:val="nil"/>
              <w:left w:val="nil"/>
              <w:bottom w:val="single" w:color="auto" w:sz="4" w:space="0"/>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0.124</w:t>
            </w:r>
          </w:p>
        </w:tc>
        <w:tc>
          <w:tcPr>
            <w:tcW w:w="992" w:type="dxa"/>
            <w:tcBorders>
              <w:top w:val="nil"/>
              <w:left w:val="nil"/>
              <w:bottom w:val="single" w:color="auto" w:sz="4" w:space="0"/>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0</w:t>
            </w:r>
          </w:p>
        </w:tc>
        <w:tc>
          <w:tcPr>
            <w:tcW w:w="1134" w:type="dxa"/>
            <w:tcBorders>
              <w:top w:val="nil"/>
              <w:left w:val="nil"/>
              <w:bottom w:val="single" w:color="auto" w:sz="4" w:space="0"/>
              <w:right w:val="nil"/>
            </w:tcBorders>
          </w:tcPr>
          <w:p>
            <w:pPr>
              <w:autoSpaceDE w:val="0"/>
              <w:autoSpaceDN w:val="0"/>
              <w:adjustRightInd w:val="0"/>
              <w:jc w:val="right"/>
              <w:rPr>
                <w:rFonts w:ascii="Times New Roman" w:hAnsi="Times New Roman" w:eastAsia="仿宋" w:cs="Times New Roman"/>
                <w:kern w:val="0"/>
                <w:sz w:val="18"/>
                <w:szCs w:val="18"/>
              </w:rPr>
            </w:pPr>
            <w:r>
              <w:rPr>
                <w:rFonts w:ascii="Times New Roman" w:hAnsi="Times New Roman" w:eastAsia="仿宋" w:cs="Times New Roman"/>
                <w:kern w:val="0"/>
                <w:sz w:val="18"/>
                <w:szCs w:val="18"/>
              </w:rPr>
              <w:t>1</w:t>
            </w:r>
          </w:p>
        </w:tc>
      </w:tr>
      <w:tr>
        <w:tblPrEx>
          <w:tblCellMar>
            <w:top w:w="0" w:type="dxa"/>
            <w:left w:w="108" w:type="dxa"/>
            <w:bottom w:w="0" w:type="dxa"/>
            <w:right w:w="108" w:type="dxa"/>
          </w:tblCellMar>
        </w:tblPrEx>
        <w:trPr>
          <w:gridAfter w:val="6"/>
          <w:wAfter w:w="7422" w:type="dxa"/>
        </w:trPr>
        <w:tc>
          <w:tcPr>
            <w:tcW w:w="800" w:type="dxa"/>
            <w:tcBorders>
              <w:top w:val="single" w:color="auto" w:sz="6" w:space="0"/>
              <w:left w:val="nil"/>
              <w:bottom w:val="nil"/>
              <w:right w:val="nil"/>
            </w:tcBorders>
          </w:tcPr>
          <w:p>
            <w:pPr>
              <w:autoSpaceDE w:val="0"/>
              <w:autoSpaceDN w:val="0"/>
              <w:adjustRightInd w:val="0"/>
              <w:jc w:val="left"/>
              <w:rPr>
                <w:rFonts w:ascii="Times New Roman" w:hAnsi="Times New Roman" w:eastAsia="仿宋" w:cs="Times New Roman"/>
                <w:kern w:val="0"/>
                <w:sz w:val="20"/>
                <w:szCs w:val="20"/>
              </w:rPr>
            </w:pPr>
          </w:p>
        </w:tc>
      </w:tr>
    </w:tbl>
    <w:p>
      <w:pPr>
        <w:pStyle w:val="9"/>
        <w:ind w:left="360" w:firstLine="0" w:firstLineChars="0"/>
        <w:rPr>
          <w:rFonts w:ascii="Times New Roman" w:hAnsi="Times New Roman" w:eastAsia="宋体" w:cs="Times New Roman"/>
          <w:b/>
          <w:bCs/>
        </w:rPr>
      </w:pPr>
    </w:p>
    <w:p>
      <w:pPr>
        <w:widowControl/>
        <w:jc w:val="left"/>
        <w:rPr>
          <w:rFonts w:ascii="Times New Roman" w:hAnsi="Times New Roman" w:eastAsia="宋体" w:cs="Times New Roman"/>
          <w:b/>
          <w:bCs/>
        </w:rPr>
      </w:pPr>
      <w:r>
        <w:rPr>
          <w:rFonts w:ascii="Times New Roman" w:hAnsi="Times New Roman" w:eastAsia="宋体" w:cs="Times New Roman"/>
          <w:b/>
          <w:bCs/>
        </w:rPr>
        <w:br w:type="page"/>
      </w:r>
    </w:p>
    <w:p>
      <w:pPr>
        <w:pStyle w:val="9"/>
        <w:ind w:left="360" w:firstLine="0" w:firstLineChars="0"/>
        <w:rPr>
          <w:rFonts w:ascii="Times New Roman" w:hAnsi="Times New Roman" w:eastAsia="宋体" w:cs="Times New Roman"/>
          <w:b/>
          <w:bCs/>
        </w:rPr>
      </w:pPr>
    </w:p>
    <w:p>
      <w:pPr>
        <w:widowControl/>
        <w:jc w:val="center"/>
        <w:rPr>
          <w:rFonts w:hint="eastAsia" w:ascii="宋体" w:hAnsi="宋体" w:eastAsia="宋体" w:cs="宋体"/>
          <w:b/>
          <w:bCs/>
          <w:sz w:val="20"/>
          <w:szCs w:val="21"/>
        </w:rPr>
      </w:pPr>
      <w:r>
        <w:rPr>
          <w:rFonts w:hint="eastAsia" w:ascii="宋体" w:hAnsi="宋体" w:eastAsia="宋体" w:cs="宋体"/>
          <w:b/>
          <w:bCs/>
          <w:sz w:val="20"/>
          <w:szCs w:val="21"/>
        </w:rPr>
        <w:t>表A2工具变量的稳健性检验</w:t>
      </w:r>
    </w:p>
    <w:tbl>
      <w:tblPr>
        <w:tblStyle w:val="6"/>
        <w:tblW w:w="9781" w:type="dxa"/>
        <w:jc w:val="center"/>
        <w:tblLayout w:type="autofit"/>
        <w:tblCellMar>
          <w:top w:w="0" w:type="dxa"/>
          <w:left w:w="108" w:type="dxa"/>
          <w:bottom w:w="0" w:type="dxa"/>
          <w:right w:w="108" w:type="dxa"/>
        </w:tblCellMar>
      </w:tblPr>
      <w:tblGrid>
        <w:gridCol w:w="2084"/>
        <w:gridCol w:w="2082"/>
        <w:gridCol w:w="1079"/>
        <w:gridCol w:w="1869"/>
        <w:gridCol w:w="1391"/>
        <w:gridCol w:w="1134"/>
        <w:gridCol w:w="142"/>
      </w:tblGrid>
      <w:tr>
        <w:tblPrEx>
          <w:tblCellMar>
            <w:top w:w="0" w:type="dxa"/>
            <w:left w:w="108" w:type="dxa"/>
            <w:bottom w:w="0" w:type="dxa"/>
            <w:right w:w="108" w:type="dxa"/>
          </w:tblCellMar>
        </w:tblPrEx>
        <w:trPr>
          <w:gridAfter w:val="1"/>
          <w:wAfter w:w="142" w:type="dxa"/>
          <w:trHeight w:val="263" w:hRule="atLeast"/>
          <w:jc w:val="center"/>
        </w:trPr>
        <w:tc>
          <w:tcPr>
            <w:tcW w:w="2084" w:type="dxa"/>
            <w:tcBorders>
              <w:top w:val="single" w:color="000000" w:sz="4" w:space="0"/>
              <w:left w:val="nil"/>
              <w:bottom w:val="nil"/>
              <w:right w:val="nil"/>
            </w:tcBorders>
            <w:shd w:val="clear" w:color="auto" w:fill="auto"/>
            <w:noWrap/>
            <w:vAlign w:val="bottom"/>
          </w:tcPr>
          <w:p>
            <w:pPr>
              <w:widowControl/>
              <w:jc w:val="left"/>
              <w:rPr>
                <w:rFonts w:ascii="Times New Roman" w:hAnsi="Times New Roman" w:eastAsia="仿宋" w:cs="Times New Roman"/>
                <w:kern w:val="0"/>
                <w:sz w:val="18"/>
                <w:szCs w:val="18"/>
              </w:rPr>
            </w:pPr>
            <w:bookmarkStart w:id="1" w:name="_Hlk102678030"/>
            <w:r>
              <w:rPr>
                <w:rFonts w:ascii="Times New Roman" w:hAnsi="Times New Roman" w:eastAsia="仿宋" w:cs="Times New Roman"/>
                <w:kern w:val="0"/>
                <w:sz w:val="18"/>
                <w:szCs w:val="18"/>
              </w:rPr>
              <w:t>　</w:t>
            </w:r>
          </w:p>
        </w:tc>
        <w:tc>
          <w:tcPr>
            <w:tcW w:w="2082" w:type="dxa"/>
            <w:tcBorders>
              <w:top w:val="single" w:color="000000" w:sz="4" w:space="0"/>
              <w:left w:val="nil"/>
              <w:bottom w:val="nil"/>
              <w:right w:val="nil"/>
            </w:tcBorders>
            <w:shd w:val="clear" w:color="auto" w:fill="auto"/>
            <w:noWrap/>
            <w:vAlign w:val="bottom"/>
          </w:tcPr>
          <w:p>
            <w:pPr>
              <w:widowControl/>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(1)</w:t>
            </w:r>
          </w:p>
        </w:tc>
        <w:tc>
          <w:tcPr>
            <w:tcW w:w="1079" w:type="dxa"/>
            <w:tcBorders>
              <w:top w:val="single" w:color="000000" w:sz="4" w:space="0"/>
              <w:left w:val="nil"/>
              <w:bottom w:val="nil"/>
              <w:right w:val="nil"/>
            </w:tcBorders>
            <w:shd w:val="clear" w:color="auto" w:fill="auto"/>
            <w:noWrap/>
            <w:vAlign w:val="bottom"/>
          </w:tcPr>
          <w:p>
            <w:pPr>
              <w:widowControl/>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(2)</w:t>
            </w:r>
          </w:p>
        </w:tc>
        <w:tc>
          <w:tcPr>
            <w:tcW w:w="1869" w:type="dxa"/>
            <w:tcBorders>
              <w:top w:val="single" w:color="000000" w:sz="4" w:space="0"/>
              <w:left w:val="nil"/>
              <w:bottom w:val="nil"/>
              <w:right w:val="nil"/>
            </w:tcBorders>
            <w:shd w:val="clear" w:color="auto" w:fill="auto"/>
            <w:noWrap/>
            <w:vAlign w:val="bottom"/>
          </w:tcPr>
          <w:p>
            <w:pPr>
              <w:widowControl/>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(3)</w:t>
            </w:r>
          </w:p>
        </w:tc>
        <w:tc>
          <w:tcPr>
            <w:tcW w:w="1391" w:type="dxa"/>
            <w:tcBorders>
              <w:top w:val="single" w:color="000000" w:sz="4" w:space="0"/>
              <w:left w:val="nil"/>
              <w:bottom w:val="nil"/>
              <w:right w:val="nil"/>
            </w:tcBorders>
            <w:shd w:val="clear" w:color="auto" w:fill="auto"/>
            <w:noWrap/>
            <w:vAlign w:val="bottom"/>
          </w:tcPr>
          <w:p>
            <w:pPr>
              <w:widowControl/>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(4)</w:t>
            </w:r>
          </w:p>
        </w:tc>
        <w:tc>
          <w:tcPr>
            <w:tcW w:w="1134" w:type="dxa"/>
            <w:tcBorders>
              <w:top w:val="single" w:color="000000" w:sz="4" w:space="0"/>
              <w:left w:val="nil"/>
              <w:bottom w:val="nil"/>
              <w:right w:val="nil"/>
            </w:tcBorders>
            <w:vAlign w:val="bottom"/>
          </w:tcPr>
          <w:p>
            <w:pPr>
              <w:widowControl/>
              <w:jc w:val="center"/>
              <w:rPr>
                <w:rFonts w:ascii="Times New Roman" w:hAnsi="Times New Roman" w:eastAsia="仿宋" w:cs="Times New Roman"/>
                <w:kern w:val="0"/>
                <w:sz w:val="18"/>
                <w:szCs w:val="18"/>
              </w:rPr>
            </w:pPr>
            <w:r>
              <w:rPr>
                <w:rFonts w:ascii="Times New Roman" w:hAnsi="Times New Roman" w:cs="Times New Roman"/>
                <w:sz w:val="18"/>
                <w:szCs w:val="18"/>
              </w:rPr>
              <w:t>(5)</w:t>
            </w:r>
          </w:p>
        </w:tc>
      </w:tr>
      <w:tr>
        <w:tblPrEx>
          <w:tblCellMar>
            <w:top w:w="0" w:type="dxa"/>
            <w:left w:w="108" w:type="dxa"/>
            <w:bottom w:w="0" w:type="dxa"/>
            <w:right w:w="108" w:type="dxa"/>
          </w:tblCellMar>
        </w:tblPrEx>
        <w:trPr>
          <w:gridAfter w:val="1"/>
          <w:wAfter w:w="142" w:type="dxa"/>
          <w:trHeight w:val="263" w:hRule="atLeast"/>
          <w:jc w:val="center"/>
        </w:trPr>
        <w:tc>
          <w:tcPr>
            <w:tcW w:w="2084"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18"/>
                <w:szCs w:val="18"/>
              </w:rPr>
            </w:pPr>
          </w:p>
        </w:tc>
        <w:tc>
          <w:tcPr>
            <w:tcW w:w="2082" w:type="dxa"/>
            <w:tcBorders>
              <w:top w:val="nil"/>
              <w:left w:val="nil"/>
              <w:bottom w:val="nil"/>
              <w:right w:val="nil"/>
            </w:tcBorders>
            <w:shd w:val="clear" w:color="auto" w:fill="auto"/>
            <w:noWrap/>
          </w:tcPr>
          <w:p>
            <w:pPr>
              <w:widowControl/>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2sls</w:t>
            </w:r>
          </w:p>
        </w:tc>
        <w:tc>
          <w:tcPr>
            <w:tcW w:w="1079" w:type="dxa"/>
            <w:tcBorders>
              <w:top w:val="nil"/>
              <w:left w:val="nil"/>
              <w:bottom w:val="nil"/>
              <w:right w:val="nil"/>
            </w:tcBorders>
            <w:shd w:val="clear" w:color="auto" w:fill="auto"/>
            <w:noWrap/>
          </w:tcPr>
          <w:p>
            <w:pPr>
              <w:widowControl/>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2sls</w:t>
            </w:r>
          </w:p>
        </w:tc>
        <w:tc>
          <w:tcPr>
            <w:tcW w:w="1869" w:type="dxa"/>
            <w:tcBorders>
              <w:top w:val="nil"/>
              <w:left w:val="nil"/>
              <w:bottom w:val="nil"/>
              <w:right w:val="nil"/>
            </w:tcBorders>
            <w:shd w:val="clear" w:color="auto" w:fill="auto"/>
            <w:noWrap/>
          </w:tcPr>
          <w:p>
            <w:pPr>
              <w:widowControl/>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2sls</w:t>
            </w:r>
          </w:p>
        </w:tc>
        <w:tc>
          <w:tcPr>
            <w:tcW w:w="1391" w:type="dxa"/>
            <w:tcBorders>
              <w:top w:val="nil"/>
              <w:left w:val="nil"/>
              <w:bottom w:val="nil"/>
              <w:right w:val="nil"/>
            </w:tcBorders>
            <w:shd w:val="clear" w:color="auto" w:fill="auto"/>
            <w:noWrap/>
          </w:tcPr>
          <w:p>
            <w:pPr>
              <w:widowControl/>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2sls</w:t>
            </w:r>
          </w:p>
        </w:tc>
        <w:tc>
          <w:tcPr>
            <w:tcW w:w="1134" w:type="dxa"/>
            <w:tcBorders>
              <w:top w:val="nil"/>
              <w:left w:val="nil"/>
              <w:bottom w:val="nil"/>
              <w:right w:val="nil"/>
            </w:tcBorders>
            <w:vAlign w:val="bottom"/>
          </w:tcPr>
          <w:p>
            <w:pPr>
              <w:widowControl/>
              <w:jc w:val="center"/>
              <w:rPr>
                <w:rFonts w:ascii="Times New Roman" w:hAnsi="Times New Roman" w:eastAsia="仿宋" w:cs="Times New Roman"/>
                <w:kern w:val="0"/>
                <w:sz w:val="18"/>
                <w:szCs w:val="18"/>
              </w:rPr>
            </w:pPr>
            <w:r>
              <w:rPr>
                <w:rFonts w:ascii="Times New Roman" w:hAnsi="Times New Roman" w:cs="Times New Roman"/>
                <w:sz w:val="18"/>
                <w:szCs w:val="18"/>
              </w:rPr>
              <w:t>ols</w:t>
            </w:r>
          </w:p>
        </w:tc>
      </w:tr>
      <w:tr>
        <w:tblPrEx>
          <w:tblCellMar>
            <w:top w:w="0" w:type="dxa"/>
            <w:left w:w="108" w:type="dxa"/>
            <w:bottom w:w="0" w:type="dxa"/>
            <w:right w:w="108" w:type="dxa"/>
          </w:tblCellMar>
        </w:tblPrEx>
        <w:trPr>
          <w:gridAfter w:val="1"/>
          <w:wAfter w:w="142" w:type="dxa"/>
          <w:trHeight w:val="263" w:hRule="atLeast"/>
          <w:jc w:val="center"/>
        </w:trPr>
        <w:tc>
          <w:tcPr>
            <w:tcW w:w="2084" w:type="dxa"/>
            <w:tcBorders>
              <w:top w:val="nil"/>
              <w:left w:val="nil"/>
              <w:bottom w:val="nil"/>
              <w:right w:val="nil"/>
            </w:tcBorders>
            <w:shd w:val="clear" w:color="auto" w:fill="auto"/>
            <w:noWrap/>
            <w:vAlign w:val="bottom"/>
          </w:tcPr>
          <w:p>
            <w:pPr>
              <w:widowControl/>
              <w:jc w:val="left"/>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变量</w:t>
            </w:r>
          </w:p>
        </w:tc>
        <w:tc>
          <w:tcPr>
            <w:tcW w:w="2082" w:type="dxa"/>
            <w:tcBorders>
              <w:top w:val="nil"/>
              <w:left w:val="nil"/>
              <w:bottom w:val="nil"/>
              <w:right w:val="nil"/>
            </w:tcBorders>
            <w:shd w:val="clear" w:color="auto" w:fill="auto"/>
            <w:noWrap/>
          </w:tcPr>
          <w:p>
            <w:pPr>
              <w:widowControl/>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企业进入</w:t>
            </w:r>
          </w:p>
        </w:tc>
        <w:tc>
          <w:tcPr>
            <w:tcW w:w="1079" w:type="dxa"/>
            <w:tcBorders>
              <w:top w:val="nil"/>
              <w:left w:val="nil"/>
              <w:bottom w:val="nil"/>
              <w:right w:val="nil"/>
            </w:tcBorders>
            <w:shd w:val="clear" w:color="auto" w:fill="auto"/>
            <w:noWrap/>
          </w:tcPr>
          <w:p>
            <w:pPr>
              <w:widowControl/>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企业进入</w:t>
            </w:r>
          </w:p>
        </w:tc>
        <w:tc>
          <w:tcPr>
            <w:tcW w:w="1869" w:type="dxa"/>
            <w:tcBorders>
              <w:top w:val="nil"/>
              <w:left w:val="nil"/>
              <w:bottom w:val="nil"/>
              <w:right w:val="nil"/>
            </w:tcBorders>
            <w:shd w:val="clear" w:color="auto" w:fill="auto"/>
            <w:noWrap/>
          </w:tcPr>
          <w:p>
            <w:pPr>
              <w:widowControl/>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企业进入</w:t>
            </w:r>
          </w:p>
        </w:tc>
        <w:tc>
          <w:tcPr>
            <w:tcW w:w="1391" w:type="dxa"/>
            <w:tcBorders>
              <w:top w:val="nil"/>
              <w:left w:val="nil"/>
              <w:bottom w:val="nil"/>
              <w:right w:val="nil"/>
            </w:tcBorders>
            <w:shd w:val="clear" w:color="auto" w:fill="auto"/>
            <w:noWrap/>
          </w:tcPr>
          <w:p>
            <w:pPr>
              <w:widowControl/>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企业进入</w:t>
            </w:r>
          </w:p>
        </w:tc>
        <w:tc>
          <w:tcPr>
            <w:tcW w:w="1134" w:type="dxa"/>
            <w:tcBorders>
              <w:top w:val="nil"/>
              <w:left w:val="nil"/>
              <w:bottom w:val="nil"/>
              <w:right w:val="nil"/>
            </w:tcBorders>
            <w:vAlign w:val="bottom"/>
          </w:tcPr>
          <w:p>
            <w:pPr>
              <w:widowControl/>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企业进入</w:t>
            </w:r>
          </w:p>
        </w:tc>
      </w:tr>
      <w:tr>
        <w:tblPrEx>
          <w:tblCellMar>
            <w:top w:w="0" w:type="dxa"/>
            <w:left w:w="108" w:type="dxa"/>
            <w:bottom w:w="0" w:type="dxa"/>
            <w:right w:w="108" w:type="dxa"/>
          </w:tblCellMar>
        </w:tblPrEx>
        <w:trPr>
          <w:gridAfter w:val="1"/>
          <w:wAfter w:w="142" w:type="dxa"/>
          <w:trHeight w:val="263" w:hRule="atLeast"/>
          <w:jc w:val="center"/>
        </w:trPr>
        <w:tc>
          <w:tcPr>
            <w:tcW w:w="2084" w:type="dxa"/>
            <w:tcBorders>
              <w:top w:val="single" w:color="000000" w:sz="4" w:space="0"/>
              <w:left w:val="nil"/>
              <w:bottom w:val="nil"/>
              <w:right w:val="nil"/>
            </w:tcBorders>
            <w:shd w:val="clear" w:color="auto" w:fill="auto"/>
            <w:noWrap/>
            <w:vAlign w:val="bottom"/>
          </w:tcPr>
          <w:p>
            <w:pPr>
              <w:widowControl/>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　</w:t>
            </w:r>
          </w:p>
        </w:tc>
        <w:tc>
          <w:tcPr>
            <w:tcW w:w="2082" w:type="dxa"/>
            <w:tcBorders>
              <w:top w:val="single" w:color="000000" w:sz="4" w:space="0"/>
              <w:left w:val="nil"/>
              <w:bottom w:val="nil"/>
              <w:right w:val="nil"/>
            </w:tcBorders>
            <w:shd w:val="clear" w:color="auto" w:fill="auto"/>
            <w:noWrap/>
            <w:vAlign w:val="bottom"/>
          </w:tcPr>
          <w:p>
            <w:pPr>
              <w:widowControl/>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　</w:t>
            </w:r>
          </w:p>
        </w:tc>
        <w:tc>
          <w:tcPr>
            <w:tcW w:w="1079" w:type="dxa"/>
            <w:tcBorders>
              <w:top w:val="single" w:color="000000" w:sz="4" w:space="0"/>
              <w:left w:val="nil"/>
              <w:bottom w:val="nil"/>
              <w:right w:val="nil"/>
            </w:tcBorders>
            <w:shd w:val="clear" w:color="auto" w:fill="auto"/>
            <w:noWrap/>
            <w:vAlign w:val="bottom"/>
          </w:tcPr>
          <w:p>
            <w:pPr>
              <w:widowControl/>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　</w:t>
            </w:r>
          </w:p>
        </w:tc>
        <w:tc>
          <w:tcPr>
            <w:tcW w:w="1869" w:type="dxa"/>
            <w:tcBorders>
              <w:top w:val="single" w:color="000000" w:sz="4" w:space="0"/>
              <w:left w:val="nil"/>
              <w:bottom w:val="nil"/>
              <w:right w:val="nil"/>
            </w:tcBorders>
            <w:shd w:val="clear" w:color="auto" w:fill="auto"/>
            <w:noWrap/>
            <w:vAlign w:val="bottom"/>
          </w:tcPr>
          <w:p>
            <w:pPr>
              <w:widowControl/>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　</w:t>
            </w:r>
          </w:p>
        </w:tc>
        <w:tc>
          <w:tcPr>
            <w:tcW w:w="1391" w:type="dxa"/>
            <w:tcBorders>
              <w:top w:val="single" w:color="000000" w:sz="4" w:space="0"/>
              <w:left w:val="nil"/>
              <w:bottom w:val="nil"/>
              <w:right w:val="nil"/>
            </w:tcBorders>
            <w:shd w:val="clear" w:color="auto" w:fill="auto"/>
            <w:noWrap/>
            <w:vAlign w:val="bottom"/>
          </w:tcPr>
          <w:p>
            <w:pPr>
              <w:widowControl/>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　</w:t>
            </w:r>
          </w:p>
        </w:tc>
        <w:tc>
          <w:tcPr>
            <w:tcW w:w="1134" w:type="dxa"/>
            <w:tcBorders>
              <w:top w:val="single" w:color="000000" w:sz="4" w:space="0"/>
              <w:left w:val="nil"/>
              <w:bottom w:val="nil"/>
              <w:right w:val="nil"/>
            </w:tcBorders>
            <w:vAlign w:val="bottom"/>
          </w:tcPr>
          <w:p>
            <w:pPr>
              <w:widowControl/>
              <w:jc w:val="center"/>
              <w:rPr>
                <w:rFonts w:ascii="Times New Roman" w:hAnsi="Times New Roman" w:eastAsia="仿宋" w:cs="Times New Roman"/>
                <w:kern w:val="0"/>
                <w:sz w:val="18"/>
                <w:szCs w:val="18"/>
              </w:rPr>
            </w:pPr>
            <w:r>
              <w:rPr>
                <w:rFonts w:ascii="Times New Roman" w:hAnsi="Times New Roman" w:cs="Times New Roman"/>
                <w:sz w:val="18"/>
                <w:szCs w:val="18"/>
              </w:rPr>
              <w:t>　</w:t>
            </w:r>
          </w:p>
        </w:tc>
      </w:tr>
      <w:tr>
        <w:tblPrEx>
          <w:tblCellMar>
            <w:top w:w="0" w:type="dxa"/>
            <w:left w:w="108" w:type="dxa"/>
            <w:bottom w:w="0" w:type="dxa"/>
            <w:right w:w="108" w:type="dxa"/>
          </w:tblCellMar>
        </w:tblPrEx>
        <w:trPr>
          <w:gridAfter w:val="1"/>
          <w:wAfter w:w="142" w:type="dxa"/>
          <w:trHeight w:val="263" w:hRule="atLeast"/>
          <w:jc w:val="center"/>
        </w:trPr>
        <w:tc>
          <w:tcPr>
            <w:tcW w:w="2084" w:type="dxa"/>
            <w:tcBorders>
              <w:top w:val="nil"/>
              <w:left w:val="nil"/>
              <w:bottom w:val="nil"/>
              <w:right w:val="nil"/>
            </w:tcBorders>
            <w:shd w:val="clear" w:color="auto" w:fill="auto"/>
            <w:noWrap/>
            <w:vAlign w:val="bottom"/>
          </w:tcPr>
          <w:p>
            <w:pPr>
              <w:widowControl/>
              <w:jc w:val="left"/>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滞后一期的电厂设立</w:t>
            </w:r>
          </w:p>
        </w:tc>
        <w:tc>
          <w:tcPr>
            <w:tcW w:w="2082"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18"/>
                <w:szCs w:val="18"/>
              </w:rPr>
            </w:pPr>
            <w:r>
              <w:rPr>
                <w:rFonts w:ascii="Times New Roman" w:hAnsi="Times New Roman" w:cs="Times New Roman"/>
                <w:sz w:val="18"/>
                <w:szCs w:val="18"/>
              </w:rPr>
              <w:t>0.896***</w:t>
            </w:r>
          </w:p>
        </w:tc>
        <w:tc>
          <w:tcPr>
            <w:tcW w:w="1079"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18"/>
                <w:szCs w:val="18"/>
              </w:rPr>
            </w:pPr>
            <w:r>
              <w:rPr>
                <w:rFonts w:ascii="Times New Roman" w:hAnsi="Times New Roman" w:cs="Times New Roman"/>
                <w:sz w:val="18"/>
                <w:szCs w:val="18"/>
              </w:rPr>
              <w:t>0.605</w:t>
            </w:r>
          </w:p>
        </w:tc>
        <w:tc>
          <w:tcPr>
            <w:tcW w:w="1869"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18"/>
                <w:szCs w:val="18"/>
              </w:rPr>
            </w:pPr>
            <w:r>
              <w:rPr>
                <w:rFonts w:ascii="Times New Roman" w:hAnsi="Times New Roman" w:cs="Times New Roman"/>
                <w:sz w:val="18"/>
                <w:szCs w:val="18"/>
              </w:rPr>
              <w:t>0.512***</w:t>
            </w:r>
          </w:p>
        </w:tc>
        <w:tc>
          <w:tcPr>
            <w:tcW w:w="1391"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18"/>
                <w:szCs w:val="18"/>
              </w:rPr>
            </w:pPr>
            <w:r>
              <w:rPr>
                <w:rFonts w:ascii="Times New Roman" w:hAnsi="Times New Roman" w:cs="Times New Roman"/>
                <w:sz w:val="18"/>
                <w:szCs w:val="18"/>
              </w:rPr>
              <w:t>0.665*</w:t>
            </w:r>
          </w:p>
        </w:tc>
        <w:tc>
          <w:tcPr>
            <w:tcW w:w="1134" w:type="dxa"/>
            <w:tcBorders>
              <w:top w:val="nil"/>
              <w:left w:val="nil"/>
              <w:bottom w:val="nil"/>
              <w:right w:val="nil"/>
            </w:tcBorders>
            <w:vAlign w:val="bottom"/>
          </w:tcPr>
          <w:p>
            <w:pPr>
              <w:widowControl/>
              <w:jc w:val="center"/>
              <w:rPr>
                <w:rFonts w:ascii="Times New Roman" w:hAnsi="Times New Roman" w:cs="Times New Roman"/>
                <w:sz w:val="18"/>
                <w:szCs w:val="18"/>
              </w:rPr>
            </w:pPr>
          </w:p>
        </w:tc>
      </w:tr>
      <w:tr>
        <w:tblPrEx>
          <w:tblCellMar>
            <w:top w:w="0" w:type="dxa"/>
            <w:left w:w="108" w:type="dxa"/>
            <w:bottom w:w="0" w:type="dxa"/>
            <w:right w:w="108" w:type="dxa"/>
          </w:tblCellMar>
        </w:tblPrEx>
        <w:trPr>
          <w:gridAfter w:val="1"/>
          <w:wAfter w:w="142" w:type="dxa"/>
          <w:trHeight w:val="263" w:hRule="atLeast"/>
          <w:jc w:val="center"/>
        </w:trPr>
        <w:tc>
          <w:tcPr>
            <w:tcW w:w="2084"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18"/>
                <w:szCs w:val="18"/>
              </w:rPr>
            </w:pPr>
          </w:p>
        </w:tc>
        <w:tc>
          <w:tcPr>
            <w:tcW w:w="2082"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18"/>
                <w:szCs w:val="18"/>
              </w:rPr>
            </w:pPr>
            <w:r>
              <w:rPr>
                <w:rFonts w:ascii="Times New Roman" w:hAnsi="Times New Roman" w:cs="Times New Roman"/>
                <w:sz w:val="18"/>
                <w:szCs w:val="18"/>
              </w:rPr>
              <w:t>(0.298)</w:t>
            </w:r>
          </w:p>
        </w:tc>
        <w:tc>
          <w:tcPr>
            <w:tcW w:w="1079"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18"/>
                <w:szCs w:val="18"/>
              </w:rPr>
            </w:pPr>
            <w:r>
              <w:rPr>
                <w:rFonts w:ascii="Times New Roman" w:hAnsi="Times New Roman" w:cs="Times New Roman"/>
                <w:sz w:val="18"/>
                <w:szCs w:val="18"/>
              </w:rPr>
              <w:t>(0.405)</w:t>
            </w:r>
          </w:p>
        </w:tc>
        <w:tc>
          <w:tcPr>
            <w:tcW w:w="1869"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18"/>
                <w:szCs w:val="18"/>
              </w:rPr>
            </w:pPr>
            <w:r>
              <w:rPr>
                <w:rFonts w:ascii="Times New Roman" w:hAnsi="Times New Roman" w:cs="Times New Roman"/>
                <w:sz w:val="18"/>
                <w:szCs w:val="18"/>
              </w:rPr>
              <w:t>(0.186)</w:t>
            </w:r>
          </w:p>
        </w:tc>
        <w:tc>
          <w:tcPr>
            <w:tcW w:w="1391"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18"/>
                <w:szCs w:val="18"/>
              </w:rPr>
            </w:pPr>
            <w:r>
              <w:rPr>
                <w:rFonts w:ascii="Times New Roman" w:hAnsi="Times New Roman" w:cs="Times New Roman"/>
                <w:sz w:val="18"/>
                <w:szCs w:val="18"/>
              </w:rPr>
              <w:t>(0.363)</w:t>
            </w:r>
          </w:p>
        </w:tc>
        <w:tc>
          <w:tcPr>
            <w:tcW w:w="1134" w:type="dxa"/>
            <w:tcBorders>
              <w:top w:val="nil"/>
              <w:left w:val="nil"/>
              <w:bottom w:val="nil"/>
              <w:right w:val="nil"/>
            </w:tcBorders>
            <w:vAlign w:val="bottom"/>
          </w:tcPr>
          <w:p>
            <w:pPr>
              <w:widowControl/>
              <w:jc w:val="center"/>
              <w:rPr>
                <w:rFonts w:ascii="Times New Roman" w:hAnsi="Times New Roman" w:cs="Times New Roman"/>
                <w:sz w:val="18"/>
                <w:szCs w:val="18"/>
              </w:rPr>
            </w:pPr>
          </w:p>
        </w:tc>
      </w:tr>
      <w:tr>
        <w:tblPrEx>
          <w:tblCellMar>
            <w:top w:w="0" w:type="dxa"/>
            <w:left w:w="108" w:type="dxa"/>
            <w:bottom w:w="0" w:type="dxa"/>
            <w:right w:w="108" w:type="dxa"/>
          </w:tblCellMar>
        </w:tblPrEx>
        <w:trPr>
          <w:gridAfter w:val="1"/>
          <w:wAfter w:w="142" w:type="dxa"/>
          <w:trHeight w:val="263" w:hRule="atLeast"/>
          <w:jc w:val="center"/>
        </w:trPr>
        <w:tc>
          <w:tcPr>
            <w:tcW w:w="2084" w:type="dxa"/>
            <w:tcBorders>
              <w:top w:val="nil"/>
              <w:left w:val="nil"/>
              <w:bottom w:val="nil"/>
              <w:right w:val="nil"/>
            </w:tcBorders>
            <w:shd w:val="clear" w:color="auto" w:fill="auto"/>
            <w:noWrap/>
            <w:vAlign w:val="bottom"/>
          </w:tcPr>
          <w:p>
            <w:pPr>
              <w:widowControl/>
              <w:jc w:val="both"/>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滞后一期的工具变量</w:t>
            </w:r>
          </w:p>
        </w:tc>
        <w:tc>
          <w:tcPr>
            <w:tcW w:w="2082" w:type="dxa"/>
            <w:tcBorders>
              <w:top w:val="nil"/>
              <w:left w:val="nil"/>
              <w:bottom w:val="nil"/>
              <w:right w:val="nil"/>
            </w:tcBorders>
            <w:shd w:val="clear" w:color="auto" w:fill="auto"/>
            <w:noWrap/>
            <w:vAlign w:val="bottom"/>
          </w:tcPr>
          <w:p>
            <w:pPr>
              <w:widowControl/>
              <w:jc w:val="center"/>
              <w:rPr>
                <w:rFonts w:ascii="Times New Roman" w:hAnsi="Times New Roman" w:cs="Times New Roman"/>
                <w:sz w:val="18"/>
                <w:szCs w:val="18"/>
              </w:rPr>
            </w:pPr>
          </w:p>
        </w:tc>
        <w:tc>
          <w:tcPr>
            <w:tcW w:w="1079" w:type="dxa"/>
            <w:tcBorders>
              <w:top w:val="nil"/>
              <w:left w:val="nil"/>
              <w:bottom w:val="nil"/>
              <w:right w:val="nil"/>
            </w:tcBorders>
            <w:shd w:val="clear" w:color="auto" w:fill="auto"/>
            <w:noWrap/>
            <w:vAlign w:val="bottom"/>
          </w:tcPr>
          <w:p>
            <w:pPr>
              <w:widowControl/>
              <w:jc w:val="center"/>
              <w:rPr>
                <w:rFonts w:ascii="Times New Roman" w:hAnsi="Times New Roman" w:cs="Times New Roman"/>
                <w:sz w:val="18"/>
                <w:szCs w:val="18"/>
              </w:rPr>
            </w:pPr>
          </w:p>
        </w:tc>
        <w:tc>
          <w:tcPr>
            <w:tcW w:w="1869" w:type="dxa"/>
            <w:tcBorders>
              <w:top w:val="nil"/>
              <w:left w:val="nil"/>
              <w:bottom w:val="nil"/>
              <w:right w:val="nil"/>
            </w:tcBorders>
            <w:shd w:val="clear" w:color="auto" w:fill="auto"/>
            <w:noWrap/>
            <w:vAlign w:val="bottom"/>
          </w:tcPr>
          <w:p>
            <w:pPr>
              <w:widowControl/>
              <w:jc w:val="center"/>
              <w:rPr>
                <w:rFonts w:ascii="Times New Roman" w:hAnsi="Times New Roman" w:cs="Times New Roman"/>
                <w:sz w:val="18"/>
                <w:szCs w:val="18"/>
              </w:rPr>
            </w:pPr>
          </w:p>
        </w:tc>
        <w:tc>
          <w:tcPr>
            <w:tcW w:w="1391" w:type="dxa"/>
            <w:tcBorders>
              <w:top w:val="nil"/>
              <w:left w:val="nil"/>
              <w:bottom w:val="nil"/>
              <w:right w:val="nil"/>
            </w:tcBorders>
            <w:shd w:val="clear" w:color="auto" w:fill="auto"/>
            <w:noWrap/>
            <w:vAlign w:val="bottom"/>
          </w:tcPr>
          <w:p>
            <w:pPr>
              <w:widowControl/>
              <w:jc w:val="center"/>
              <w:rPr>
                <w:rFonts w:ascii="Times New Roman" w:hAnsi="Times New Roman" w:cs="Times New Roman"/>
                <w:sz w:val="18"/>
                <w:szCs w:val="18"/>
              </w:rPr>
            </w:pPr>
          </w:p>
        </w:tc>
        <w:tc>
          <w:tcPr>
            <w:tcW w:w="1134" w:type="dxa"/>
            <w:tcBorders>
              <w:top w:val="nil"/>
              <w:left w:val="nil"/>
              <w:bottom w:val="nil"/>
              <w:right w:val="nil"/>
            </w:tcBorders>
            <w:vAlign w:val="bottom"/>
          </w:tcPr>
          <w:p>
            <w:pPr>
              <w:widowControl/>
              <w:jc w:val="center"/>
              <w:rPr>
                <w:rFonts w:ascii="Times New Roman" w:hAnsi="Times New Roman" w:cs="Times New Roman"/>
                <w:sz w:val="18"/>
                <w:szCs w:val="18"/>
              </w:rPr>
            </w:pPr>
            <w:r>
              <w:rPr>
                <w:rFonts w:ascii="Times New Roman" w:hAnsi="Times New Roman" w:cs="Times New Roman"/>
                <w:sz w:val="18"/>
                <w:szCs w:val="18"/>
              </w:rPr>
              <w:t>0.120</w:t>
            </w:r>
          </w:p>
        </w:tc>
      </w:tr>
      <w:tr>
        <w:tblPrEx>
          <w:tblCellMar>
            <w:top w:w="0" w:type="dxa"/>
            <w:left w:w="108" w:type="dxa"/>
            <w:bottom w:w="0" w:type="dxa"/>
            <w:right w:w="108" w:type="dxa"/>
          </w:tblCellMar>
        </w:tblPrEx>
        <w:trPr>
          <w:gridAfter w:val="1"/>
          <w:wAfter w:w="142" w:type="dxa"/>
          <w:trHeight w:val="263" w:hRule="atLeast"/>
          <w:jc w:val="center"/>
        </w:trPr>
        <w:tc>
          <w:tcPr>
            <w:tcW w:w="2084"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18"/>
                <w:szCs w:val="18"/>
              </w:rPr>
            </w:pPr>
          </w:p>
        </w:tc>
        <w:tc>
          <w:tcPr>
            <w:tcW w:w="2082" w:type="dxa"/>
            <w:tcBorders>
              <w:top w:val="nil"/>
              <w:left w:val="nil"/>
              <w:bottom w:val="nil"/>
              <w:right w:val="nil"/>
            </w:tcBorders>
            <w:shd w:val="clear" w:color="auto" w:fill="auto"/>
            <w:noWrap/>
            <w:vAlign w:val="bottom"/>
          </w:tcPr>
          <w:p>
            <w:pPr>
              <w:widowControl/>
              <w:jc w:val="center"/>
              <w:rPr>
                <w:rFonts w:ascii="Times New Roman" w:hAnsi="Times New Roman" w:cs="Times New Roman"/>
                <w:sz w:val="18"/>
                <w:szCs w:val="18"/>
              </w:rPr>
            </w:pPr>
          </w:p>
        </w:tc>
        <w:tc>
          <w:tcPr>
            <w:tcW w:w="1079" w:type="dxa"/>
            <w:tcBorders>
              <w:top w:val="nil"/>
              <w:left w:val="nil"/>
              <w:bottom w:val="nil"/>
              <w:right w:val="nil"/>
            </w:tcBorders>
            <w:shd w:val="clear" w:color="auto" w:fill="auto"/>
            <w:noWrap/>
            <w:vAlign w:val="bottom"/>
          </w:tcPr>
          <w:p>
            <w:pPr>
              <w:widowControl/>
              <w:jc w:val="center"/>
              <w:rPr>
                <w:rFonts w:ascii="Times New Roman" w:hAnsi="Times New Roman" w:cs="Times New Roman"/>
                <w:sz w:val="18"/>
                <w:szCs w:val="18"/>
              </w:rPr>
            </w:pPr>
          </w:p>
        </w:tc>
        <w:tc>
          <w:tcPr>
            <w:tcW w:w="1869" w:type="dxa"/>
            <w:tcBorders>
              <w:top w:val="nil"/>
              <w:left w:val="nil"/>
              <w:bottom w:val="nil"/>
              <w:right w:val="nil"/>
            </w:tcBorders>
            <w:shd w:val="clear" w:color="auto" w:fill="auto"/>
            <w:noWrap/>
            <w:vAlign w:val="bottom"/>
          </w:tcPr>
          <w:p>
            <w:pPr>
              <w:widowControl/>
              <w:jc w:val="center"/>
              <w:rPr>
                <w:rFonts w:ascii="Times New Roman" w:hAnsi="Times New Roman" w:cs="Times New Roman"/>
                <w:sz w:val="18"/>
                <w:szCs w:val="18"/>
              </w:rPr>
            </w:pPr>
          </w:p>
        </w:tc>
        <w:tc>
          <w:tcPr>
            <w:tcW w:w="1391" w:type="dxa"/>
            <w:tcBorders>
              <w:top w:val="nil"/>
              <w:left w:val="nil"/>
              <w:bottom w:val="nil"/>
              <w:right w:val="nil"/>
            </w:tcBorders>
            <w:shd w:val="clear" w:color="auto" w:fill="auto"/>
            <w:noWrap/>
            <w:vAlign w:val="bottom"/>
          </w:tcPr>
          <w:p>
            <w:pPr>
              <w:widowControl/>
              <w:jc w:val="center"/>
              <w:rPr>
                <w:rFonts w:ascii="Times New Roman" w:hAnsi="Times New Roman" w:cs="Times New Roman"/>
                <w:sz w:val="18"/>
                <w:szCs w:val="18"/>
              </w:rPr>
            </w:pPr>
          </w:p>
        </w:tc>
        <w:tc>
          <w:tcPr>
            <w:tcW w:w="1134" w:type="dxa"/>
            <w:tcBorders>
              <w:top w:val="nil"/>
              <w:left w:val="nil"/>
              <w:bottom w:val="nil"/>
              <w:right w:val="nil"/>
            </w:tcBorders>
            <w:vAlign w:val="bottom"/>
          </w:tcPr>
          <w:p>
            <w:pPr>
              <w:widowControl/>
              <w:jc w:val="center"/>
              <w:rPr>
                <w:rFonts w:ascii="Times New Roman" w:hAnsi="Times New Roman" w:cs="Times New Roman"/>
                <w:sz w:val="18"/>
                <w:szCs w:val="18"/>
              </w:rPr>
            </w:pPr>
            <w:r>
              <w:rPr>
                <w:rFonts w:ascii="Times New Roman" w:hAnsi="Times New Roman" w:cs="Times New Roman"/>
                <w:sz w:val="18"/>
                <w:szCs w:val="18"/>
              </w:rPr>
              <w:t>(0.127)</w:t>
            </w:r>
          </w:p>
        </w:tc>
      </w:tr>
      <w:tr>
        <w:tblPrEx>
          <w:tblCellMar>
            <w:top w:w="0" w:type="dxa"/>
            <w:left w:w="108" w:type="dxa"/>
            <w:bottom w:w="0" w:type="dxa"/>
            <w:right w:w="108" w:type="dxa"/>
          </w:tblCellMar>
        </w:tblPrEx>
        <w:trPr>
          <w:gridAfter w:val="1"/>
          <w:wAfter w:w="142" w:type="dxa"/>
          <w:trHeight w:val="263" w:hRule="atLeast"/>
          <w:jc w:val="center"/>
        </w:trPr>
        <w:tc>
          <w:tcPr>
            <w:tcW w:w="2084"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18"/>
                <w:szCs w:val="18"/>
              </w:rPr>
            </w:pPr>
          </w:p>
        </w:tc>
        <w:tc>
          <w:tcPr>
            <w:tcW w:w="2082" w:type="dxa"/>
            <w:tcBorders>
              <w:top w:val="nil"/>
              <w:left w:val="nil"/>
              <w:bottom w:val="nil"/>
              <w:right w:val="nil"/>
            </w:tcBorders>
            <w:shd w:val="clear" w:color="auto" w:fill="auto"/>
            <w:noWrap/>
            <w:vAlign w:val="bottom"/>
          </w:tcPr>
          <w:p>
            <w:pPr>
              <w:widowControl/>
              <w:jc w:val="left"/>
              <w:rPr>
                <w:rFonts w:ascii="Times New Roman" w:hAnsi="Times New Roman" w:eastAsia="仿宋" w:cs="Times New Roman"/>
                <w:kern w:val="0"/>
                <w:sz w:val="18"/>
                <w:szCs w:val="18"/>
              </w:rPr>
            </w:pPr>
          </w:p>
        </w:tc>
        <w:tc>
          <w:tcPr>
            <w:tcW w:w="1079"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18"/>
                <w:szCs w:val="18"/>
              </w:rPr>
            </w:pPr>
          </w:p>
        </w:tc>
        <w:tc>
          <w:tcPr>
            <w:tcW w:w="1869"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18"/>
                <w:szCs w:val="18"/>
              </w:rPr>
            </w:pPr>
          </w:p>
        </w:tc>
        <w:tc>
          <w:tcPr>
            <w:tcW w:w="1391"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18"/>
                <w:szCs w:val="18"/>
              </w:rPr>
            </w:pPr>
          </w:p>
        </w:tc>
        <w:tc>
          <w:tcPr>
            <w:tcW w:w="1134" w:type="dxa"/>
            <w:tcBorders>
              <w:top w:val="nil"/>
              <w:left w:val="nil"/>
              <w:bottom w:val="nil"/>
              <w:right w:val="nil"/>
            </w:tcBorders>
            <w:vAlign w:val="bottom"/>
          </w:tcPr>
          <w:p>
            <w:pPr>
              <w:widowControl/>
              <w:jc w:val="center"/>
              <w:rPr>
                <w:rFonts w:ascii="Times New Roman" w:hAnsi="Times New Roman" w:eastAsia="仿宋" w:cs="Times New Roman"/>
                <w:kern w:val="0"/>
                <w:sz w:val="18"/>
                <w:szCs w:val="18"/>
              </w:rPr>
            </w:pPr>
          </w:p>
        </w:tc>
      </w:tr>
      <w:tr>
        <w:tblPrEx>
          <w:tblCellMar>
            <w:top w:w="0" w:type="dxa"/>
            <w:left w:w="108" w:type="dxa"/>
            <w:bottom w:w="0" w:type="dxa"/>
            <w:right w:w="108" w:type="dxa"/>
          </w:tblCellMar>
        </w:tblPrEx>
        <w:trPr>
          <w:gridAfter w:val="1"/>
          <w:wAfter w:w="142" w:type="dxa"/>
          <w:trHeight w:val="263" w:hRule="atLeast"/>
          <w:jc w:val="center"/>
        </w:trPr>
        <w:tc>
          <w:tcPr>
            <w:tcW w:w="2084" w:type="dxa"/>
            <w:tcBorders>
              <w:top w:val="nil"/>
              <w:left w:val="nil"/>
              <w:bottom w:val="nil"/>
              <w:right w:val="nil"/>
            </w:tcBorders>
            <w:shd w:val="clear" w:color="auto" w:fill="auto"/>
            <w:noWrap/>
            <w:vAlign w:val="bottom"/>
          </w:tcPr>
          <w:p>
            <w:pPr>
              <w:widowControl/>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观察值个数</w:t>
            </w:r>
          </w:p>
        </w:tc>
        <w:tc>
          <w:tcPr>
            <w:tcW w:w="2082"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18"/>
                <w:szCs w:val="18"/>
              </w:rPr>
            </w:pPr>
            <w:r>
              <w:rPr>
                <w:rFonts w:ascii="Times New Roman" w:hAnsi="Times New Roman" w:cs="Times New Roman"/>
                <w:sz w:val="18"/>
                <w:szCs w:val="18"/>
              </w:rPr>
              <w:t>26,712</w:t>
            </w:r>
          </w:p>
        </w:tc>
        <w:tc>
          <w:tcPr>
            <w:tcW w:w="1079"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18"/>
                <w:szCs w:val="18"/>
              </w:rPr>
            </w:pPr>
            <w:r>
              <w:rPr>
                <w:rFonts w:ascii="Times New Roman" w:hAnsi="Times New Roman" w:cs="Times New Roman"/>
                <w:sz w:val="18"/>
                <w:szCs w:val="18"/>
              </w:rPr>
              <w:t>26,712</w:t>
            </w:r>
          </w:p>
        </w:tc>
        <w:tc>
          <w:tcPr>
            <w:tcW w:w="1869"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18"/>
                <w:szCs w:val="18"/>
              </w:rPr>
            </w:pPr>
            <w:r>
              <w:rPr>
                <w:rFonts w:ascii="Times New Roman" w:hAnsi="Times New Roman" w:cs="Times New Roman"/>
                <w:sz w:val="18"/>
                <w:szCs w:val="18"/>
              </w:rPr>
              <w:t>26,145</w:t>
            </w:r>
          </w:p>
        </w:tc>
        <w:tc>
          <w:tcPr>
            <w:tcW w:w="1391"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18"/>
                <w:szCs w:val="18"/>
              </w:rPr>
            </w:pPr>
            <w:r>
              <w:rPr>
                <w:rFonts w:ascii="Times New Roman" w:hAnsi="Times New Roman" w:cs="Times New Roman"/>
                <w:sz w:val="18"/>
                <w:szCs w:val="18"/>
              </w:rPr>
              <w:t>26,145</w:t>
            </w:r>
          </w:p>
        </w:tc>
        <w:tc>
          <w:tcPr>
            <w:tcW w:w="1134" w:type="dxa"/>
            <w:tcBorders>
              <w:top w:val="nil"/>
              <w:left w:val="nil"/>
              <w:bottom w:val="nil"/>
              <w:right w:val="nil"/>
            </w:tcBorders>
            <w:vAlign w:val="bottom"/>
          </w:tcPr>
          <w:p>
            <w:pPr>
              <w:widowControl/>
              <w:jc w:val="center"/>
              <w:rPr>
                <w:rFonts w:ascii="Times New Roman" w:hAnsi="Times New Roman" w:cs="Times New Roman"/>
                <w:sz w:val="18"/>
                <w:szCs w:val="18"/>
              </w:rPr>
            </w:pPr>
            <w:r>
              <w:rPr>
                <w:rFonts w:ascii="Times New Roman" w:hAnsi="Times New Roman" w:cs="Times New Roman"/>
                <w:sz w:val="18"/>
                <w:szCs w:val="18"/>
              </w:rPr>
              <w:t>21,987</w:t>
            </w:r>
          </w:p>
        </w:tc>
      </w:tr>
      <w:tr>
        <w:tblPrEx>
          <w:tblCellMar>
            <w:top w:w="0" w:type="dxa"/>
            <w:left w:w="108" w:type="dxa"/>
            <w:bottom w:w="0" w:type="dxa"/>
            <w:right w:w="108" w:type="dxa"/>
          </w:tblCellMar>
        </w:tblPrEx>
        <w:trPr>
          <w:gridAfter w:val="1"/>
          <w:wAfter w:w="142" w:type="dxa"/>
          <w:trHeight w:val="263" w:hRule="atLeast"/>
          <w:jc w:val="center"/>
        </w:trPr>
        <w:tc>
          <w:tcPr>
            <w:tcW w:w="2084" w:type="dxa"/>
            <w:tcBorders>
              <w:top w:val="nil"/>
              <w:left w:val="nil"/>
              <w:bottom w:val="nil"/>
              <w:right w:val="nil"/>
            </w:tcBorders>
            <w:shd w:val="clear" w:color="auto" w:fill="auto"/>
            <w:noWrap/>
            <w:vAlign w:val="bottom"/>
          </w:tcPr>
          <w:p>
            <w:pPr>
              <w:widowControl/>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调整</w:t>
            </w:r>
            <w:r>
              <w:rPr>
                <w:rFonts w:ascii="Times New Roman" w:hAnsi="Times New Roman" w:eastAsia="仿宋" w:cs="Times New Roman"/>
                <w:i/>
                <w:iCs/>
                <w:kern w:val="0"/>
                <w:sz w:val="18"/>
                <w:szCs w:val="18"/>
              </w:rPr>
              <w:t>R</w:t>
            </w:r>
            <w:r>
              <w:rPr>
                <w:rFonts w:ascii="Times New Roman" w:hAnsi="Times New Roman" w:eastAsia="仿宋" w:cs="Times New Roman"/>
                <w:kern w:val="0"/>
                <w:sz w:val="18"/>
                <w:szCs w:val="18"/>
              </w:rPr>
              <w:t>平方</w:t>
            </w:r>
          </w:p>
        </w:tc>
        <w:tc>
          <w:tcPr>
            <w:tcW w:w="2082"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18"/>
                <w:szCs w:val="18"/>
              </w:rPr>
            </w:pPr>
            <w:r>
              <w:rPr>
                <w:rFonts w:ascii="Times New Roman" w:hAnsi="Times New Roman" w:cs="Times New Roman"/>
                <w:sz w:val="18"/>
                <w:szCs w:val="18"/>
              </w:rPr>
              <w:t>0.241</w:t>
            </w:r>
          </w:p>
        </w:tc>
        <w:tc>
          <w:tcPr>
            <w:tcW w:w="1079"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18"/>
                <w:szCs w:val="18"/>
              </w:rPr>
            </w:pPr>
            <w:r>
              <w:rPr>
                <w:rFonts w:ascii="Times New Roman" w:hAnsi="Times New Roman" w:cs="Times New Roman"/>
                <w:sz w:val="18"/>
                <w:szCs w:val="18"/>
              </w:rPr>
              <w:t>0.368</w:t>
            </w:r>
          </w:p>
        </w:tc>
        <w:tc>
          <w:tcPr>
            <w:tcW w:w="1869"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18"/>
                <w:szCs w:val="18"/>
              </w:rPr>
            </w:pPr>
            <w:r>
              <w:rPr>
                <w:rFonts w:ascii="Times New Roman" w:hAnsi="Times New Roman" w:cs="Times New Roman"/>
                <w:sz w:val="18"/>
                <w:szCs w:val="18"/>
              </w:rPr>
              <w:t>0.288</w:t>
            </w:r>
          </w:p>
        </w:tc>
        <w:tc>
          <w:tcPr>
            <w:tcW w:w="1391"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18"/>
                <w:szCs w:val="18"/>
              </w:rPr>
            </w:pPr>
            <w:r>
              <w:rPr>
                <w:rFonts w:ascii="Times New Roman" w:hAnsi="Times New Roman" w:cs="Times New Roman"/>
                <w:sz w:val="18"/>
                <w:szCs w:val="18"/>
              </w:rPr>
              <w:t>0.230</w:t>
            </w:r>
          </w:p>
        </w:tc>
        <w:tc>
          <w:tcPr>
            <w:tcW w:w="1134" w:type="dxa"/>
            <w:tcBorders>
              <w:top w:val="nil"/>
              <w:left w:val="nil"/>
              <w:bottom w:val="nil"/>
              <w:right w:val="nil"/>
            </w:tcBorders>
            <w:vAlign w:val="bottom"/>
          </w:tcPr>
          <w:p>
            <w:pPr>
              <w:widowControl/>
              <w:jc w:val="center"/>
              <w:rPr>
                <w:rFonts w:ascii="Times New Roman" w:hAnsi="Times New Roman" w:cs="Times New Roman"/>
                <w:sz w:val="18"/>
                <w:szCs w:val="18"/>
              </w:rPr>
            </w:pPr>
            <w:r>
              <w:rPr>
                <w:rFonts w:ascii="Times New Roman" w:hAnsi="Times New Roman" w:cs="Times New Roman"/>
                <w:sz w:val="18"/>
                <w:szCs w:val="18"/>
              </w:rPr>
              <w:t>0.391</w:t>
            </w:r>
          </w:p>
        </w:tc>
      </w:tr>
      <w:tr>
        <w:tblPrEx>
          <w:tblCellMar>
            <w:top w:w="0" w:type="dxa"/>
            <w:left w:w="108" w:type="dxa"/>
            <w:bottom w:w="0" w:type="dxa"/>
            <w:right w:w="108" w:type="dxa"/>
          </w:tblCellMar>
        </w:tblPrEx>
        <w:trPr>
          <w:gridAfter w:val="1"/>
          <w:wAfter w:w="142" w:type="dxa"/>
          <w:trHeight w:val="263" w:hRule="atLeast"/>
          <w:jc w:val="center"/>
        </w:trPr>
        <w:tc>
          <w:tcPr>
            <w:tcW w:w="2084" w:type="dxa"/>
            <w:tcBorders>
              <w:top w:val="nil"/>
              <w:left w:val="nil"/>
              <w:bottom w:val="nil"/>
              <w:right w:val="nil"/>
            </w:tcBorders>
            <w:shd w:val="clear" w:color="auto" w:fill="auto"/>
            <w:noWrap/>
            <w:vAlign w:val="bottom"/>
          </w:tcPr>
          <w:p>
            <w:pPr>
              <w:widowControl/>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县级固定效应</w:t>
            </w:r>
          </w:p>
        </w:tc>
        <w:tc>
          <w:tcPr>
            <w:tcW w:w="2082"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18"/>
                <w:szCs w:val="18"/>
              </w:rPr>
            </w:pPr>
            <w:r>
              <w:rPr>
                <w:rFonts w:ascii="Times New Roman" w:hAnsi="Times New Roman" w:cs="Times New Roman"/>
                <w:sz w:val="18"/>
                <w:szCs w:val="18"/>
              </w:rPr>
              <w:t>Yes</w:t>
            </w:r>
          </w:p>
        </w:tc>
        <w:tc>
          <w:tcPr>
            <w:tcW w:w="1079"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18"/>
                <w:szCs w:val="18"/>
              </w:rPr>
            </w:pPr>
            <w:r>
              <w:rPr>
                <w:rFonts w:ascii="Times New Roman" w:hAnsi="Times New Roman" w:cs="Times New Roman"/>
                <w:sz w:val="18"/>
                <w:szCs w:val="18"/>
              </w:rPr>
              <w:t>Yes</w:t>
            </w:r>
          </w:p>
        </w:tc>
        <w:tc>
          <w:tcPr>
            <w:tcW w:w="1869"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18"/>
                <w:szCs w:val="18"/>
              </w:rPr>
            </w:pPr>
            <w:r>
              <w:rPr>
                <w:rFonts w:ascii="Times New Roman" w:hAnsi="Times New Roman" w:cs="Times New Roman"/>
                <w:sz w:val="18"/>
                <w:szCs w:val="18"/>
              </w:rPr>
              <w:t>Yes</w:t>
            </w:r>
          </w:p>
        </w:tc>
        <w:tc>
          <w:tcPr>
            <w:tcW w:w="1391"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18"/>
                <w:szCs w:val="18"/>
              </w:rPr>
            </w:pPr>
            <w:r>
              <w:rPr>
                <w:rFonts w:ascii="Times New Roman" w:hAnsi="Times New Roman" w:cs="Times New Roman"/>
                <w:sz w:val="18"/>
                <w:szCs w:val="18"/>
              </w:rPr>
              <w:t>Yes</w:t>
            </w:r>
          </w:p>
        </w:tc>
        <w:tc>
          <w:tcPr>
            <w:tcW w:w="1134" w:type="dxa"/>
            <w:tcBorders>
              <w:top w:val="nil"/>
              <w:left w:val="nil"/>
              <w:bottom w:val="nil"/>
              <w:right w:val="nil"/>
            </w:tcBorders>
            <w:vAlign w:val="bottom"/>
          </w:tcPr>
          <w:p>
            <w:pPr>
              <w:widowControl/>
              <w:jc w:val="center"/>
              <w:rPr>
                <w:rFonts w:ascii="Times New Roman" w:hAnsi="Times New Roman" w:cs="Times New Roman"/>
                <w:sz w:val="18"/>
                <w:szCs w:val="18"/>
              </w:rPr>
            </w:pPr>
            <w:r>
              <w:rPr>
                <w:rFonts w:ascii="Times New Roman" w:hAnsi="Times New Roman" w:cs="Times New Roman"/>
                <w:sz w:val="18"/>
                <w:szCs w:val="18"/>
              </w:rPr>
              <w:t>Yes</w:t>
            </w:r>
          </w:p>
        </w:tc>
      </w:tr>
      <w:tr>
        <w:tblPrEx>
          <w:tblCellMar>
            <w:top w:w="0" w:type="dxa"/>
            <w:left w:w="108" w:type="dxa"/>
            <w:bottom w:w="0" w:type="dxa"/>
            <w:right w:w="108" w:type="dxa"/>
          </w:tblCellMar>
        </w:tblPrEx>
        <w:trPr>
          <w:gridAfter w:val="1"/>
          <w:wAfter w:w="142" w:type="dxa"/>
          <w:trHeight w:val="263" w:hRule="atLeast"/>
          <w:jc w:val="center"/>
        </w:trPr>
        <w:tc>
          <w:tcPr>
            <w:tcW w:w="2084" w:type="dxa"/>
            <w:tcBorders>
              <w:top w:val="nil"/>
              <w:left w:val="nil"/>
              <w:bottom w:val="nil"/>
              <w:right w:val="nil"/>
            </w:tcBorders>
            <w:shd w:val="clear" w:color="auto" w:fill="auto"/>
            <w:noWrap/>
            <w:vAlign w:val="bottom"/>
          </w:tcPr>
          <w:p>
            <w:pPr>
              <w:widowControl/>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省</w:t>
            </w:r>
            <w:r>
              <w:rPr>
                <w:rFonts w:hint="eastAsia" w:ascii="Times New Roman" w:hAnsi="Times New Roman" w:eastAsia="仿宋" w:cs="Times New Roman"/>
                <w:kern w:val="0"/>
                <w:sz w:val="18"/>
                <w:szCs w:val="18"/>
                <w:lang w:val="en-US" w:eastAsia="zh-CN"/>
              </w:rPr>
              <w:t>×</w:t>
            </w:r>
            <w:r>
              <w:rPr>
                <w:rFonts w:ascii="Times New Roman" w:hAnsi="Times New Roman" w:eastAsia="仿宋" w:cs="Times New Roman"/>
                <w:kern w:val="0"/>
                <w:sz w:val="18"/>
                <w:szCs w:val="18"/>
              </w:rPr>
              <w:t>年度固定效应</w:t>
            </w:r>
          </w:p>
        </w:tc>
        <w:tc>
          <w:tcPr>
            <w:tcW w:w="2082"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18"/>
                <w:szCs w:val="18"/>
              </w:rPr>
            </w:pPr>
            <w:r>
              <w:rPr>
                <w:rFonts w:ascii="Times New Roman" w:hAnsi="Times New Roman" w:cs="Times New Roman"/>
                <w:sz w:val="18"/>
                <w:szCs w:val="18"/>
              </w:rPr>
              <w:t>Yes</w:t>
            </w:r>
          </w:p>
        </w:tc>
        <w:tc>
          <w:tcPr>
            <w:tcW w:w="1079"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18"/>
                <w:szCs w:val="18"/>
              </w:rPr>
            </w:pPr>
            <w:r>
              <w:rPr>
                <w:rFonts w:ascii="Times New Roman" w:hAnsi="Times New Roman" w:cs="Times New Roman"/>
                <w:sz w:val="18"/>
                <w:szCs w:val="18"/>
              </w:rPr>
              <w:t>Yes</w:t>
            </w:r>
          </w:p>
        </w:tc>
        <w:tc>
          <w:tcPr>
            <w:tcW w:w="1869"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18"/>
                <w:szCs w:val="18"/>
              </w:rPr>
            </w:pPr>
            <w:r>
              <w:rPr>
                <w:rFonts w:ascii="Times New Roman" w:hAnsi="Times New Roman" w:cs="Times New Roman"/>
                <w:sz w:val="18"/>
                <w:szCs w:val="18"/>
              </w:rPr>
              <w:t>Yes</w:t>
            </w:r>
          </w:p>
        </w:tc>
        <w:tc>
          <w:tcPr>
            <w:tcW w:w="1391"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18"/>
                <w:szCs w:val="18"/>
              </w:rPr>
            </w:pPr>
            <w:r>
              <w:rPr>
                <w:rFonts w:ascii="Times New Roman" w:hAnsi="Times New Roman" w:cs="Times New Roman"/>
                <w:sz w:val="18"/>
                <w:szCs w:val="18"/>
              </w:rPr>
              <w:t>Yes</w:t>
            </w:r>
          </w:p>
        </w:tc>
        <w:tc>
          <w:tcPr>
            <w:tcW w:w="1134" w:type="dxa"/>
            <w:tcBorders>
              <w:top w:val="nil"/>
              <w:left w:val="nil"/>
              <w:bottom w:val="nil"/>
              <w:right w:val="nil"/>
            </w:tcBorders>
            <w:vAlign w:val="bottom"/>
          </w:tcPr>
          <w:p>
            <w:pPr>
              <w:widowControl/>
              <w:jc w:val="center"/>
              <w:rPr>
                <w:rFonts w:ascii="Times New Roman" w:hAnsi="Times New Roman" w:cs="Times New Roman"/>
                <w:sz w:val="18"/>
                <w:szCs w:val="18"/>
              </w:rPr>
            </w:pPr>
            <w:r>
              <w:rPr>
                <w:rFonts w:ascii="Times New Roman" w:hAnsi="Times New Roman" w:cs="Times New Roman"/>
                <w:sz w:val="18"/>
                <w:szCs w:val="18"/>
              </w:rPr>
              <w:t>Yes</w:t>
            </w:r>
          </w:p>
        </w:tc>
      </w:tr>
      <w:tr>
        <w:tblPrEx>
          <w:tblCellMar>
            <w:top w:w="0" w:type="dxa"/>
            <w:left w:w="108" w:type="dxa"/>
            <w:bottom w:w="0" w:type="dxa"/>
            <w:right w:w="108" w:type="dxa"/>
          </w:tblCellMar>
        </w:tblPrEx>
        <w:trPr>
          <w:gridAfter w:val="1"/>
          <w:wAfter w:w="142" w:type="dxa"/>
          <w:trHeight w:val="263" w:hRule="atLeast"/>
          <w:jc w:val="center"/>
        </w:trPr>
        <w:tc>
          <w:tcPr>
            <w:tcW w:w="2084" w:type="dxa"/>
            <w:tcBorders>
              <w:top w:val="nil"/>
              <w:left w:val="nil"/>
              <w:bottom w:val="nil"/>
              <w:right w:val="nil"/>
            </w:tcBorders>
            <w:shd w:val="clear" w:color="auto" w:fill="auto"/>
            <w:noWrap/>
            <w:vAlign w:val="bottom"/>
          </w:tcPr>
          <w:p>
            <w:pPr>
              <w:widowControl/>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是否添加控制变量</w:t>
            </w:r>
          </w:p>
        </w:tc>
        <w:tc>
          <w:tcPr>
            <w:tcW w:w="2082"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18"/>
                <w:szCs w:val="18"/>
              </w:rPr>
            </w:pPr>
            <w:r>
              <w:rPr>
                <w:rFonts w:ascii="Times New Roman" w:hAnsi="Times New Roman" w:cs="Times New Roman"/>
                <w:sz w:val="18"/>
                <w:szCs w:val="18"/>
              </w:rPr>
              <w:t>Yes</w:t>
            </w:r>
          </w:p>
        </w:tc>
        <w:tc>
          <w:tcPr>
            <w:tcW w:w="1079"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18"/>
                <w:szCs w:val="18"/>
              </w:rPr>
            </w:pPr>
            <w:r>
              <w:rPr>
                <w:rFonts w:ascii="Times New Roman" w:hAnsi="Times New Roman" w:cs="Times New Roman"/>
                <w:sz w:val="18"/>
                <w:szCs w:val="18"/>
              </w:rPr>
              <w:t>Yes</w:t>
            </w:r>
          </w:p>
        </w:tc>
        <w:tc>
          <w:tcPr>
            <w:tcW w:w="1869"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18"/>
                <w:szCs w:val="18"/>
              </w:rPr>
            </w:pPr>
            <w:r>
              <w:rPr>
                <w:rFonts w:ascii="Times New Roman" w:hAnsi="Times New Roman" w:cs="Times New Roman"/>
                <w:sz w:val="18"/>
                <w:szCs w:val="18"/>
              </w:rPr>
              <w:t>Yes</w:t>
            </w:r>
          </w:p>
        </w:tc>
        <w:tc>
          <w:tcPr>
            <w:tcW w:w="1391"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18"/>
                <w:szCs w:val="18"/>
              </w:rPr>
            </w:pPr>
            <w:r>
              <w:rPr>
                <w:rFonts w:ascii="Times New Roman" w:hAnsi="Times New Roman" w:cs="Times New Roman"/>
                <w:sz w:val="18"/>
                <w:szCs w:val="18"/>
              </w:rPr>
              <w:t>Yes</w:t>
            </w:r>
          </w:p>
        </w:tc>
        <w:tc>
          <w:tcPr>
            <w:tcW w:w="1134" w:type="dxa"/>
            <w:tcBorders>
              <w:top w:val="nil"/>
              <w:left w:val="nil"/>
              <w:bottom w:val="nil"/>
              <w:right w:val="nil"/>
            </w:tcBorders>
            <w:vAlign w:val="bottom"/>
          </w:tcPr>
          <w:p>
            <w:pPr>
              <w:widowControl/>
              <w:jc w:val="center"/>
              <w:rPr>
                <w:rFonts w:ascii="Times New Roman" w:hAnsi="Times New Roman" w:cs="Times New Roman"/>
                <w:sz w:val="18"/>
                <w:szCs w:val="18"/>
              </w:rPr>
            </w:pPr>
            <w:r>
              <w:rPr>
                <w:rFonts w:ascii="Times New Roman" w:hAnsi="Times New Roman" w:cs="Times New Roman"/>
                <w:sz w:val="18"/>
                <w:szCs w:val="18"/>
              </w:rPr>
              <w:t>Yes</w:t>
            </w:r>
          </w:p>
        </w:tc>
      </w:tr>
      <w:tr>
        <w:tblPrEx>
          <w:tblCellMar>
            <w:top w:w="0" w:type="dxa"/>
            <w:left w:w="108" w:type="dxa"/>
            <w:bottom w:w="0" w:type="dxa"/>
            <w:right w:w="108" w:type="dxa"/>
          </w:tblCellMar>
        </w:tblPrEx>
        <w:trPr>
          <w:gridAfter w:val="1"/>
          <w:wAfter w:w="142" w:type="dxa"/>
          <w:trHeight w:val="263" w:hRule="atLeast"/>
          <w:jc w:val="center"/>
        </w:trPr>
        <w:tc>
          <w:tcPr>
            <w:tcW w:w="2084" w:type="dxa"/>
            <w:tcBorders>
              <w:top w:val="nil"/>
              <w:left w:val="nil"/>
              <w:bottom w:val="single" w:color="000000" w:sz="4" w:space="0"/>
              <w:right w:val="nil"/>
            </w:tcBorders>
            <w:shd w:val="clear" w:color="auto" w:fill="auto"/>
            <w:noWrap/>
            <w:vAlign w:val="bottom"/>
          </w:tcPr>
          <w:p>
            <w:pPr>
              <w:widowControl/>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 xml:space="preserve">K-P </w:t>
            </w:r>
            <w:r>
              <w:rPr>
                <w:rFonts w:ascii="Times New Roman" w:hAnsi="Times New Roman" w:eastAsia="仿宋" w:cs="Times New Roman"/>
                <w:i/>
                <w:iCs/>
                <w:kern w:val="0"/>
                <w:sz w:val="18"/>
                <w:szCs w:val="18"/>
              </w:rPr>
              <w:t>F</w:t>
            </w:r>
            <w:r>
              <w:rPr>
                <w:rFonts w:hint="eastAsia" w:ascii="Times New Roman" w:hAnsi="Times New Roman" w:eastAsia="仿宋" w:cs="Times New Roman"/>
                <w:kern w:val="0"/>
                <w:sz w:val="18"/>
                <w:szCs w:val="18"/>
              </w:rPr>
              <w:t>统计量</w:t>
            </w:r>
          </w:p>
        </w:tc>
        <w:tc>
          <w:tcPr>
            <w:tcW w:w="2082" w:type="dxa"/>
            <w:tcBorders>
              <w:top w:val="nil"/>
              <w:left w:val="nil"/>
              <w:bottom w:val="single" w:color="000000" w:sz="4" w:space="0"/>
              <w:right w:val="nil"/>
            </w:tcBorders>
            <w:shd w:val="clear" w:color="auto" w:fill="auto"/>
            <w:noWrap/>
            <w:vAlign w:val="bottom"/>
          </w:tcPr>
          <w:p>
            <w:pPr>
              <w:widowControl/>
              <w:jc w:val="center"/>
              <w:rPr>
                <w:rFonts w:ascii="Times New Roman" w:hAnsi="Times New Roman" w:eastAsia="仿宋" w:cs="Times New Roman"/>
                <w:kern w:val="0"/>
                <w:sz w:val="18"/>
                <w:szCs w:val="18"/>
              </w:rPr>
            </w:pPr>
            <w:r>
              <w:rPr>
                <w:rFonts w:ascii="Times New Roman" w:hAnsi="Times New Roman" w:cs="Times New Roman"/>
                <w:sz w:val="18"/>
                <w:szCs w:val="18"/>
              </w:rPr>
              <w:t>21.06</w:t>
            </w:r>
          </w:p>
        </w:tc>
        <w:tc>
          <w:tcPr>
            <w:tcW w:w="1079" w:type="dxa"/>
            <w:tcBorders>
              <w:top w:val="nil"/>
              <w:left w:val="nil"/>
              <w:bottom w:val="single" w:color="000000" w:sz="4" w:space="0"/>
              <w:right w:val="nil"/>
            </w:tcBorders>
            <w:shd w:val="clear" w:color="auto" w:fill="auto"/>
            <w:noWrap/>
            <w:vAlign w:val="bottom"/>
          </w:tcPr>
          <w:p>
            <w:pPr>
              <w:widowControl/>
              <w:jc w:val="center"/>
              <w:rPr>
                <w:rFonts w:ascii="Times New Roman" w:hAnsi="Times New Roman" w:eastAsia="仿宋" w:cs="Times New Roman"/>
                <w:kern w:val="0"/>
                <w:sz w:val="18"/>
                <w:szCs w:val="18"/>
              </w:rPr>
            </w:pPr>
            <w:r>
              <w:rPr>
                <w:rFonts w:ascii="Times New Roman" w:hAnsi="Times New Roman" w:cs="Times New Roman"/>
                <w:sz w:val="18"/>
                <w:szCs w:val="18"/>
              </w:rPr>
              <w:t>8.093</w:t>
            </w:r>
          </w:p>
        </w:tc>
        <w:tc>
          <w:tcPr>
            <w:tcW w:w="1869" w:type="dxa"/>
            <w:tcBorders>
              <w:top w:val="nil"/>
              <w:left w:val="nil"/>
              <w:bottom w:val="single" w:color="000000" w:sz="4" w:space="0"/>
              <w:right w:val="nil"/>
            </w:tcBorders>
            <w:shd w:val="clear" w:color="auto" w:fill="auto"/>
            <w:noWrap/>
            <w:vAlign w:val="bottom"/>
          </w:tcPr>
          <w:p>
            <w:pPr>
              <w:widowControl/>
              <w:jc w:val="center"/>
              <w:rPr>
                <w:rFonts w:ascii="Times New Roman" w:hAnsi="Times New Roman" w:eastAsia="仿宋" w:cs="Times New Roman"/>
                <w:kern w:val="0"/>
                <w:sz w:val="18"/>
                <w:szCs w:val="18"/>
              </w:rPr>
            </w:pPr>
            <w:r>
              <w:rPr>
                <w:rFonts w:ascii="Times New Roman" w:hAnsi="Times New Roman" w:cs="Times New Roman"/>
                <w:sz w:val="18"/>
                <w:szCs w:val="18"/>
              </w:rPr>
              <w:t>50.85</w:t>
            </w:r>
          </w:p>
        </w:tc>
        <w:tc>
          <w:tcPr>
            <w:tcW w:w="1391" w:type="dxa"/>
            <w:tcBorders>
              <w:top w:val="nil"/>
              <w:left w:val="nil"/>
              <w:bottom w:val="single" w:color="000000" w:sz="4" w:space="0"/>
              <w:right w:val="nil"/>
            </w:tcBorders>
            <w:shd w:val="clear" w:color="auto" w:fill="auto"/>
            <w:noWrap/>
            <w:vAlign w:val="bottom"/>
          </w:tcPr>
          <w:p>
            <w:pPr>
              <w:widowControl/>
              <w:jc w:val="center"/>
              <w:rPr>
                <w:rFonts w:ascii="Times New Roman" w:hAnsi="Times New Roman" w:eastAsia="仿宋" w:cs="Times New Roman"/>
                <w:kern w:val="0"/>
                <w:sz w:val="18"/>
                <w:szCs w:val="18"/>
              </w:rPr>
            </w:pPr>
            <w:r>
              <w:rPr>
                <w:rFonts w:ascii="Times New Roman" w:hAnsi="Times New Roman" w:cs="Times New Roman"/>
                <w:sz w:val="18"/>
                <w:szCs w:val="18"/>
              </w:rPr>
              <w:t>9.681</w:t>
            </w:r>
          </w:p>
        </w:tc>
        <w:tc>
          <w:tcPr>
            <w:tcW w:w="1134" w:type="dxa"/>
            <w:tcBorders>
              <w:top w:val="nil"/>
              <w:left w:val="nil"/>
              <w:bottom w:val="single" w:color="000000" w:sz="4" w:space="0"/>
              <w:right w:val="nil"/>
            </w:tcBorders>
          </w:tcPr>
          <w:p>
            <w:pPr>
              <w:widowControl/>
              <w:jc w:val="center"/>
              <w:rPr>
                <w:rFonts w:ascii="Times New Roman" w:hAnsi="Times New Roman" w:cs="Times New Roman"/>
                <w:sz w:val="18"/>
                <w:szCs w:val="18"/>
              </w:rPr>
            </w:pPr>
          </w:p>
        </w:tc>
      </w:tr>
      <w:tr>
        <w:tblPrEx>
          <w:tblCellMar>
            <w:top w:w="0" w:type="dxa"/>
            <w:left w:w="108" w:type="dxa"/>
            <w:bottom w:w="0" w:type="dxa"/>
            <w:right w:w="108" w:type="dxa"/>
          </w:tblCellMar>
        </w:tblPrEx>
        <w:trPr>
          <w:trHeight w:val="936" w:hRule="atLeast"/>
          <w:jc w:val="center"/>
        </w:trPr>
        <w:tc>
          <w:tcPr>
            <w:tcW w:w="9781" w:type="dxa"/>
            <w:gridSpan w:val="7"/>
            <w:tcBorders>
              <w:top w:val="nil"/>
              <w:left w:val="nil"/>
              <w:right w:val="nil"/>
            </w:tcBorders>
          </w:tcPr>
          <w:p>
            <w:pPr>
              <w:widowControl/>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注：</w:t>
            </w:r>
            <w:r>
              <w:rPr>
                <w:rFonts w:hint="eastAsia" w:ascii="Times New Roman" w:hAnsi="Times New Roman" w:eastAsia="仿宋" w:cs="Times New Roman"/>
                <w:kern w:val="0"/>
                <w:sz w:val="18"/>
                <w:szCs w:val="18"/>
              </w:rPr>
              <w:t>列</w:t>
            </w:r>
            <w:r>
              <w:rPr>
                <w:rFonts w:hint="eastAsia" w:ascii="Times New Roman" w:hAnsi="Times New Roman" w:eastAsia="仿宋" w:cs="Times New Roman"/>
                <w:kern w:val="0"/>
                <w:sz w:val="18"/>
                <w:szCs w:val="18"/>
                <w:lang w:eastAsia="zh-CN"/>
              </w:rPr>
              <w:t>（</w:t>
            </w:r>
            <w:r>
              <w:rPr>
                <w:rFonts w:hint="eastAsia" w:ascii="Times New Roman" w:hAnsi="Times New Roman" w:eastAsia="仿宋" w:cs="Times New Roman"/>
                <w:kern w:val="0"/>
                <w:sz w:val="18"/>
                <w:szCs w:val="18"/>
              </w:rPr>
              <w:t>1</w:t>
            </w:r>
            <w:r>
              <w:rPr>
                <w:rFonts w:hint="eastAsia" w:ascii="Times New Roman" w:hAnsi="Times New Roman" w:eastAsia="仿宋" w:cs="Times New Roman"/>
                <w:kern w:val="0"/>
                <w:sz w:val="18"/>
                <w:szCs w:val="18"/>
                <w:lang w:eastAsia="zh-CN"/>
              </w:rPr>
              <w:t>）</w:t>
            </w:r>
            <w:r>
              <w:rPr>
                <w:rFonts w:hint="eastAsia" w:ascii="Times New Roman" w:hAnsi="Times New Roman" w:eastAsia="仿宋" w:cs="Times New Roman"/>
                <w:kern w:val="0"/>
                <w:sz w:val="18"/>
                <w:szCs w:val="18"/>
              </w:rPr>
              <w:t>至列</w:t>
            </w:r>
            <w:r>
              <w:rPr>
                <w:rFonts w:hint="eastAsia" w:ascii="Times New Roman" w:hAnsi="Times New Roman" w:eastAsia="仿宋" w:cs="Times New Roman"/>
                <w:kern w:val="0"/>
                <w:sz w:val="18"/>
                <w:szCs w:val="18"/>
                <w:lang w:eastAsia="zh-CN"/>
              </w:rPr>
              <w:t>（</w:t>
            </w:r>
            <w:r>
              <w:rPr>
                <w:rFonts w:hint="eastAsia" w:ascii="Times New Roman" w:hAnsi="Times New Roman" w:eastAsia="仿宋" w:cs="Times New Roman"/>
                <w:kern w:val="0"/>
                <w:sz w:val="18"/>
                <w:szCs w:val="18"/>
              </w:rPr>
              <w:t>4</w:t>
            </w:r>
            <w:r>
              <w:rPr>
                <w:rFonts w:hint="eastAsia" w:ascii="Times New Roman" w:hAnsi="Times New Roman" w:eastAsia="仿宋" w:cs="Times New Roman"/>
                <w:kern w:val="0"/>
                <w:sz w:val="18"/>
                <w:szCs w:val="18"/>
                <w:lang w:eastAsia="zh-CN"/>
              </w:rPr>
              <w:t>）</w:t>
            </w:r>
            <w:r>
              <w:rPr>
                <w:rFonts w:hint="eastAsia" w:ascii="Times New Roman" w:hAnsi="Times New Roman" w:eastAsia="仿宋" w:cs="Times New Roman"/>
                <w:kern w:val="0"/>
                <w:sz w:val="18"/>
                <w:szCs w:val="18"/>
              </w:rPr>
              <w:t>为使用不同工具变量的</w:t>
            </w:r>
            <w:r>
              <w:rPr>
                <w:rFonts w:ascii="Times New Roman" w:hAnsi="Times New Roman" w:eastAsia="仿宋" w:cs="Times New Roman"/>
                <w:kern w:val="0"/>
                <w:sz w:val="18"/>
                <w:szCs w:val="18"/>
              </w:rPr>
              <w:t>二阶段回归结果</w:t>
            </w:r>
            <w:r>
              <w:rPr>
                <w:rFonts w:hint="eastAsia" w:ascii="Times New Roman" w:hAnsi="Times New Roman" w:eastAsia="仿宋" w:cs="Times New Roman"/>
                <w:kern w:val="0"/>
                <w:sz w:val="18"/>
                <w:szCs w:val="18"/>
              </w:rPr>
              <w:t>。</w:t>
            </w:r>
            <w:r>
              <w:rPr>
                <w:rFonts w:ascii="Times New Roman" w:hAnsi="Times New Roman" w:eastAsia="仿宋" w:cs="Times New Roman"/>
                <w:kern w:val="0"/>
                <w:sz w:val="18"/>
                <w:szCs w:val="18"/>
              </w:rPr>
              <w:t>列</w:t>
            </w:r>
            <w:r>
              <w:rPr>
                <w:rFonts w:hint="eastAsia" w:ascii="Times New Roman" w:hAnsi="Times New Roman" w:eastAsia="仿宋" w:cs="Times New Roman"/>
                <w:kern w:val="0"/>
                <w:sz w:val="18"/>
                <w:szCs w:val="18"/>
                <w:lang w:eastAsia="zh-CN"/>
              </w:rPr>
              <w:t>（</w:t>
            </w:r>
            <w:r>
              <w:rPr>
                <w:rFonts w:ascii="Times New Roman" w:hAnsi="Times New Roman" w:eastAsia="仿宋" w:cs="Times New Roman"/>
                <w:kern w:val="0"/>
                <w:sz w:val="18"/>
                <w:szCs w:val="18"/>
              </w:rPr>
              <w:t>1</w:t>
            </w:r>
            <w:r>
              <w:rPr>
                <w:rFonts w:hint="eastAsia" w:ascii="Times New Roman" w:hAnsi="Times New Roman" w:eastAsia="仿宋" w:cs="Times New Roman"/>
                <w:kern w:val="0"/>
                <w:sz w:val="18"/>
                <w:szCs w:val="18"/>
                <w:lang w:eastAsia="zh-CN"/>
              </w:rPr>
              <w:t>）</w:t>
            </w:r>
            <w:r>
              <w:rPr>
                <w:rFonts w:hint="eastAsia" w:ascii="Times New Roman" w:hAnsi="Times New Roman" w:eastAsia="仿宋" w:cs="Times New Roman"/>
                <w:kern w:val="0"/>
                <w:sz w:val="18"/>
                <w:szCs w:val="18"/>
              </w:rPr>
              <w:t>使用电线进口关税税率乘以1</w:t>
            </w:r>
            <w:r>
              <w:rPr>
                <w:rFonts w:ascii="Times New Roman" w:hAnsi="Times New Roman" w:eastAsia="仿宋" w:cs="Times New Roman"/>
                <w:kern w:val="0"/>
                <w:sz w:val="18"/>
                <w:szCs w:val="18"/>
              </w:rPr>
              <w:t>851</w:t>
            </w:r>
            <w:r>
              <w:rPr>
                <w:rFonts w:hint="eastAsia" w:ascii="Times New Roman" w:hAnsi="Times New Roman" w:eastAsia="仿宋" w:cs="Times New Roman"/>
                <w:kern w:val="0"/>
                <w:sz w:val="18"/>
                <w:szCs w:val="18"/>
              </w:rPr>
              <w:t>年人口</w:t>
            </w:r>
            <w:r>
              <w:rPr>
                <w:rFonts w:ascii="Times New Roman" w:hAnsi="Times New Roman" w:eastAsia="仿宋" w:cs="Times New Roman"/>
                <w:kern w:val="0"/>
                <w:sz w:val="18"/>
                <w:szCs w:val="18"/>
              </w:rPr>
              <w:t>；列</w:t>
            </w:r>
            <w:r>
              <w:rPr>
                <w:rFonts w:hint="eastAsia" w:ascii="Times New Roman" w:hAnsi="Times New Roman" w:eastAsia="仿宋" w:cs="Times New Roman"/>
                <w:kern w:val="0"/>
                <w:sz w:val="18"/>
                <w:szCs w:val="18"/>
                <w:lang w:eastAsia="zh-CN"/>
              </w:rPr>
              <w:t>（</w:t>
            </w:r>
            <w:r>
              <w:rPr>
                <w:rFonts w:ascii="Times New Roman" w:hAnsi="Times New Roman" w:eastAsia="仿宋" w:cs="Times New Roman"/>
                <w:kern w:val="0"/>
                <w:sz w:val="18"/>
                <w:szCs w:val="18"/>
              </w:rPr>
              <w:t>2</w:t>
            </w:r>
            <w:r>
              <w:rPr>
                <w:rFonts w:hint="eastAsia" w:ascii="Times New Roman" w:hAnsi="Times New Roman" w:eastAsia="仿宋" w:cs="Times New Roman"/>
                <w:kern w:val="0"/>
                <w:sz w:val="18"/>
                <w:szCs w:val="18"/>
                <w:lang w:eastAsia="zh-CN"/>
              </w:rPr>
              <w:t>）</w:t>
            </w:r>
            <w:r>
              <w:rPr>
                <w:rFonts w:hint="eastAsia" w:ascii="Times New Roman" w:hAnsi="Times New Roman" w:eastAsia="仿宋" w:cs="Times New Roman"/>
                <w:kern w:val="0"/>
                <w:sz w:val="18"/>
                <w:szCs w:val="18"/>
              </w:rPr>
              <w:t>使用手工机械进口关税税率乘以1</w:t>
            </w:r>
            <w:r>
              <w:rPr>
                <w:rFonts w:ascii="Times New Roman" w:hAnsi="Times New Roman" w:eastAsia="仿宋" w:cs="Times New Roman"/>
                <w:kern w:val="0"/>
                <w:sz w:val="18"/>
                <w:szCs w:val="18"/>
              </w:rPr>
              <w:t>851</w:t>
            </w:r>
            <w:r>
              <w:rPr>
                <w:rFonts w:hint="eastAsia" w:ascii="Times New Roman" w:hAnsi="Times New Roman" w:eastAsia="仿宋" w:cs="Times New Roman"/>
                <w:kern w:val="0"/>
                <w:sz w:val="18"/>
                <w:szCs w:val="18"/>
              </w:rPr>
              <w:t>年人口；</w:t>
            </w:r>
            <w:r>
              <w:rPr>
                <w:rFonts w:ascii="Times New Roman" w:hAnsi="Times New Roman" w:eastAsia="仿宋" w:cs="Times New Roman"/>
                <w:kern w:val="0"/>
                <w:sz w:val="18"/>
                <w:szCs w:val="18"/>
              </w:rPr>
              <w:t>列</w:t>
            </w:r>
            <w:r>
              <w:rPr>
                <w:rFonts w:hint="eastAsia" w:ascii="Times New Roman" w:hAnsi="Times New Roman" w:eastAsia="仿宋" w:cs="Times New Roman"/>
                <w:kern w:val="0"/>
                <w:sz w:val="18"/>
                <w:szCs w:val="18"/>
                <w:lang w:eastAsia="zh-CN"/>
              </w:rPr>
              <w:t>（</w:t>
            </w:r>
            <w:r>
              <w:rPr>
                <w:rFonts w:ascii="Times New Roman" w:hAnsi="Times New Roman" w:eastAsia="仿宋" w:cs="Times New Roman"/>
                <w:kern w:val="0"/>
                <w:sz w:val="18"/>
                <w:szCs w:val="18"/>
              </w:rPr>
              <w:t>3</w:t>
            </w:r>
            <w:r>
              <w:rPr>
                <w:rFonts w:hint="eastAsia" w:ascii="Times New Roman" w:hAnsi="Times New Roman" w:eastAsia="仿宋" w:cs="Times New Roman"/>
                <w:kern w:val="0"/>
                <w:sz w:val="18"/>
                <w:szCs w:val="18"/>
                <w:lang w:eastAsia="zh-CN"/>
              </w:rPr>
              <w:t>）</w:t>
            </w:r>
            <w:r>
              <w:rPr>
                <w:rFonts w:hint="eastAsia" w:ascii="Times New Roman" w:hAnsi="Times New Roman" w:eastAsia="仿宋" w:cs="Times New Roman"/>
                <w:kern w:val="0"/>
                <w:sz w:val="18"/>
                <w:szCs w:val="18"/>
              </w:rPr>
              <w:t>使用发电机进口关税税率乘以1</w:t>
            </w:r>
            <w:r>
              <w:rPr>
                <w:rFonts w:ascii="Times New Roman" w:hAnsi="Times New Roman" w:eastAsia="仿宋" w:cs="Times New Roman"/>
                <w:kern w:val="0"/>
                <w:sz w:val="18"/>
                <w:szCs w:val="18"/>
              </w:rPr>
              <w:t>851</w:t>
            </w:r>
            <w:r>
              <w:rPr>
                <w:rFonts w:hint="eastAsia" w:ascii="Times New Roman" w:hAnsi="Times New Roman" w:eastAsia="仿宋" w:cs="Times New Roman"/>
                <w:kern w:val="0"/>
                <w:sz w:val="18"/>
                <w:szCs w:val="18"/>
              </w:rPr>
              <w:t>年人口乘以1</w:t>
            </w:r>
            <w:r>
              <w:rPr>
                <w:rFonts w:ascii="Times New Roman" w:hAnsi="Times New Roman" w:eastAsia="仿宋" w:cs="Times New Roman"/>
                <w:kern w:val="0"/>
                <w:sz w:val="18"/>
                <w:szCs w:val="18"/>
              </w:rPr>
              <w:t>776</w:t>
            </w:r>
            <w:r>
              <w:rPr>
                <w:rFonts w:hint="eastAsia" w:ascii="Times New Roman" w:hAnsi="Times New Roman" w:eastAsia="仿宋" w:cs="Times New Roman"/>
                <w:kern w:val="0"/>
                <w:sz w:val="18"/>
                <w:szCs w:val="18"/>
              </w:rPr>
              <w:t>年城市化率；</w:t>
            </w:r>
            <w:r>
              <w:rPr>
                <w:rFonts w:ascii="Times New Roman" w:hAnsi="Times New Roman" w:eastAsia="仿宋" w:cs="Times New Roman"/>
                <w:kern w:val="0"/>
                <w:sz w:val="18"/>
                <w:szCs w:val="18"/>
              </w:rPr>
              <w:t>列</w:t>
            </w:r>
            <w:r>
              <w:rPr>
                <w:rFonts w:hint="eastAsia" w:ascii="Times New Roman" w:hAnsi="Times New Roman" w:eastAsia="仿宋" w:cs="Times New Roman"/>
                <w:kern w:val="0"/>
                <w:sz w:val="18"/>
                <w:szCs w:val="18"/>
                <w:lang w:eastAsia="zh-CN"/>
              </w:rPr>
              <w:t>（</w:t>
            </w:r>
            <w:r>
              <w:rPr>
                <w:rFonts w:ascii="Times New Roman" w:hAnsi="Times New Roman" w:eastAsia="仿宋" w:cs="Times New Roman"/>
                <w:kern w:val="0"/>
                <w:sz w:val="18"/>
                <w:szCs w:val="18"/>
              </w:rPr>
              <w:t>4</w:t>
            </w:r>
            <w:r>
              <w:rPr>
                <w:rFonts w:hint="eastAsia" w:ascii="Times New Roman" w:hAnsi="Times New Roman" w:eastAsia="仿宋" w:cs="Times New Roman"/>
                <w:kern w:val="0"/>
                <w:sz w:val="18"/>
                <w:szCs w:val="18"/>
                <w:lang w:eastAsia="zh-CN"/>
              </w:rPr>
              <w:t>）</w:t>
            </w:r>
            <w:r>
              <w:rPr>
                <w:rFonts w:hint="eastAsia" w:ascii="Times New Roman" w:hAnsi="Times New Roman" w:eastAsia="仿宋" w:cs="Times New Roman"/>
                <w:kern w:val="0"/>
                <w:sz w:val="18"/>
                <w:szCs w:val="18"/>
              </w:rPr>
              <w:t>使用发电机进口关税税率乘以1</w:t>
            </w:r>
            <w:r>
              <w:rPr>
                <w:rFonts w:ascii="Times New Roman" w:hAnsi="Times New Roman" w:eastAsia="仿宋" w:cs="Times New Roman"/>
                <w:kern w:val="0"/>
                <w:sz w:val="18"/>
                <w:szCs w:val="18"/>
              </w:rPr>
              <w:t>880</w:t>
            </w:r>
            <w:r>
              <w:rPr>
                <w:rFonts w:hint="eastAsia" w:ascii="Times New Roman" w:hAnsi="Times New Roman" w:eastAsia="仿宋" w:cs="Times New Roman"/>
                <w:kern w:val="0"/>
                <w:sz w:val="18"/>
                <w:szCs w:val="18"/>
              </w:rPr>
              <w:t>年人口乘以1</w:t>
            </w:r>
            <w:r>
              <w:rPr>
                <w:rFonts w:ascii="Times New Roman" w:hAnsi="Times New Roman" w:eastAsia="仿宋" w:cs="Times New Roman"/>
                <w:kern w:val="0"/>
                <w:sz w:val="18"/>
                <w:szCs w:val="18"/>
              </w:rPr>
              <w:t>776</w:t>
            </w:r>
            <w:r>
              <w:rPr>
                <w:rFonts w:hint="eastAsia" w:ascii="Times New Roman" w:hAnsi="Times New Roman" w:eastAsia="仿宋" w:cs="Times New Roman"/>
                <w:kern w:val="0"/>
                <w:sz w:val="18"/>
                <w:szCs w:val="18"/>
              </w:rPr>
              <w:t>年城市化率</w:t>
            </w:r>
            <w:r>
              <w:rPr>
                <w:rFonts w:ascii="Times New Roman" w:hAnsi="Times New Roman" w:eastAsia="仿宋" w:cs="Times New Roman"/>
                <w:kern w:val="0"/>
                <w:sz w:val="18"/>
                <w:szCs w:val="18"/>
              </w:rPr>
              <w:t>。</w:t>
            </w:r>
            <w:r>
              <w:rPr>
                <w:rFonts w:hint="eastAsia" w:ascii="Times New Roman" w:hAnsi="Times New Roman" w:eastAsia="仿宋" w:cs="Times New Roman"/>
                <w:kern w:val="0"/>
                <w:sz w:val="18"/>
                <w:szCs w:val="18"/>
              </w:rPr>
              <w:t>列</w:t>
            </w:r>
            <w:r>
              <w:rPr>
                <w:rFonts w:hint="eastAsia" w:ascii="Times New Roman" w:hAnsi="Times New Roman" w:eastAsia="仿宋" w:cs="Times New Roman"/>
                <w:kern w:val="0"/>
                <w:sz w:val="18"/>
                <w:szCs w:val="18"/>
                <w:lang w:eastAsia="zh-CN"/>
              </w:rPr>
              <w:t>（</w:t>
            </w:r>
            <w:r>
              <w:rPr>
                <w:rFonts w:hint="eastAsia" w:ascii="Times New Roman" w:hAnsi="Times New Roman" w:eastAsia="仿宋" w:cs="Times New Roman"/>
                <w:kern w:val="0"/>
                <w:sz w:val="18"/>
                <w:szCs w:val="18"/>
              </w:rPr>
              <w:t>5</w:t>
            </w:r>
            <w:r>
              <w:rPr>
                <w:rFonts w:hint="eastAsia" w:ascii="Times New Roman" w:hAnsi="Times New Roman" w:eastAsia="仿宋" w:cs="Times New Roman"/>
                <w:kern w:val="0"/>
                <w:sz w:val="18"/>
                <w:szCs w:val="18"/>
                <w:lang w:eastAsia="zh-CN"/>
              </w:rPr>
              <w:t>）</w:t>
            </w:r>
            <w:r>
              <w:rPr>
                <w:rFonts w:hint="eastAsia" w:ascii="Times New Roman" w:hAnsi="Times New Roman" w:eastAsia="仿宋" w:cs="Times New Roman"/>
                <w:kern w:val="0"/>
                <w:sz w:val="18"/>
                <w:szCs w:val="18"/>
              </w:rPr>
              <w:t>使用从来没有电厂设立的县作为样本，基准工具变量（发电机进口关税税率乘以1</w:t>
            </w:r>
            <w:r>
              <w:rPr>
                <w:rFonts w:ascii="Times New Roman" w:hAnsi="Times New Roman" w:eastAsia="仿宋" w:cs="Times New Roman"/>
                <w:kern w:val="0"/>
                <w:sz w:val="18"/>
                <w:szCs w:val="18"/>
              </w:rPr>
              <w:t>851</w:t>
            </w:r>
            <w:r>
              <w:rPr>
                <w:rFonts w:hint="eastAsia" w:ascii="Times New Roman" w:hAnsi="Times New Roman" w:eastAsia="仿宋" w:cs="Times New Roman"/>
                <w:kern w:val="0"/>
                <w:sz w:val="18"/>
                <w:szCs w:val="18"/>
              </w:rPr>
              <w:t>年人口）作为自变量进行安慰剂回归。</w:t>
            </w:r>
            <w:r>
              <w:rPr>
                <w:rFonts w:ascii="Times New Roman" w:hAnsi="Times New Roman" w:eastAsia="仿宋" w:cs="Times New Roman"/>
                <w:kern w:val="0"/>
                <w:sz w:val="18"/>
                <w:szCs w:val="18"/>
              </w:rPr>
              <w:t>括号内为异方差稳健标准误。***</w:t>
            </w:r>
            <w:r>
              <w:rPr>
                <w:rFonts w:hint="eastAsia" w:ascii="Times New Roman" w:hAnsi="Times New Roman" w:eastAsia="仿宋" w:cs="Times New Roman"/>
                <w:kern w:val="0"/>
                <w:sz w:val="18"/>
                <w:szCs w:val="18"/>
                <w:lang w:eastAsia="zh-CN"/>
              </w:rPr>
              <w:t>、</w:t>
            </w:r>
            <w:r>
              <w:rPr>
                <w:rFonts w:ascii="Times New Roman" w:hAnsi="Times New Roman" w:eastAsia="仿宋" w:cs="Times New Roman"/>
                <w:kern w:val="0"/>
                <w:sz w:val="18"/>
                <w:szCs w:val="18"/>
              </w:rPr>
              <w:t>**</w:t>
            </w:r>
            <w:r>
              <w:rPr>
                <w:rFonts w:hint="eastAsia" w:ascii="Times New Roman" w:hAnsi="Times New Roman" w:eastAsia="仿宋" w:cs="Times New Roman"/>
                <w:kern w:val="0"/>
                <w:sz w:val="18"/>
                <w:szCs w:val="18"/>
                <w:lang w:eastAsia="zh-CN"/>
              </w:rPr>
              <w:t>、</w:t>
            </w:r>
            <w:r>
              <w:rPr>
                <w:rFonts w:ascii="Times New Roman" w:hAnsi="Times New Roman" w:eastAsia="仿宋" w:cs="Times New Roman"/>
                <w:kern w:val="0"/>
                <w:sz w:val="18"/>
                <w:szCs w:val="18"/>
              </w:rPr>
              <w:t>*分别代表在1%</w:t>
            </w:r>
            <w:r>
              <w:rPr>
                <w:rFonts w:hint="eastAsia" w:ascii="Times New Roman" w:hAnsi="Times New Roman" w:eastAsia="仿宋" w:cs="Times New Roman"/>
                <w:kern w:val="0"/>
                <w:sz w:val="18"/>
                <w:szCs w:val="18"/>
                <w:lang w:eastAsia="zh-CN"/>
              </w:rPr>
              <w:t>、</w:t>
            </w:r>
            <w:r>
              <w:rPr>
                <w:rFonts w:ascii="Times New Roman" w:hAnsi="Times New Roman" w:eastAsia="仿宋" w:cs="Times New Roman"/>
                <w:kern w:val="0"/>
                <w:sz w:val="18"/>
                <w:szCs w:val="18"/>
              </w:rPr>
              <w:t>5%和10%的显著性水平上显著。</w:t>
            </w:r>
          </w:p>
        </w:tc>
      </w:tr>
      <w:bookmarkEnd w:id="1"/>
    </w:tbl>
    <w:p>
      <w:pPr>
        <w:pStyle w:val="9"/>
        <w:spacing w:after="45"/>
        <w:ind w:left="420" w:firstLine="0" w:firstLineChars="0"/>
        <w:outlineLvl w:val="2"/>
        <w:rPr>
          <w:rFonts w:ascii="Times New Roman" w:hAnsi="Times New Roman" w:eastAsia="仿宋" w:cs="Times New Roman"/>
          <w:sz w:val="20"/>
          <w:szCs w:val="20"/>
        </w:rPr>
      </w:pPr>
    </w:p>
    <w:p>
      <w:pPr>
        <w:widowControl/>
        <w:jc w:val="left"/>
        <w:rPr>
          <w:rFonts w:ascii="Times New Roman" w:hAnsi="Times New Roman" w:eastAsia="仿宋" w:cs="Times New Roman"/>
        </w:rPr>
      </w:pPr>
      <w:r>
        <w:rPr>
          <w:rFonts w:ascii="Times New Roman" w:hAnsi="Times New Roman" w:eastAsia="仿宋" w:cs="Times New Roman"/>
        </w:rPr>
        <w:br w:type="page"/>
      </w:r>
    </w:p>
    <w:p>
      <w:pPr>
        <w:widowControl/>
        <w:jc w:val="left"/>
        <w:rPr>
          <w:rFonts w:ascii="Times New Roman" w:hAnsi="Times New Roman" w:eastAsia="仿宋" w:cs="Times New Roman"/>
        </w:rPr>
      </w:pPr>
    </w:p>
    <w:p>
      <w:pPr>
        <w:jc w:val="center"/>
        <w:rPr>
          <w:rFonts w:hint="eastAsia" w:ascii="宋体" w:hAnsi="宋体" w:eastAsia="宋体" w:cs="宋体"/>
          <w:b/>
          <w:bCs/>
          <w:sz w:val="20"/>
          <w:szCs w:val="21"/>
        </w:rPr>
      </w:pPr>
      <w:r>
        <w:rPr>
          <w:rFonts w:hint="eastAsia" w:ascii="宋体" w:hAnsi="宋体" w:eastAsia="宋体" w:cs="宋体"/>
          <w:b/>
          <w:bCs/>
          <w:sz w:val="20"/>
          <w:szCs w:val="21"/>
        </w:rPr>
        <w:t>表A3</w:t>
      </w:r>
      <w:r>
        <w:rPr>
          <w:rFonts w:hint="eastAsia" w:ascii="宋体" w:hAnsi="宋体" w:eastAsia="宋体" w:cs="宋体"/>
          <w:b/>
          <w:bCs/>
          <w:sz w:val="20"/>
          <w:szCs w:val="21"/>
          <w:lang w:val="en-US" w:eastAsia="zh-CN"/>
        </w:rPr>
        <w:t xml:space="preserve"> </w:t>
      </w:r>
      <w:r>
        <w:rPr>
          <w:rFonts w:hint="eastAsia" w:ascii="宋体" w:hAnsi="宋体" w:eastAsia="宋体" w:cs="宋体"/>
          <w:b/>
          <w:bCs/>
          <w:sz w:val="20"/>
          <w:szCs w:val="21"/>
        </w:rPr>
        <w:t>分行业的异质性回归结果</w:t>
      </w:r>
    </w:p>
    <w:tbl>
      <w:tblPr>
        <w:tblStyle w:val="6"/>
        <w:tblW w:w="8306" w:type="dxa"/>
        <w:tblInd w:w="0" w:type="dxa"/>
        <w:tblLayout w:type="autofit"/>
        <w:tblCellMar>
          <w:top w:w="0" w:type="dxa"/>
          <w:left w:w="108" w:type="dxa"/>
          <w:bottom w:w="0" w:type="dxa"/>
          <w:right w:w="108" w:type="dxa"/>
        </w:tblCellMar>
      </w:tblPr>
      <w:tblGrid>
        <w:gridCol w:w="3241"/>
        <w:gridCol w:w="1237"/>
        <w:gridCol w:w="1334"/>
        <w:gridCol w:w="1276"/>
        <w:gridCol w:w="1218"/>
      </w:tblGrid>
      <w:tr>
        <w:tblPrEx>
          <w:tblCellMar>
            <w:top w:w="0" w:type="dxa"/>
            <w:left w:w="108" w:type="dxa"/>
            <w:bottom w:w="0" w:type="dxa"/>
            <w:right w:w="108" w:type="dxa"/>
          </w:tblCellMar>
        </w:tblPrEx>
        <w:trPr>
          <w:trHeight w:val="263" w:hRule="atLeast"/>
        </w:trPr>
        <w:tc>
          <w:tcPr>
            <w:tcW w:w="3241" w:type="dxa"/>
            <w:tcBorders>
              <w:top w:val="single" w:color="000000" w:sz="4" w:space="0"/>
              <w:left w:val="nil"/>
              <w:right w:val="nil"/>
            </w:tcBorders>
            <w:shd w:val="clear" w:color="auto" w:fill="auto"/>
            <w:noWrap/>
            <w:vAlign w:val="bottom"/>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1237" w:type="dxa"/>
            <w:tcBorders>
              <w:top w:val="single" w:color="000000" w:sz="4" w:space="0"/>
              <w:left w:val="nil"/>
              <w:right w:val="nil"/>
            </w:tcBorders>
            <w:shd w:val="clear" w:color="auto" w:fill="auto"/>
            <w:noWrap/>
            <w:vAlign w:val="bottom"/>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w:t>
            </w:r>
          </w:p>
        </w:tc>
        <w:tc>
          <w:tcPr>
            <w:tcW w:w="1334" w:type="dxa"/>
            <w:tcBorders>
              <w:top w:val="single" w:color="000000" w:sz="4" w:space="0"/>
              <w:left w:val="nil"/>
              <w:right w:val="nil"/>
            </w:tcBorders>
            <w:shd w:val="clear" w:color="auto" w:fill="auto"/>
            <w:noWrap/>
            <w:vAlign w:val="bottom"/>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(2)</w:t>
            </w:r>
          </w:p>
        </w:tc>
        <w:tc>
          <w:tcPr>
            <w:tcW w:w="1276" w:type="dxa"/>
            <w:tcBorders>
              <w:top w:val="single" w:color="000000" w:sz="4" w:space="0"/>
              <w:left w:val="nil"/>
              <w:right w:val="nil"/>
            </w:tcBorders>
            <w:shd w:val="clear" w:color="auto" w:fill="auto"/>
            <w:noWrap/>
            <w:vAlign w:val="bottom"/>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(3)</w:t>
            </w:r>
          </w:p>
        </w:tc>
        <w:tc>
          <w:tcPr>
            <w:tcW w:w="1218" w:type="dxa"/>
            <w:tcBorders>
              <w:top w:val="single" w:color="000000" w:sz="4" w:space="0"/>
              <w:left w:val="nil"/>
              <w:right w:val="nil"/>
            </w:tcBorders>
            <w:vAlign w:val="bottom"/>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(4)</w:t>
            </w:r>
          </w:p>
        </w:tc>
      </w:tr>
      <w:tr>
        <w:tblPrEx>
          <w:tblCellMar>
            <w:top w:w="0" w:type="dxa"/>
            <w:left w:w="108" w:type="dxa"/>
            <w:bottom w:w="0" w:type="dxa"/>
            <w:right w:w="108" w:type="dxa"/>
          </w:tblCellMar>
        </w:tblPrEx>
        <w:trPr>
          <w:trHeight w:val="263" w:hRule="atLeast"/>
        </w:trPr>
        <w:tc>
          <w:tcPr>
            <w:tcW w:w="3241" w:type="dxa"/>
            <w:tcBorders>
              <w:top w:val="nil"/>
              <w:left w:val="nil"/>
              <w:bottom w:val="single" w:color="auto" w:sz="4" w:space="0"/>
              <w:right w:val="nil"/>
            </w:tcBorders>
            <w:shd w:val="clear" w:color="auto" w:fill="auto"/>
            <w:noWrap/>
            <w:vAlign w:val="bottom"/>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变量</w:t>
            </w:r>
          </w:p>
        </w:tc>
        <w:tc>
          <w:tcPr>
            <w:tcW w:w="1237" w:type="dxa"/>
            <w:tcBorders>
              <w:top w:val="nil"/>
              <w:left w:val="nil"/>
              <w:bottom w:val="single" w:color="auto" w:sz="4" w:space="0"/>
              <w:right w:val="nil"/>
            </w:tcBorders>
            <w:shd w:val="clear" w:color="auto" w:fill="auto"/>
            <w:noWrap/>
            <w:vAlign w:val="bottom"/>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企业进入</w:t>
            </w:r>
          </w:p>
        </w:tc>
        <w:tc>
          <w:tcPr>
            <w:tcW w:w="1334" w:type="dxa"/>
            <w:tcBorders>
              <w:top w:val="nil"/>
              <w:left w:val="nil"/>
              <w:bottom w:val="single" w:color="auto" w:sz="4" w:space="0"/>
              <w:right w:val="nil"/>
            </w:tcBorders>
            <w:shd w:val="clear" w:color="auto" w:fill="auto"/>
            <w:noWrap/>
            <w:vAlign w:val="bottom"/>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企业进入</w:t>
            </w:r>
          </w:p>
        </w:tc>
        <w:tc>
          <w:tcPr>
            <w:tcW w:w="1276" w:type="dxa"/>
            <w:tcBorders>
              <w:top w:val="nil"/>
              <w:left w:val="nil"/>
              <w:bottom w:val="single" w:color="auto" w:sz="4" w:space="0"/>
              <w:right w:val="nil"/>
            </w:tcBorders>
            <w:shd w:val="clear" w:color="auto" w:fill="auto"/>
            <w:noWrap/>
            <w:vAlign w:val="bottom"/>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企业进入</w:t>
            </w:r>
          </w:p>
        </w:tc>
        <w:tc>
          <w:tcPr>
            <w:tcW w:w="1218" w:type="dxa"/>
            <w:tcBorders>
              <w:top w:val="nil"/>
              <w:left w:val="nil"/>
              <w:bottom w:val="single" w:color="auto" w:sz="4" w:space="0"/>
              <w:right w:val="nil"/>
            </w:tcBorders>
            <w:vAlign w:val="bottom"/>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企业进入</w:t>
            </w:r>
          </w:p>
        </w:tc>
      </w:tr>
      <w:tr>
        <w:tblPrEx>
          <w:tblCellMar>
            <w:top w:w="0" w:type="dxa"/>
            <w:left w:w="108" w:type="dxa"/>
            <w:bottom w:w="0" w:type="dxa"/>
            <w:right w:w="108" w:type="dxa"/>
          </w:tblCellMar>
        </w:tblPrEx>
        <w:trPr>
          <w:trHeight w:val="263" w:hRule="atLeast"/>
        </w:trPr>
        <w:tc>
          <w:tcPr>
            <w:tcW w:w="3241" w:type="dxa"/>
            <w:tcBorders>
              <w:top w:val="single" w:color="auto" w:sz="4" w:space="0"/>
              <w:left w:val="nil"/>
              <w:bottom w:val="nil"/>
              <w:right w:val="nil"/>
            </w:tcBorders>
            <w:shd w:val="clear" w:color="auto" w:fill="auto"/>
            <w:noWrap/>
            <w:vAlign w:val="bottom"/>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滞后一期的发电容量</w:t>
            </w:r>
          </w:p>
        </w:tc>
        <w:tc>
          <w:tcPr>
            <w:tcW w:w="1237" w:type="dxa"/>
            <w:tcBorders>
              <w:top w:val="single" w:color="auto" w:sz="4" w:space="0"/>
              <w:left w:val="nil"/>
              <w:bottom w:val="nil"/>
              <w:right w:val="nil"/>
            </w:tcBorders>
            <w:shd w:val="clear" w:color="auto" w:fill="auto"/>
            <w:noWrap/>
            <w:vAlign w:val="bottom"/>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-0.003</w:t>
            </w:r>
          </w:p>
        </w:tc>
        <w:tc>
          <w:tcPr>
            <w:tcW w:w="1334" w:type="dxa"/>
            <w:tcBorders>
              <w:top w:val="single" w:color="auto" w:sz="4" w:space="0"/>
              <w:left w:val="nil"/>
              <w:bottom w:val="nil"/>
              <w:right w:val="nil"/>
            </w:tcBorders>
            <w:shd w:val="clear" w:color="auto" w:fill="auto"/>
            <w:noWrap/>
            <w:vAlign w:val="bottom"/>
          </w:tcPr>
          <w:p>
            <w:pPr>
              <w:widowControl/>
              <w:jc w:val="center"/>
              <w:rPr>
                <w:rFonts w:hint="eastAsia" w:ascii="仿宋" w:hAnsi="仿宋" w:eastAsia="仿宋" w:cs="仿宋"/>
                <w:kern w:val="0"/>
                <w:sz w:val="18"/>
                <w:szCs w:val="18"/>
              </w:rPr>
            </w:pPr>
          </w:p>
        </w:tc>
        <w:tc>
          <w:tcPr>
            <w:tcW w:w="1276" w:type="dxa"/>
            <w:tcBorders>
              <w:top w:val="single" w:color="auto" w:sz="4" w:space="0"/>
              <w:left w:val="nil"/>
              <w:bottom w:val="nil"/>
              <w:right w:val="nil"/>
            </w:tcBorders>
            <w:shd w:val="clear" w:color="auto" w:fill="auto"/>
            <w:noWrap/>
            <w:vAlign w:val="bottom"/>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0.011</w:t>
            </w:r>
          </w:p>
        </w:tc>
        <w:tc>
          <w:tcPr>
            <w:tcW w:w="1218" w:type="dxa"/>
            <w:tcBorders>
              <w:top w:val="single" w:color="auto" w:sz="4" w:space="0"/>
              <w:left w:val="nil"/>
              <w:bottom w:val="nil"/>
              <w:right w:val="nil"/>
            </w:tcBorders>
          </w:tcPr>
          <w:p>
            <w:pPr>
              <w:widowControl/>
              <w:jc w:val="center"/>
              <w:rPr>
                <w:rFonts w:hint="eastAsia" w:ascii="仿宋" w:hAnsi="仿宋" w:eastAsia="仿宋" w:cs="仿宋"/>
                <w:kern w:val="0"/>
                <w:sz w:val="18"/>
                <w:szCs w:val="18"/>
              </w:rPr>
            </w:pPr>
          </w:p>
        </w:tc>
      </w:tr>
      <w:tr>
        <w:tblPrEx>
          <w:tblCellMar>
            <w:top w:w="0" w:type="dxa"/>
            <w:left w:w="108" w:type="dxa"/>
            <w:bottom w:w="0" w:type="dxa"/>
            <w:right w:w="108" w:type="dxa"/>
          </w:tblCellMar>
        </w:tblPrEx>
        <w:trPr>
          <w:trHeight w:val="263" w:hRule="atLeast"/>
        </w:trPr>
        <w:tc>
          <w:tcPr>
            <w:tcW w:w="3241" w:type="dxa"/>
            <w:tcBorders>
              <w:top w:val="nil"/>
              <w:left w:val="nil"/>
              <w:bottom w:val="nil"/>
              <w:right w:val="nil"/>
            </w:tcBorders>
            <w:shd w:val="clear" w:color="auto" w:fill="auto"/>
            <w:noWrap/>
            <w:vAlign w:val="bottom"/>
          </w:tcPr>
          <w:p>
            <w:pPr>
              <w:widowControl/>
              <w:jc w:val="center"/>
              <w:rPr>
                <w:rFonts w:hint="eastAsia" w:ascii="仿宋" w:hAnsi="仿宋" w:eastAsia="仿宋" w:cs="仿宋"/>
                <w:kern w:val="0"/>
                <w:sz w:val="18"/>
                <w:szCs w:val="18"/>
              </w:rPr>
            </w:pPr>
          </w:p>
        </w:tc>
        <w:tc>
          <w:tcPr>
            <w:tcW w:w="1237" w:type="dxa"/>
            <w:tcBorders>
              <w:top w:val="nil"/>
              <w:left w:val="nil"/>
              <w:bottom w:val="nil"/>
              <w:right w:val="nil"/>
            </w:tcBorders>
            <w:shd w:val="clear" w:color="auto" w:fill="auto"/>
            <w:noWrap/>
            <w:vAlign w:val="bottom"/>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(0.004)</w:t>
            </w:r>
          </w:p>
        </w:tc>
        <w:tc>
          <w:tcPr>
            <w:tcW w:w="1334" w:type="dxa"/>
            <w:tcBorders>
              <w:top w:val="nil"/>
              <w:left w:val="nil"/>
              <w:bottom w:val="nil"/>
              <w:right w:val="nil"/>
            </w:tcBorders>
            <w:shd w:val="clear" w:color="auto" w:fill="auto"/>
            <w:noWrap/>
            <w:vAlign w:val="bottom"/>
          </w:tcPr>
          <w:p>
            <w:pPr>
              <w:widowControl/>
              <w:jc w:val="center"/>
              <w:rPr>
                <w:rFonts w:hint="eastAsia" w:ascii="仿宋" w:hAnsi="仿宋" w:eastAsia="仿宋" w:cs="仿宋"/>
                <w:kern w:val="0"/>
                <w:sz w:val="18"/>
                <w:szCs w:val="18"/>
              </w:rPr>
            </w:pPr>
          </w:p>
        </w:tc>
        <w:tc>
          <w:tcPr>
            <w:tcW w:w="1276" w:type="dxa"/>
            <w:tcBorders>
              <w:top w:val="nil"/>
              <w:left w:val="nil"/>
              <w:bottom w:val="nil"/>
              <w:right w:val="nil"/>
            </w:tcBorders>
            <w:shd w:val="clear" w:color="auto" w:fill="auto"/>
            <w:noWrap/>
            <w:vAlign w:val="bottom"/>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(0.008)</w:t>
            </w:r>
          </w:p>
        </w:tc>
        <w:tc>
          <w:tcPr>
            <w:tcW w:w="1218" w:type="dxa"/>
            <w:tcBorders>
              <w:top w:val="nil"/>
              <w:left w:val="nil"/>
              <w:bottom w:val="nil"/>
              <w:right w:val="nil"/>
            </w:tcBorders>
          </w:tcPr>
          <w:p>
            <w:pPr>
              <w:widowControl/>
              <w:jc w:val="center"/>
              <w:rPr>
                <w:rFonts w:hint="eastAsia" w:ascii="仿宋" w:hAnsi="仿宋" w:eastAsia="仿宋" w:cs="仿宋"/>
                <w:kern w:val="0"/>
                <w:sz w:val="18"/>
                <w:szCs w:val="18"/>
              </w:rPr>
            </w:pPr>
          </w:p>
        </w:tc>
      </w:tr>
      <w:tr>
        <w:tblPrEx>
          <w:tblCellMar>
            <w:top w:w="0" w:type="dxa"/>
            <w:left w:w="108" w:type="dxa"/>
            <w:bottom w:w="0" w:type="dxa"/>
            <w:right w:w="108" w:type="dxa"/>
          </w:tblCellMar>
        </w:tblPrEx>
        <w:trPr>
          <w:trHeight w:val="263" w:hRule="atLeast"/>
        </w:trPr>
        <w:tc>
          <w:tcPr>
            <w:tcW w:w="3241" w:type="dxa"/>
            <w:tcBorders>
              <w:top w:val="nil"/>
              <w:left w:val="nil"/>
              <w:bottom w:val="nil"/>
              <w:right w:val="nil"/>
            </w:tcBorders>
            <w:shd w:val="clear" w:color="auto" w:fill="auto"/>
            <w:noWrap/>
            <w:vAlign w:val="bottom"/>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滞后一期的发电容量×资本劳动比</w:t>
            </w:r>
          </w:p>
        </w:tc>
        <w:tc>
          <w:tcPr>
            <w:tcW w:w="1237" w:type="dxa"/>
            <w:tcBorders>
              <w:top w:val="nil"/>
              <w:left w:val="nil"/>
              <w:bottom w:val="nil"/>
              <w:right w:val="nil"/>
            </w:tcBorders>
            <w:shd w:val="clear" w:color="auto" w:fill="auto"/>
            <w:noWrap/>
            <w:vAlign w:val="bottom"/>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0.007*</w:t>
            </w:r>
          </w:p>
        </w:tc>
        <w:tc>
          <w:tcPr>
            <w:tcW w:w="1334" w:type="dxa"/>
            <w:tcBorders>
              <w:top w:val="nil"/>
              <w:left w:val="nil"/>
              <w:bottom w:val="nil"/>
              <w:right w:val="nil"/>
            </w:tcBorders>
            <w:shd w:val="clear" w:color="auto" w:fill="auto"/>
            <w:noWrap/>
            <w:vAlign w:val="bottom"/>
          </w:tcPr>
          <w:p>
            <w:pPr>
              <w:widowControl/>
              <w:jc w:val="center"/>
              <w:rPr>
                <w:rFonts w:hint="eastAsia" w:ascii="仿宋" w:hAnsi="仿宋" w:eastAsia="仿宋" w:cs="仿宋"/>
                <w:kern w:val="0"/>
                <w:sz w:val="18"/>
                <w:szCs w:val="18"/>
              </w:rPr>
            </w:pPr>
          </w:p>
        </w:tc>
        <w:tc>
          <w:tcPr>
            <w:tcW w:w="1276" w:type="dxa"/>
            <w:tcBorders>
              <w:top w:val="nil"/>
              <w:left w:val="nil"/>
              <w:bottom w:val="nil"/>
              <w:right w:val="nil"/>
            </w:tcBorders>
            <w:shd w:val="clear" w:color="auto" w:fill="auto"/>
            <w:noWrap/>
            <w:vAlign w:val="bottom"/>
          </w:tcPr>
          <w:p>
            <w:pPr>
              <w:widowControl/>
              <w:jc w:val="center"/>
              <w:rPr>
                <w:rFonts w:hint="eastAsia" w:ascii="仿宋" w:hAnsi="仿宋" w:eastAsia="仿宋" w:cs="仿宋"/>
                <w:kern w:val="0"/>
                <w:sz w:val="18"/>
                <w:szCs w:val="18"/>
              </w:rPr>
            </w:pPr>
          </w:p>
        </w:tc>
        <w:tc>
          <w:tcPr>
            <w:tcW w:w="1218" w:type="dxa"/>
            <w:tcBorders>
              <w:top w:val="nil"/>
              <w:left w:val="nil"/>
              <w:bottom w:val="nil"/>
              <w:right w:val="nil"/>
            </w:tcBorders>
          </w:tcPr>
          <w:p>
            <w:pPr>
              <w:widowControl/>
              <w:jc w:val="center"/>
              <w:rPr>
                <w:rFonts w:hint="eastAsia" w:ascii="仿宋" w:hAnsi="仿宋" w:eastAsia="仿宋" w:cs="仿宋"/>
                <w:kern w:val="0"/>
                <w:sz w:val="18"/>
                <w:szCs w:val="18"/>
              </w:rPr>
            </w:pPr>
          </w:p>
        </w:tc>
      </w:tr>
      <w:tr>
        <w:tblPrEx>
          <w:tblCellMar>
            <w:top w:w="0" w:type="dxa"/>
            <w:left w:w="108" w:type="dxa"/>
            <w:bottom w:w="0" w:type="dxa"/>
            <w:right w:w="108" w:type="dxa"/>
          </w:tblCellMar>
        </w:tblPrEx>
        <w:trPr>
          <w:trHeight w:val="263" w:hRule="atLeast"/>
        </w:trPr>
        <w:tc>
          <w:tcPr>
            <w:tcW w:w="3241" w:type="dxa"/>
            <w:tcBorders>
              <w:top w:val="nil"/>
              <w:left w:val="nil"/>
              <w:bottom w:val="nil"/>
              <w:right w:val="nil"/>
            </w:tcBorders>
            <w:shd w:val="clear" w:color="auto" w:fill="auto"/>
            <w:noWrap/>
            <w:vAlign w:val="bottom"/>
          </w:tcPr>
          <w:p>
            <w:pPr>
              <w:widowControl/>
              <w:jc w:val="center"/>
              <w:rPr>
                <w:rFonts w:hint="eastAsia" w:ascii="仿宋" w:hAnsi="仿宋" w:eastAsia="仿宋" w:cs="仿宋"/>
                <w:kern w:val="0"/>
                <w:sz w:val="18"/>
                <w:szCs w:val="18"/>
              </w:rPr>
            </w:pPr>
          </w:p>
        </w:tc>
        <w:tc>
          <w:tcPr>
            <w:tcW w:w="1237" w:type="dxa"/>
            <w:tcBorders>
              <w:top w:val="nil"/>
              <w:left w:val="nil"/>
              <w:bottom w:val="nil"/>
              <w:right w:val="nil"/>
            </w:tcBorders>
            <w:shd w:val="clear" w:color="auto" w:fill="auto"/>
            <w:noWrap/>
            <w:vAlign w:val="bottom"/>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(0.004)</w:t>
            </w:r>
          </w:p>
        </w:tc>
        <w:tc>
          <w:tcPr>
            <w:tcW w:w="1334" w:type="dxa"/>
            <w:tcBorders>
              <w:top w:val="nil"/>
              <w:left w:val="nil"/>
              <w:bottom w:val="nil"/>
              <w:right w:val="nil"/>
            </w:tcBorders>
            <w:shd w:val="clear" w:color="auto" w:fill="auto"/>
            <w:noWrap/>
            <w:vAlign w:val="bottom"/>
          </w:tcPr>
          <w:p>
            <w:pPr>
              <w:widowControl/>
              <w:jc w:val="center"/>
              <w:rPr>
                <w:rFonts w:hint="eastAsia" w:ascii="仿宋" w:hAnsi="仿宋" w:eastAsia="仿宋" w:cs="仿宋"/>
                <w:kern w:val="0"/>
                <w:sz w:val="18"/>
                <w:szCs w:val="18"/>
              </w:rPr>
            </w:pPr>
          </w:p>
        </w:tc>
        <w:tc>
          <w:tcPr>
            <w:tcW w:w="1276" w:type="dxa"/>
            <w:tcBorders>
              <w:top w:val="nil"/>
              <w:left w:val="nil"/>
              <w:bottom w:val="nil"/>
              <w:right w:val="nil"/>
            </w:tcBorders>
            <w:shd w:val="clear" w:color="auto" w:fill="auto"/>
            <w:noWrap/>
            <w:vAlign w:val="bottom"/>
          </w:tcPr>
          <w:p>
            <w:pPr>
              <w:widowControl/>
              <w:jc w:val="center"/>
              <w:rPr>
                <w:rFonts w:hint="eastAsia" w:ascii="仿宋" w:hAnsi="仿宋" w:eastAsia="仿宋" w:cs="仿宋"/>
                <w:kern w:val="0"/>
                <w:sz w:val="18"/>
                <w:szCs w:val="18"/>
              </w:rPr>
            </w:pPr>
          </w:p>
        </w:tc>
        <w:tc>
          <w:tcPr>
            <w:tcW w:w="1218" w:type="dxa"/>
            <w:tcBorders>
              <w:top w:val="nil"/>
              <w:left w:val="nil"/>
              <w:bottom w:val="nil"/>
              <w:right w:val="nil"/>
            </w:tcBorders>
          </w:tcPr>
          <w:p>
            <w:pPr>
              <w:widowControl/>
              <w:jc w:val="center"/>
              <w:rPr>
                <w:rFonts w:hint="eastAsia" w:ascii="仿宋" w:hAnsi="仿宋" w:eastAsia="仿宋" w:cs="仿宋"/>
                <w:kern w:val="0"/>
                <w:sz w:val="18"/>
                <w:szCs w:val="18"/>
              </w:rPr>
            </w:pPr>
          </w:p>
        </w:tc>
      </w:tr>
      <w:tr>
        <w:tblPrEx>
          <w:tblCellMar>
            <w:top w:w="0" w:type="dxa"/>
            <w:left w:w="108" w:type="dxa"/>
            <w:bottom w:w="0" w:type="dxa"/>
            <w:right w:w="108" w:type="dxa"/>
          </w:tblCellMar>
        </w:tblPrEx>
        <w:trPr>
          <w:trHeight w:val="263" w:hRule="atLeast"/>
        </w:trPr>
        <w:tc>
          <w:tcPr>
            <w:tcW w:w="3241" w:type="dxa"/>
            <w:tcBorders>
              <w:top w:val="nil"/>
              <w:left w:val="nil"/>
              <w:bottom w:val="nil"/>
              <w:right w:val="nil"/>
            </w:tcBorders>
            <w:shd w:val="clear" w:color="auto" w:fill="auto"/>
            <w:noWrap/>
            <w:vAlign w:val="bottom"/>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滞后一期的发电容量×是否重工业</w:t>
            </w:r>
          </w:p>
        </w:tc>
        <w:tc>
          <w:tcPr>
            <w:tcW w:w="1237" w:type="dxa"/>
            <w:tcBorders>
              <w:top w:val="nil"/>
              <w:left w:val="nil"/>
              <w:bottom w:val="nil"/>
              <w:right w:val="nil"/>
            </w:tcBorders>
            <w:shd w:val="clear" w:color="auto" w:fill="auto"/>
            <w:noWrap/>
            <w:vAlign w:val="bottom"/>
          </w:tcPr>
          <w:p>
            <w:pPr>
              <w:widowControl/>
              <w:jc w:val="center"/>
              <w:rPr>
                <w:rFonts w:hint="eastAsia" w:ascii="仿宋" w:hAnsi="仿宋" w:eastAsia="仿宋" w:cs="仿宋"/>
                <w:kern w:val="0"/>
                <w:sz w:val="18"/>
                <w:szCs w:val="18"/>
              </w:rPr>
            </w:pPr>
          </w:p>
        </w:tc>
        <w:tc>
          <w:tcPr>
            <w:tcW w:w="1334" w:type="dxa"/>
            <w:tcBorders>
              <w:top w:val="nil"/>
              <w:left w:val="nil"/>
              <w:bottom w:val="nil"/>
              <w:right w:val="nil"/>
            </w:tcBorders>
            <w:shd w:val="clear" w:color="auto" w:fill="auto"/>
            <w:noWrap/>
            <w:vAlign w:val="bottom"/>
          </w:tcPr>
          <w:p>
            <w:pPr>
              <w:widowControl/>
              <w:jc w:val="center"/>
              <w:rPr>
                <w:rFonts w:hint="eastAsia" w:ascii="仿宋" w:hAnsi="仿宋" w:eastAsia="仿宋" w:cs="仿宋"/>
                <w:kern w:val="0"/>
                <w:sz w:val="18"/>
                <w:szCs w:val="18"/>
              </w:rPr>
            </w:pPr>
          </w:p>
        </w:tc>
        <w:tc>
          <w:tcPr>
            <w:tcW w:w="1276" w:type="dxa"/>
            <w:tcBorders>
              <w:top w:val="nil"/>
              <w:left w:val="nil"/>
              <w:bottom w:val="nil"/>
              <w:right w:val="nil"/>
            </w:tcBorders>
            <w:shd w:val="clear" w:color="auto" w:fill="auto"/>
            <w:noWrap/>
            <w:vAlign w:val="bottom"/>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0.050**</w:t>
            </w:r>
          </w:p>
        </w:tc>
        <w:tc>
          <w:tcPr>
            <w:tcW w:w="1218" w:type="dxa"/>
            <w:tcBorders>
              <w:top w:val="nil"/>
              <w:left w:val="nil"/>
              <w:bottom w:val="nil"/>
              <w:right w:val="nil"/>
            </w:tcBorders>
          </w:tcPr>
          <w:p>
            <w:pPr>
              <w:widowControl/>
              <w:jc w:val="center"/>
              <w:rPr>
                <w:rFonts w:hint="eastAsia" w:ascii="仿宋" w:hAnsi="仿宋" w:eastAsia="仿宋" w:cs="仿宋"/>
                <w:kern w:val="0"/>
                <w:sz w:val="18"/>
                <w:szCs w:val="18"/>
              </w:rPr>
            </w:pPr>
          </w:p>
        </w:tc>
      </w:tr>
      <w:tr>
        <w:tblPrEx>
          <w:tblCellMar>
            <w:top w:w="0" w:type="dxa"/>
            <w:left w:w="108" w:type="dxa"/>
            <w:bottom w:w="0" w:type="dxa"/>
            <w:right w:w="108" w:type="dxa"/>
          </w:tblCellMar>
        </w:tblPrEx>
        <w:trPr>
          <w:trHeight w:val="263" w:hRule="atLeast"/>
        </w:trPr>
        <w:tc>
          <w:tcPr>
            <w:tcW w:w="3241" w:type="dxa"/>
            <w:tcBorders>
              <w:top w:val="nil"/>
              <w:left w:val="nil"/>
              <w:bottom w:val="nil"/>
              <w:right w:val="nil"/>
            </w:tcBorders>
            <w:shd w:val="clear" w:color="auto" w:fill="auto"/>
            <w:noWrap/>
            <w:vAlign w:val="bottom"/>
          </w:tcPr>
          <w:p>
            <w:pPr>
              <w:widowControl/>
              <w:jc w:val="center"/>
              <w:rPr>
                <w:rFonts w:hint="eastAsia" w:ascii="仿宋" w:hAnsi="仿宋" w:eastAsia="仿宋" w:cs="仿宋"/>
                <w:kern w:val="0"/>
                <w:sz w:val="18"/>
                <w:szCs w:val="18"/>
              </w:rPr>
            </w:pPr>
          </w:p>
        </w:tc>
        <w:tc>
          <w:tcPr>
            <w:tcW w:w="1237" w:type="dxa"/>
            <w:tcBorders>
              <w:top w:val="nil"/>
              <w:left w:val="nil"/>
              <w:bottom w:val="nil"/>
              <w:right w:val="nil"/>
            </w:tcBorders>
            <w:shd w:val="clear" w:color="auto" w:fill="auto"/>
            <w:noWrap/>
            <w:vAlign w:val="bottom"/>
          </w:tcPr>
          <w:p>
            <w:pPr>
              <w:widowControl/>
              <w:jc w:val="center"/>
              <w:rPr>
                <w:rFonts w:hint="eastAsia" w:ascii="仿宋" w:hAnsi="仿宋" w:eastAsia="仿宋" w:cs="仿宋"/>
                <w:kern w:val="0"/>
                <w:sz w:val="18"/>
                <w:szCs w:val="18"/>
              </w:rPr>
            </w:pPr>
          </w:p>
        </w:tc>
        <w:tc>
          <w:tcPr>
            <w:tcW w:w="1334" w:type="dxa"/>
            <w:tcBorders>
              <w:top w:val="nil"/>
              <w:left w:val="nil"/>
              <w:bottom w:val="nil"/>
              <w:right w:val="nil"/>
            </w:tcBorders>
            <w:shd w:val="clear" w:color="auto" w:fill="auto"/>
            <w:noWrap/>
            <w:vAlign w:val="bottom"/>
          </w:tcPr>
          <w:p>
            <w:pPr>
              <w:widowControl/>
              <w:jc w:val="center"/>
              <w:rPr>
                <w:rFonts w:hint="eastAsia" w:ascii="仿宋" w:hAnsi="仿宋" w:eastAsia="仿宋" w:cs="仿宋"/>
                <w:kern w:val="0"/>
                <w:sz w:val="18"/>
                <w:szCs w:val="18"/>
              </w:rPr>
            </w:pPr>
          </w:p>
        </w:tc>
        <w:tc>
          <w:tcPr>
            <w:tcW w:w="1276" w:type="dxa"/>
            <w:tcBorders>
              <w:top w:val="nil"/>
              <w:left w:val="nil"/>
              <w:bottom w:val="nil"/>
              <w:right w:val="nil"/>
            </w:tcBorders>
            <w:shd w:val="clear" w:color="auto" w:fill="auto"/>
            <w:noWrap/>
            <w:vAlign w:val="bottom"/>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(0.024)</w:t>
            </w:r>
          </w:p>
        </w:tc>
        <w:tc>
          <w:tcPr>
            <w:tcW w:w="1218" w:type="dxa"/>
            <w:tcBorders>
              <w:top w:val="nil"/>
              <w:left w:val="nil"/>
              <w:bottom w:val="nil"/>
              <w:right w:val="nil"/>
            </w:tcBorders>
          </w:tcPr>
          <w:p>
            <w:pPr>
              <w:widowControl/>
              <w:jc w:val="center"/>
              <w:rPr>
                <w:rFonts w:hint="eastAsia" w:ascii="仿宋" w:hAnsi="仿宋" w:eastAsia="仿宋" w:cs="仿宋"/>
                <w:kern w:val="0"/>
                <w:sz w:val="18"/>
                <w:szCs w:val="18"/>
              </w:rPr>
            </w:pPr>
          </w:p>
        </w:tc>
      </w:tr>
      <w:tr>
        <w:tblPrEx>
          <w:tblCellMar>
            <w:top w:w="0" w:type="dxa"/>
            <w:left w:w="108" w:type="dxa"/>
            <w:bottom w:w="0" w:type="dxa"/>
            <w:right w:w="108" w:type="dxa"/>
          </w:tblCellMar>
        </w:tblPrEx>
        <w:trPr>
          <w:trHeight w:val="263" w:hRule="atLeast"/>
        </w:trPr>
        <w:tc>
          <w:tcPr>
            <w:tcW w:w="3241" w:type="dxa"/>
            <w:tcBorders>
              <w:top w:val="nil"/>
              <w:left w:val="nil"/>
              <w:bottom w:val="nil"/>
              <w:right w:val="nil"/>
            </w:tcBorders>
            <w:shd w:val="clear" w:color="auto" w:fill="auto"/>
            <w:noWrap/>
            <w:vAlign w:val="bottom"/>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滞后一期的电厂设立</w:t>
            </w:r>
          </w:p>
        </w:tc>
        <w:tc>
          <w:tcPr>
            <w:tcW w:w="1237" w:type="dxa"/>
            <w:tcBorders>
              <w:top w:val="nil"/>
              <w:left w:val="nil"/>
              <w:bottom w:val="nil"/>
              <w:right w:val="nil"/>
            </w:tcBorders>
            <w:shd w:val="clear" w:color="auto" w:fill="auto"/>
            <w:noWrap/>
            <w:vAlign w:val="bottom"/>
          </w:tcPr>
          <w:p>
            <w:pPr>
              <w:widowControl/>
              <w:jc w:val="center"/>
              <w:rPr>
                <w:rFonts w:hint="eastAsia" w:ascii="仿宋" w:hAnsi="仿宋" w:eastAsia="仿宋" w:cs="仿宋"/>
                <w:kern w:val="0"/>
                <w:sz w:val="18"/>
                <w:szCs w:val="18"/>
              </w:rPr>
            </w:pPr>
          </w:p>
        </w:tc>
        <w:tc>
          <w:tcPr>
            <w:tcW w:w="1334" w:type="dxa"/>
            <w:tcBorders>
              <w:top w:val="nil"/>
              <w:left w:val="nil"/>
              <w:bottom w:val="nil"/>
              <w:right w:val="nil"/>
            </w:tcBorders>
            <w:shd w:val="clear" w:color="auto" w:fill="auto"/>
            <w:noWrap/>
            <w:vAlign w:val="bottom"/>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0.005</w:t>
            </w:r>
          </w:p>
        </w:tc>
        <w:tc>
          <w:tcPr>
            <w:tcW w:w="1276" w:type="dxa"/>
            <w:tcBorders>
              <w:top w:val="nil"/>
              <w:left w:val="nil"/>
              <w:bottom w:val="nil"/>
              <w:right w:val="nil"/>
            </w:tcBorders>
            <w:shd w:val="clear" w:color="auto" w:fill="auto"/>
            <w:noWrap/>
            <w:vAlign w:val="bottom"/>
          </w:tcPr>
          <w:p>
            <w:pPr>
              <w:widowControl/>
              <w:jc w:val="center"/>
              <w:rPr>
                <w:rFonts w:hint="eastAsia" w:ascii="仿宋" w:hAnsi="仿宋" w:eastAsia="仿宋" w:cs="仿宋"/>
                <w:kern w:val="0"/>
                <w:sz w:val="18"/>
                <w:szCs w:val="18"/>
              </w:rPr>
            </w:pPr>
          </w:p>
        </w:tc>
        <w:tc>
          <w:tcPr>
            <w:tcW w:w="1218" w:type="dxa"/>
            <w:tcBorders>
              <w:top w:val="nil"/>
              <w:left w:val="nil"/>
              <w:bottom w:val="nil"/>
              <w:right w:val="nil"/>
            </w:tcBorders>
            <w:vAlign w:val="bottom"/>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0.003</w:t>
            </w:r>
          </w:p>
        </w:tc>
      </w:tr>
      <w:tr>
        <w:tblPrEx>
          <w:tblCellMar>
            <w:top w:w="0" w:type="dxa"/>
            <w:left w:w="108" w:type="dxa"/>
            <w:bottom w:w="0" w:type="dxa"/>
            <w:right w:w="108" w:type="dxa"/>
          </w:tblCellMar>
        </w:tblPrEx>
        <w:trPr>
          <w:trHeight w:val="263" w:hRule="atLeast"/>
        </w:trPr>
        <w:tc>
          <w:tcPr>
            <w:tcW w:w="3241" w:type="dxa"/>
            <w:tcBorders>
              <w:top w:val="nil"/>
              <w:left w:val="nil"/>
              <w:bottom w:val="nil"/>
              <w:right w:val="nil"/>
            </w:tcBorders>
            <w:shd w:val="clear" w:color="auto" w:fill="auto"/>
            <w:noWrap/>
            <w:vAlign w:val="bottom"/>
          </w:tcPr>
          <w:p>
            <w:pPr>
              <w:widowControl/>
              <w:jc w:val="left"/>
              <w:rPr>
                <w:rFonts w:hint="eastAsia" w:ascii="仿宋" w:hAnsi="仿宋" w:eastAsia="仿宋" w:cs="仿宋"/>
                <w:kern w:val="0"/>
                <w:sz w:val="18"/>
                <w:szCs w:val="18"/>
              </w:rPr>
            </w:pPr>
          </w:p>
        </w:tc>
        <w:tc>
          <w:tcPr>
            <w:tcW w:w="1237" w:type="dxa"/>
            <w:tcBorders>
              <w:top w:val="nil"/>
              <w:left w:val="nil"/>
              <w:bottom w:val="nil"/>
              <w:right w:val="nil"/>
            </w:tcBorders>
            <w:shd w:val="clear" w:color="auto" w:fill="auto"/>
            <w:noWrap/>
            <w:vAlign w:val="bottom"/>
          </w:tcPr>
          <w:p>
            <w:pPr>
              <w:widowControl/>
              <w:jc w:val="center"/>
              <w:rPr>
                <w:rFonts w:hint="eastAsia" w:ascii="仿宋" w:hAnsi="仿宋" w:eastAsia="仿宋" w:cs="仿宋"/>
                <w:kern w:val="0"/>
                <w:sz w:val="18"/>
                <w:szCs w:val="18"/>
              </w:rPr>
            </w:pPr>
          </w:p>
        </w:tc>
        <w:tc>
          <w:tcPr>
            <w:tcW w:w="1334" w:type="dxa"/>
            <w:tcBorders>
              <w:top w:val="nil"/>
              <w:left w:val="nil"/>
              <w:bottom w:val="nil"/>
              <w:right w:val="nil"/>
            </w:tcBorders>
            <w:shd w:val="clear" w:color="auto" w:fill="auto"/>
            <w:noWrap/>
            <w:vAlign w:val="bottom"/>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(0.007)</w:t>
            </w:r>
          </w:p>
        </w:tc>
        <w:tc>
          <w:tcPr>
            <w:tcW w:w="1276" w:type="dxa"/>
            <w:tcBorders>
              <w:top w:val="nil"/>
              <w:left w:val="nil"/>
              <w:bottom w:val="nil"/>
              <w:right w:val="nil"/>
            </w:tcBorders>
            <w:shd w:val="clear" w:color="auto" w:fill="auto"/>
            <w:noWrap/>
            <w:vAlign w:val="bottom"/>
          </w:tcPr>
          <w:p>
            <w:pPr>
              <w:widowControl/>
              <w:jc w:val="center"/>
              <w:rPr>
                <w:rFonts w:hint="eastAsia" w:ascii="仿宋" w:hAnsi="仿宋" w:eastAsia="仿宋" w:cs="仿宋"/>
                <w:kern w:val="0"/>
                <w:sz w:val="18"/>
                <w:szCs w:val="18"/>
              </w:rPr>
            </w:pPr>
          </w:p>
        </w:tc>
        <w:tc>
          <w:tcPr>
            <w:tcW w:w="1218" w:type="dxa"/>
            <w:tcBorders>
              <w:top w:val="nil"/>
              <w:left w:val="nil"/>
              <w:bottom w:val="nil"/>
              <w:right w:val="nil"/>
            </w:tcBorders>
            <w:vAlign w:val="bottom"/>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(0.005)</w:t>
            </w:r>
          </w:p>
        </w:tc>
      </w:tr>
      <w:tr>
        <w:tblPrEx>
          <w:tblCellMar>
            <w:top w:w="0" w:type="dxa"/>
            <w:left w:w="108" w:type="dxa"/>
            <w:bottom w:w="0" w:type="dxa"/>
            <w:right w:w="108" w:type="dxa"/>
          </w:tblCellMar>
        </w:tblPrEx>
        <w:trPr>
          <w:trHeight w:val="263" w:hRule="atLeast"/>
        </w:trPr>
        <w:tc>
          <w:tcPr>
            <w:tcW w:w="3241" w:type="dxa"/>
            <w:tcBorders>
              <w:top w:val="nil"/>
              <w:left w:val="nil"/>
              <w:bottom w:val="nil"/>
              <w:right w:val="nil"/>
            </w:tcBorders>
            <w:shd w:val="clear" w:color="auto" w:fill="auto"/>
            <w:noWrap/>
            <w:vAlign w:val="bottom"/>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滞后一期的电厂设立×资本劳动比</w:t>
            </w:r>
          </w:p>
        </w:tc>
        <w:tc>
          <w:tcPr>
            <w:tcW w:w="1237" w:type="dxa"/>
            <w:tcBorders>
              <w:top w:val="nil"/>
              <w:left w:val="nil"/>
              <w:bottom w:val="nil"/>
              <w:right w:val="nil"/>
            </w:tcBorders>
            <w:shd w:val="clear" w:color="auto" w:fill="auto"/>
            <w:noWrap/>
            <w:vAlign w:val="bottom"/>
          </w:tcPr>
          <w:p>
            <w:pPr>
              <w:widowControl/>
              <w:jc w:val="center"/>
              <w:rPr>
                <w:rFonts w:hint="eastAsia" w:ascii="仿宋" w:hAnsi="仿宋" w:eastAsia="仿宋" w:cs="仿宋"/>
                <w:kern w:val="0"/>
                <w:sz w:val="18"/>
                <w:szCs w:val="18"/>
              </w:rPr>
            </w:pPr>
          </w:p>
        </w:tc>
        <w:tc>
          <w:tcPr>
            <w:tcW w:w="1334" w:type="dxa"/>
            <w:tcBorders>
              <w:top w:val="nil"/>
              <w:left w:val="nil"/>
              <w:bottom w:val="nil"/>
              <w:right w:val="nil"/>
            </w:tcBorders>
            <w:shd w:val="clear" w:color="auto" w:fill="auto"/>
            <w:noWrap/>
            <w:vAlign w:val="bottom"/>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0.002</w:t>
            </w:r>
          </w:p>
        </w:tc>
        <w:tc>
          <w:tcPr>
            <w:tcW w:w="1276" w:type="dxa"/>
            <w:tcBorders>
              <w:top w:val="nil"/>
              <w:left w:val="nil"/>
              <w:bottom w:val="nil"/>
              <w:right w:val="nil"/>
            </w:tcBorders>
            <w:shd w:val="clear" w:color="auto" w:fill="auto"/>
            <w:noWrap/>
            <w:vAlign w:val="bottom"/>
          </w:tcPr>
          <w:p>
            <w:pPr>
              <w:widowControl/>
              <w:jc w:val="center"/>
              <w:rPr>
                <w:rFonts w:hint="eastAsia" w:ascii="仿宋" w:hAnsi="仿宋" w:eastAsia="仿宋" w:cs="仿宋"/>
                <w:kern w:val="0"/>
                <w:sz w:val="18"/>
                <w:szCs w:val="18"/>
              </w:rPr>
            </w:pPr>
          </w:p>
        </w:tc>
        <w:tc>
          <w:tcPr>
            <w:tcW w:w="1218" w:type="dxa"/>
            <w:tcBorders>
              <w:top w:val="nil"/>
              <w:left w:val="nil"/>
              <w:bottom w:val="nil"/>
              <w:right w:val="nil"/>
            </w:tcBorders>
            <w:vAlign w:val="bottom"/>
          </w:tcPr>
          <w:p>
            <w:pPr>
              <w:widowControl/>
              <w:jc w:val="center"/>
              <w:rPr>
                <w:rFonts w:hint="eastAsia" w:ascii="仿宋" w:hAnsi="仿宋" w:eastAsia="仿宋" w:cs="仿宋"/>
                <w:kern w:val="0"/>
                <w:sz w:val="18"/>
                <w:szCs w:val="18"/>
              </w:rPr>
            </w:pPr>
          </w:p>
        </w:tc>
      </w:tr>
      <w:tr>
        <w:tblPrEx>
          <w:tblCellMar>
            <w:top w:w="0" w:type="dxa"/>
            <w:left w:w="108" w:type="dxa"/>
            <w:bottom w:w="0" w:type="dxa"/>
            <w:right w:w="108" w:type="dxa"/>
          </w:tblCellMar>
        </w:tblPrEx>
        <w:trPr>
          <w:trHeight w:val="263" w:hRule="atLeast"/>
        </w:trPr>
        <w:tc>
          <w:tcPr>
            <w:tcW w:w="3241" w:type="dxa"/>
            <w:tcBorders>
              <w:top w:val="nil"/>
              <w:left w:val="nil"/>
              <w:bottom w:val="nil"/>
              <w:right w:val="nil"/>
            </w:tcBorders>
            <w:shd w:val="clear" w:color="auto" w:fill="auto"/>
            <w:noWrap/>
            <w:vAlign w:val="bottom"/>
          </w:tcPr>
          <w:p>
            <w:pPr>
              <w:widowControl/>
              <w:jc w:val="left"/>
              <w:rPr>
                <w:rFonts w:hint="eastAsia" w:ascii="仿宋" w:hAnsi="仿宋" w:eastAsia="仿宋" w:cs="仿宋"/>
                <w:kern w:val="0"/>
                <w:sz w:val="18"/>
                <w:szCs w:val="18"/>
              </w:rPr>
            </w:pPr>
          </w:p>
        </w:tc>
        <w:tc>
          <w:tcPr>
            <w:tcW w:w="1237" w:type="dxa"/>
            <w:tcBorders>
              <w:top w:val="nil"/>
              <w:left w:val="nil"/>
              <w:bottom w:val="nil"/>
              <w:right w:val="nil"/>
            </w:tcBorders>
            <w:shd w:val="clear" w:color="auto" w:fill="auto"/>
            <w:noWrap/>
            <w:vAlign w:val="bottom"/>
          </w:tcPr>
          <w:p>
            <w:pPr>
              <w:widowControl/>
              <w:jc w:val="center"/>
              <w:rPr>
                <w:rFonts w:hint="eastAsia" w:ascii="仿宋" w:hAnsi="仿宋" w:eastAsia="仿宋" w:cs="仿宋"/>
                <w:kern w:val="0"/>
                <w:sz w:val="18"/>
                <w:szCs w:val="18"/>
              </w:rPr>
            </w:pPr>
          </w:p>
        </w:tc>
        <w:tc>
          <w:tcPr>
            <w:tcW w:w="1334" w:type="dxa"/>
            <w:tcBorders>
              <w:top w:val="nil"/>
              <w:left w:val="nil"/>
              <w:bottom w:val="nil"/>
              <w:right w:val="nil"/>
            </w:tcBorders>
            <w:shd w:val="clear" w:color="auto" w:fill="auto"/>
            <w:noWrap/>
            <w:vAlign w:val="bottom"/>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(0.003)</w:t>
            </w:r>
          </w:p>
        </w:tc>
        <w:tc>
          <w:tcPr>
            <w:tcW w:w="1276" w:type="dxa"/>
            <w:tcBorders>
              <w:top w:val="nil"/>
              <w:left w:val="nil"/>
              <w:bottom w:val="nil"/>
              <w:right w:val="nil"/>
            </w:tcBorders>
            <w:shd w:val="clear" w:color="auto" w:fill="auto"/>
            <w:noWrap/>
            <w:vAlign w:val="bottom"/>
          </w:tcPr>
          <w:p>
            <w:pPr>
              <w:widowControl/>
              <w:jc w:val="center"/>
              <w:rPr>
                <w:rFonts w:hint="eastAsia" w:ascii="仿宋" w:hAnsi="仿宋" w:eastAsia="仿宋" w:cs="仿宋"/>
                <w:kern w:val="0"/>
                <w:sz w:val="18"/>
                <w:szCs w:val="18"/>
              </w:rPr>
            </w:pPr>
          </w:p>
        </w:tc>
        <w:tc>
          <w:tcPr>
            <w:tcW w:w="1218" w:type="dxa"/>
            <w:tcBorders>
              <w:top w:val="nil"/>
              <w:left w:val="nil"/>
              <w:bottom w:val="nil"/>
              <w:right w:val="nil"/>
            </w:tcBorders>
            <w:vAlign w:val="bottom"/>
          </w:tcPr>
          <w:p>
            <w:pPr>
              <w:widowControl/>
              <w:jc w:val="center"/>
              <w:rPr>
                <w:rFonts w:hint="eastAsia" w:ascii="仿宋" w:hAnsi="仿宋" w:eastAsia="仿宋" w:cs="仿宋"/>
                <w:kern w:val="0"/>
                <w:sz w:val="18"/>
                <w:szCs w:val="18"/>
              </w:rPr>
            </w:pPr>
          </w:p>
        </w:tc>
      </w:tr>
      <w:tr>
        <w:tblPrEx>
          <w:tblCellMar>
            <w:top w:w="0" w:type="dxa"/>
            <w:left w:w="108" w:type="dxa"/>
            <w:bottom w:w="0" w:type="dxa"/>
            <w:right w:w="108" w:type="dxa"/>
          </w:tblCellMar>
        </w:tblPrEx>
        <w:trPr>
          <w:trHeight w:val="263" w:hRule="atLeast"/>
        </w:trPr>
        <w:tc>
          <w:tcPr>
            <w:tcW w:w="3241" w:type="dxa"/>
            <w:tcBorders>
              <w:top w:val="nil"/>
              <w:left w:val="nil"/>
              <w:bottom w:val="nil"/>
              <w:right w:val="nil"/>
            </w:tcBorders>
            <w:shd w:val="clear" w:color="auto" w:fill="auto"/>
            <w:noWrap/>
            <w:vAlign w:val="bottom"/>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滞后一期的电厂设立×是否重工业</w:t>
            </w:r>
          </w:p>
        </w:tc>
        <w:tc>
          <w:tcPr>
            <w:tcW w:w="1237" w:type="dxa"/>
            <w:tcBorders>
              <w:top w:val="nil"/>
              <w:left w:val="nil"/>
              <w:bottom w:val="nil"/>
              <w:right w:val="nil"/>
            </w:tcBorders>
            <w:shd w:val="clear" w:color="auto" w:fill="auto"/>
            <w:noWrap/>
            <w:vAlign w:val="bottom"/>
          </w:tcPr>
          <w:p>
            <w:pPr>
              <w:widowControl/>
              <w:jc w:val="center"/>
              <w:rPr>
                <w:rFonts w:hint="eastAsia" w:ascii="仿宋" w:hAnsi="仿宋" w:eastAsia="仿宋" w:cs="仿宋"/>
                <w:kern w:val="0"/>
                <w:sz w:val="18"/>
                <w:szCs w:val="18"/>
              </w:rPr>
            </w:pPr>
          </w:p>
        </w:tc>
        <w:tc>
          <w:tcPr>
            <w:tcW w:w="1334" w:type="dxa"/>
            <w:tcBorders>
              <w:top w:val="nil"/>
              <w:left w:val="nil"/>
              <w:bottom w:val="nil"/>
              <w:right w:val="nil"/>
            </w:tcBorders>
            <w:shd w:val="clear" w:color="auto" w:fill="auto"/>
            <w:noWrap/>
            <w:vAlign w:val="bottom"/>
          </w:tcPr>
          <w:p>
            <w:pPr>
              <w:widowControl/>
              <w:jc w:val="center"/>
              <w:rPr>
                <w:rFonts w:hint="eastAsia" w:ascii="仿宋" w:hAnsi="仿宋" w:eastAsia="仿宋" w:cs="仿宋"/>
                <w:kern w:val="0"/>
                <w:sz w:val="18"/>
                <w:szCs w:val="18"/>
              </w:rPr>
            </w:pPr>
          </w:p>
        </w:tc>
        <w:tc>
          <w:tcPr>
            <w:tcW w:w="1276" w:type="dxa"/>
            <w:tcBorders>
              <w:top w:val="nil"/>
              <w:left w:val="nil"/>
              <w:bottom w:val="nil"/>
              <w:right w:val="nil"/>
            </w:tcBorders>
            <w:shd w:val="clear" w:color="auto" w:fill="auto"/>
            <w:noWrap/>
            <w:vAlign w:val="bottom"/>
          </w:tcPr>
          <w:p>
            <w:pPr>
              <w:widowControl/>
              <w:jc w:val="center"/>
              <w:rPr>
                <w:rFonts w:hint="eastAsia" w:ascii="仿宋" w:hAnsi="仿宋" w:eastAsia="仿宋" w:cs="仿宋"/>
                <w:kern w:val="0"/>
                <w:sz w:val="18"/>
                <w:szCs w:val="18"/>
              </w:rPr>
            </w:pPr>
          </w:p>
        </w:tc>
        <w:tc>
          <w:tcPr>
            <w:tcW w:w="1218" w:type="dxa"/>
            <w:tcBorders>
              <w:top w:val="nil"/>
              <w:left w:val="nil"/>
              <w:bottom w:val="nil"/>
              <w:right w:val="nil"/>
            </w:tcBorders>
            <w:vAlign w:val="bottom"/>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0.006**</w:t>
            </w:r>
          </w:p>
        </w:tc>
      </w:tr>
      <w:tr>
        <w:tblPrEx>
          <w:tblCellMar>
            <w:top w:w="0" w:type="dxa"/>
            <w:left w:w="108" w:type="dxa"/>
            <w:bottom w:w="0" w:type="dxa"/>
            <w:right w:w="108" w:type="dxa"/>
          </w:tblCellMar>
        </w:tblPrEx>
        <w:trPr>
          <w:trHeight w:val="263" w:hRule="atLeast"/>
        </w:trPr>
        <w:tc>
          <w:tcPr>
            <w:tcW w:w="3241" w:type="dxa"/>
            <w:tcBorders>
              <w:top w:val="nil"/>
              <w:left w:val="nil"/>
              <w:bottom w:val="nil"/>
              <w:right w:val="nil"/>
            </w:tcBorders>
            <w:shd w:val="clear" w:color="auto" w:fill="auto"/>
            <w:noWrap/>
            <w:vAlign w:val="bottom"/>
          </w:tcPr>
          <w:p>
            <w:pPr>
              <w:widowControl/>
              <w:jc w:val="left"/>
              <w:rPr>
                <w:rFonts w:hint="eastAsia" w:ascii="仿宋" w:hAnsi="仿宋" w:eastAsia="仿宋" w:cs="仿宋"/>
                <w:kern w:val="0"/>
                <w:sz w:val="18"/>
                <w:szCs w:val="18"/>
              </w:rPr>
            </w:pPr>
          </w:p>
        </w:tc>
        <w:tc>
          <w:tcPr>
            <w:tcW w:w="1237" w:type="dxa"/>
            <w:tcBorders>
              <w:top w:val="nil"/>
              <w:left w:val="nil"/>
              <w:bottom w:val="nil"/>
              <w:right w:val="nil"/>
            </w:tcBorders>
            <w:shd w:val="clear" w:color="auto" w:fill="auto"/>
            <w:noWrap/>
            <w:vAlign w:val="bottom"/>
          </w:tcPr>
          <w:p>
            <w:pPr>
              <w:widowControl/>
              <w:jc w:val="center"/>
              <w:rPr>
                <w:rFonts w:hint="eastAsia" w:ascii="仿宋" w:hAnsi="仿宋" w:eastAsia="仿宋" w:cs="仿宋"/>
                <w:kern w:val="0"/>
                <w:sz w:val="18"/>
                <w:szCs w:val="18"/>
              </w:rPr>
            </w:pPr>
          </w:p>
        </w:tc>
        <w:tc>
          <w:tcPr>
            <w:tcW w:w="1334" w:type="dxa"/>
            <w:tcBorders>
              <w:top w:val="nil"/>
              <w:left w:val="nil"/>
              <w:bottom w:val="nil"/>
              <w:right w:val="nil"/>
            </w:tcBorders>
            <w:shd w:val="clear" w:color="auto" w:fill="auto"/>
            <w:noWrap/>
            <w:vAlign w:val="bottom"/>
          </w:tcPr>
          <w:p>
            <w:pPr>
              <w:widowControl/>
              <w:jc w:val="center"/>
              <w:rPr>
                <w:rFonts w:hint="eastAsia" w:ascii="仿宋" w:hAnsi="仿宋" w:eastAsia="仿宋" w:cs="仿宋"/>
                <w:kern w:val="0"/>
                <w:sz w:val="18"/>
                <w:szCs w:val="18"/>
              </w:rPr>
            </w:pPr>
          </w:p>
        </w:tc>
        <w:tc>
          <w:tcPr>
            <w:tcW w:w="1276" w:type="dxa"/>
            <w:tcBorders>
              <w:top w:val="nil"/>
              <w:left w:val="nil"/>
              <w:bottom w:val="nil"/>
              <w:right w:val="nil"/>
            </w:tcBorders>
            <w:shd w:val="clear" w:color="auto" w:fill="auto"/>
            <w:noWrap/>
            <w:vAlign w:val="bottom"/>
          </w:tcPr>
          <w:p>
            <w:pPr>
              <w:widowControl/>
              <w:jc w:val="center"/>
              <w:rPr>
                <w:rFonts w:hint="eastAsia" w:ascii="仿宋" w:hAnsi="仿宋" w:eastAsia="仿宋" w:cs="仿宋"/>
                <w:kern w:val="0"/>
                <w:sz w:val="18"/>
                <w:szCs w:val="18"/>
              </w:rPr>
            </w:pPr>
          </w:p>
        </w:tc>
        <w:tc>
          <w:tcPr>
            <w:tcW w:w="1218" w:type="dxa"/>
            <w:tcBorders>
              <w:top w:val="nil"/>
              <w:left w:val="nil"/>
              <w:bottom w:val="nil"/>
              <w:right w:val="nil"/>
            </w:tcBorders>
            <w:vAlign w:val="bottom"/>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(0.003)</w:t>
            </w:r>
          </w:p>
        </w:tc>
      </w:tr>
      <w:tr>
        <w:tblPrEx>
          <w:tblCellMar>
            <w:top w:w="0" w:type="dxa"/>
            <w:left w:w="108" w:type="dxa"/>
            <w:bottom w:w="0" w:type="dxa"/>
            <w:right w:w="108" w:type="dxa"/>
          </w:tblCellMar>
        </w:tblPrEx>
        <w:trPr>
          <w:trHeight w:val="263" w:hRule="atLeast"/>
        </w:trPr>
        <w:tc>
          <w:tcPr>
            <w:tcW w:w="3241" w:type="dxa"/>
            <w:tcBorders>
              <w:top w:val="nil"/>
              <w:left w:val="nil"/>
              <w:bottom w:val="nil"/>
              <w:right w:val="nil"/>
            </w:tcBorders>
            <w:shd w:val="clear" w:color="auto" w:fill="auto"/>
            <w:noWrap/>
            <w:vAlign w:val="bottom"/>
          </w:tcPr>
          <w:p>
            <w:pPr>
              <w:widowControl/>
              <w:jc w:val="left"/>
              <w:rPr>
                <w:rFonts w:hint="eastAsia" w:ascii="仿宋" w:hAnsi="仿宋" w:eastAsia="仿宋" w:cs="仿宋"/>
                <w:kern w:val="0"/>
                <w:sz w:val="18"/>
                <w:szCs w:val="18"/>
              </w:rPr>
            </w:pPr>
          </w:p>
        </w:tc>
        <w:tc>
          <w:tcPr>
            <w:tcW w:w="1237" w:type="dxa"/>
            <w:tcBorders>
              <w:top w:val="nil"/>
              <w:left w:val="nil"/>
              <w:bottom w:val="nil"/>
              <w:right w:val="nil"/>
            </w:tcBorders>
            <w:shd w:val="clear" w:color="auto" w:fill="auto"/>
            <w:noWrap/>
            <w:vAlign w:val="bottom"/>
          </w:tcPr>
          <w:p>
            <w:pPr>
              <w:widowControl/>
              <w:jc w:val="center"/>
              <w:rPr>
                <w:rFonts w:hint="eastAsia" w:ascii="仿宋" w:hAnsi="仿宋" w:eastAsia="仿宋" w:cs="仿宋"/>
                <w:kern w:val="0"/>
                <w:sz w:val="18"/>
                <w:szCs w:val="18"/>
              </w:rPr>
            </w:pPr>
          </w:p>
        </w:tc>
        <w:tc>
          <w:tcPr>
            <w:tcW w:w="1334" w:type="dxa"/>
            <w:tcBorders>
              <w:top w:val="nil"/>
              <w:left w:val="nil"/>
              <w:bottom w:val="nil"/>
              <w:right w:val="nil"/>
            </w:tcBorders>
            <w:shd w:val="clear" w:color="auto" w:fill="auto"/>
            <w:noWrap/>
            <w:vAlign w:val="bottom"/>
          </w:tcPr>
          <w:p>
            <w:pPr>
              <w:widowControl/>
              <w:jc w:val="center"/>
              <w:rPr>
                <w:rFonts w:hint="eastAsia" w:ascii="仿宋" w:hAnsi="仿宋" w:eastAsia="仿宋" w:cs="仿宋"/>
                <w:kern w:val="0"/>
                <w:sz w:val="18"/>
                <w:szCs w:val="18"/>
              </w:rPr>
            </w:pPr>
          </w:p>
        </w:tc>
        <w:tc>
          <w:tcPr>
            <w:tcW w:w="1276" w:type="dxa"/>
            <w:tcBorders>
              <w:top w:val="nil"/>
              <w:left w:val="nil"/>
              <w:bottom w:val="nil"/>
              <w:right w:val="nil"/>
            </w:tcBorders>
            <w:shd w:val="clear" w:color="auto" w:fill="auto"/>
            <w:noWrap/>
            <w:vAlign w:val="bottom"/>
          </w:tcPr>
          <w:p>
            <w:pPr>
              <w:widowControl/>
              <w:jc w:val="center"/>
              <w:rPr>
                <w:rFonts w:hint="eastAsia" w:ascii="仿宋" w:hAnsi="仿宋" w:eastAsia="仿宋" w:cs="仿宋"/>
                <w:kern w:val="0"/>
                <w:sz w:val="18"/>
                <w:szCs w:val="18"/>
              </w:rPr>
            </w:pPr>
          </w:p>
        </w:tc>
        <w:tc>
          <w:tcPr>
            <w:tcW w:w="1218" w:type="dxa"/>
            <w:tcBorders>
              <w:top w:val="nil"/>
              <w:left w:val="nil"/>
              <w:bottom w:val="nil"/>
              <w:right w:val="nil"/>
            </w:tcBorders>
            <w:vAlign w:val="bottom"/>
          </w:tcPr>
          <w:p>
            <w:pPr>
              <w:widowControl/>
              <w:jc w:val="center"/>
              <w:rPr>
                <w:rFonts w:hint="eastAsia" w:ascii="仿宋" w:hAnsi="仿宋" w:eastAsia="仿宋" w:cs="仿宋"/>
                <w:kern w:val="0"/>
                <w:sz w:val="18"/>
                <w:szCs w:val="18"/>
              </w:rPr>
            </w:pPr>
          </w:p>
        </w:tc>
      </w:tr>
      <w:tr>
        <w:tblPrEx>
          <w:tblCellMar>
            <w:top w:w="0" w:type="dxa"/>
            <w:left w:w="108" w:type="dxa"/>
            <w:bottom w:w="0" w:type="dxa"/>
            <w:right w:w="108" w:type="dxa"/>
          </w:tblCellMar>
        </w:tblPrEx>
        <w:trPr>
          <w:trHeight w:val="263" w:hRule="atLeast"/>
        </w:trPr>
        <w:tc>
          <w:tcPr>
            <w:tcW w:w="3241" w:type="dxa"/>
            <w:tcBorders>
              <w:top w:val="nil"/>
              <w:left w:val="nil"/>
              <w:bottom w:val="nil"/>
              <w:right w:val="nil"/>
            </w:tcBorders>
            <w:shd w:val="clear" w:color="auto" w:fill="auto"/>
            <w:noWrap/>
            <w:vAlign w:val="bottom"/>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观察值个数</w:t>
            </w:r>
          </w:p>
        </w:tc>
        <w:tc>
          <w:tcPr>
            <w:tcW w:w="1237" w:type="dxa"/>
            <w:tcBorders>
              <w:top w:val="nil"/>
              <w:left w:val="nil"/>
              <w:bottom w:val="nil"/>
              <w:right w:val="nil"/>
            </w:tcBorders>
            <w:shd w:val="clear" w:color="auto" w:fill="auto"/>
            <w:noWrap/>
            <w:vAlign w:val="bottom"/>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38,247</w:t>
            </w:r>
          </w:p>
        </w:tc>
        <w:tc>
          <w:tcPr>
            <w:tcW w:w="1334" w:type="dxa"/>
            <w:tcBorders>
              <w:top w:val="nil"/>
              <w:left w:val="nil"/>
              <w:bottom w:val="nil"/>
              <w:right w:val="nil"/>
            </w:tcBorders>
            <w:shd w:val="clear" w:color="auto" w:fill="auto"/>
            <w:noWrap/>
            <w:vAlign w:val="bottom"/>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38,247</w:t>
            </w:r>
          </w:p>
        </w:tc>
        <w:tc>
          <w:tcPr>
            <w:tcW w:w="1276" w:type="dxa"/>
            <w:tcBorders>
              <w:top w:val="nil"/>
              <w:left w:val="nil"/>
              <w:bottom w:val="nil"/>
              <w:right w:val="nil"/>
            </w:tcBorders>
            <w:shd w:val="clear" w:color="auto" w:fill="auto"/>
            <w:noWrap/>
            <w:vAlign w:val="bottom"/>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46,909</w:t>
            </w:r>
          </w:p>
        </w:tc>
        <w:tc>
          <w:tcPr>
            <w:tcW w:w="1218" w:type="dxa"/>
            <w:tcBorders>
              <w:top w:val="nil"/>
              <w:left w:val="nil"/>
              <w:bottom w:val="nil"/>
              <w:right w:val="nil"/>
            </w:tcBorders>
            <w:vAlign w:val="bottom"/>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46,909</w:t>
            </w:r>
          </w:p>
        </w:tc>
      </w:tr>
      <w:tr>
        <w:tblPrEx>
          <w:tblCellMar>
            <w:top w:w="0" w:type="dxa"/>
            <w:left w:w="108" w:type="dxa"/>
            <w:bottom w:w="0" w:type="dxa"/>
            <w:right w:w="108" w:type="dxa"/>
          </w:tblCellMar>
        </w:tblPrEx>
        <w:trPr>
          <w:trHeight w:val="263" w:hRule="atLeast"/>
        </w:trPr>
        <w:tc>
          <w:tcPr>
            <w:tcW w:w="3241" w:type="dxa"/>
            <w:tcBorders>
              <w:top w:val="nil"/>
              <w:left w:val="nil"/>
              <w:bottom w:val="nil"/>
              <w:right w:val="nil"/>
            </w:tcBorders>
            <w:shd w:val="clear" w:color="auto" w:fill="auto"/>
            <w:noWrap/>
            <w:vAlign w:val="bottom"/>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调整</w:t>
            </w:r>
            <w:r>
              <w:rPr>
                <w:rFonts w:hint="eastAsia" w:ascii="仿宋" w:hAnsi="仿宋" w:eastAsia="仿宋" w:cs="仿宋"/>
                <w:i/>
                <w:iCs/>
                <w:kern w:val="0"/>
                <w:sz w:val="18"/>
                <w:szCs w:val="18"/>
              </w:rPr>
              <w:t>R</w:t>
            </w:r>
            <w:r>
              <w:rPr>
                <w:rFonts w:hint="eastAsia" w:ascii="仿宋" w:hAnsi="仿宋" w:eastAsia="仿宋" w:cs="仿宋"/>
                <w:kern w:val="0"/>
                <w:sz w:val="18"/>
                <w:szCs w:val="18"/>
              </w:rPr>
              <w:t>平方</w:t>
            </w:r>
          </w:p>
        </w:tc>
        <w:tc>
          <w:tcPr>
            <w:tcW w:w="1237" w:type="dxa"/>
            <w:tcBorders>
              <w:top w:val="nil"/>
              <w:left w:val="nil"/>
              <w:bottom w:val="nil"/>
              <w:right w:val="nil"/>
            </w:tcBorders>
            <w:shd w:val="clear" w:color="auto" w:fill="auto"/>
            <w:noWrap/>
            <w:vAlign w:val="bottom"/>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0.133</w:t>
            </w:r>
          </w:p>
        </w:tc>
        <w:tc>
          <w:tcPr>
            <w:tcW w:w="1334" w:type="dxa"/>
            <w:tcBorders>
              <w:top w:val="nil"/>
              <w:left w:val="nil"/>
              <w:bottom w:val="nil"/>
              <w:right w:val="nil"/>
            </w:tcBorders>
            <w:shd w:val="clear" w:color="auto" w:fill="auto"/>
            <w:noWrap/>
            <w:vAlign w:val="bottom"/>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0.132</w:t>
            </w:r>
          </w:p>
        </w:tc>
        <w:tc>
          <w:tcPr>
            <w:tcW w:w="1276" w:type="dxa"/>
            <w:tcBorders>
              <w:top w:val="nil"/>
              <w:left w:val="nil"/>
              <w:bottom w:val="nil"/>
              <w:right w:val="nil"/>
            </w:tcBorders>
            <w:shd w:val="clear" w:color="auto" w:fill="auto"/>
            <w:noWrap/>
            <w:vAlign w:val="bottom"/>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0.117</w:t>
            </w:r>
          </w:p>
        </w:tc>
        <w:tc>
          <w:tcPr>
            <w:tcW w:w="1218" w:type="dxa"/>
            <w:tcBorders>
              <w:top w:val="nil"/>
              <w:left w:val="nil"/>
              <w:bottom w:val="nil"/>
              <w:right w:val="nil"/>
            </w:tcBorders>
            <w:vAlign w:val="bottom"/>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0.115</w:t>
            </w:r>
          </w:p>
        </w:tc>
      </w:tr>
      <w:tr>
        <w:tblPrEx>
          <w:tblCellMar>
            <w:top w:w="0" w:type="dxa"/>
            <w:left w:w="108" w:type="dxa"/>
            <w:bottom w:w="0" w:type="dxa"/>
            <w:right w:w="108" w:type="dxa"/>
          </w:tblCellMar>
        </w:tblPrEx>
        <w:trPr>
          <w:trHeight w:val="263" w:hRule="atLeast"/>
        </w:trPr>
        <w:tc>
          <w:tcPr>
            <w:tcW w:w="3241" w:type="dxa"/>
            <w:tcBorders>
              <w:top w:val="nil"/>
              <w:left w:val="nil"/>
              <w:bottom w:val="nil"/>
              <w:right w:val="nil"/>
            </w:tcBorders>
            <w:shd w:val="clear" w:color="auto" w:fill="auto"/>
            <w:noWrap/>
            <w:vAlign w:val="bottom"/>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行业固定效应</w:t>
            </w:r>
          </w:p>
        </w:tc>
        <w:tc>
          <w:tcPr>
            <w:tcW w:w="1237" w:type="dxa"/>
            <w:tcBorders>
              <w:top w:val="nil"/>
              <w:left w:val="nil"/>
              <w:bottom w:val="nil"/>
              <w:right w:val="nil"/>
            </w:tcBorders>
            <w:shd w:val="clear" w:color="auto" w:fill="auto"/>
            <w:noWrap/>
            <w:vAlign w:val="bottom"/>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1334" w:type="dxa"/>
            <w:tcBorders>
              <w:top w:val="nil"/>
              <w:left w:val="nil"/>
              <w:bottom w:val="nil"/>
              <w:right w:val="nil"/>
            </w:tcBorders>
            <w:shd w:val="clear" w:color="auto" w:fill="auto"/>
            <w:noWrap/>
            <w:vAlign w:val="bottom"/>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1276" w:type="dxa"/>
            <w:tcBorders>
              <w:top w:val="nil"/>
              <w:left w:val="nil"/>
              <w:bottom w:val="nil"/>
              <w:right w:val="nil"/>
            </w:tcBorders>
            <w:shd w:val="clear" w:color="auto" w:fill="auto"/>
            <w:noWrap/>
            <w:vAlign w:val="bottom"/>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1218" w:type="dxa"/>
            <w:tcBorders>
              <w:top w:val="nil"/>
              <w:left w:val="nil"/>
              <w:bottom w:val="nil"/>
              <w:right w:val="nil"/>
            </w:tcBorders>
            <w:vAlign w:val="bottom"/>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Yes</w:t>
            </w:r>
          </w:p>
        </w:tc>
      </w:tr>
      <w:tr>
        <w:tblPrEx>
          <w:tblCellMar>
            <w:top w:w="0" w:type="dxa"/>
            <w:left w:w="108" w:type="dxa"/>
            <w:bottom w:w="0" w:type="dxa"/>
            <w:right w:w="108" w:type="dxa"/>
          </w:tblCellMar>
        </w:tblPrEx>
        <w:trPr>
          <w:trHeight w:val="263" w:hRule="atLeast"/>
        </w:trPr>
        <w:tc>
          <w:tcPr>
            <w:tcW w:w="3241" w:type="dxa"/>
            <w:tcBorders>
              <w:top w:val="nil"/>
              <w:left w:val="nil"/>
              <w:bottom w:val="nil"/>
              <w:right w:val="nil"/>
            </w:tcBorders>
            <w:shd w:val="clear" w:color="auto" w:fill="auto"/>
            <w:noWrap/>
            <w:vAlign w:val="bottom"/>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县级固定效应</w:t>
            </w:r>
          </w:p>
        </w:tc>
        <w:tc>
          <w:tcPr>
            <w:tcW w:w="1237" w:type="dxa"/>
            <w:tcBorders>
              <w:top w:val="nil"/>
              <w:left w:val="nil"/>
              <w:bottom w:val="nil"/>
              <w:right w:val="nil"/>
            </w:tcBorders>
            <w:shd w:val="clear" w:color="auto" w:fill="auto"/>
            <w:noWrap/>
            <w:vAlign w:val="bottom"/>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1334" w:type="dxa"/>
            <w:tcBorders>
              <w:top w:val="nil"/>
              <w:left w:val="nil"/>
              <w:bottom w:val="nil"/>
              <w:right w:val="nil"/>
            </w:tcBorders>
            <w:shd w:val="clear" w:color="auto" w:fill="auto"/>
            <w:noWrap/>
            <w:vAlign w:val="bottom"/>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1276" w:type="dxa"/>
            <w:tcBorders>
              <w:top w:val="nil"/>
              <w:left w:val="nil"/>
              <w:bottom w:val="nil"/>
              <w:right w:val="nil"/>
            </w:tcBorders>
            <w:shd w:val="clear" w:color="auto" w:fill="auto"/>
            <w:noWrap/>
            <w:vAlign w:val="bottom"/>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1218" w:type="dxa"/>
            <w:tcBorders>
              <w:top w:val="nil"/>
              <w:left w:val="nil"/>
              <w:bottom w:val="nil"/>
              <w:right w:val="nil"/>
            </w:tcBorders>
            <w:vAlign w:val="bottom"/>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Yes</w:t>
            </w:r>
          </w:p>
        </w:tc>
      </w:tr>
      <w:tr>
        <w:tblPrEx>
          <w:tblCellMar>
            <w:top w:w="0" w:type="dxa"/>
            <w:left w:w="108" w:type="dxa"/>
            <w:bottom w:w="0" w:type="dxa"/>
            <w:right w:w="108" w:type="dxa"/>
          </w:tblCellMar>
        </w:tblPrEx>
        <w:trPr>
          <w:trHeight w:val="263" w:hRule="atLeast"/>
        </w:trPr>
        <w:tc>
          <w:tcPr>
            <w:tcW w:w="3241" w:type="dxa"/>
            <w:tcBorders>
              <w:top w:val="nil"/>
              <w:left w:val="nil"/>
              <w:bottom w:val="nil"/>
              <w:right w:val="nil"/>
            </w:tcBorders>
            <w:shd w:val="clear" w:color="auto" w:fill="auto"/>
            <w:noWrap/>
            <w:vAlign w:val="bottom"/>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省×年度固定效应</w:t>
            </w:r>
          </w:p>
        </w:tc>
        <w:tc>
          <w:tcPr>
            <w:tcW w:w="1237" w:type="dxa"/>
            <w:tcBorders>
              <w:top w:val="nil"/>
              <w:left w:val="nil"/>
              <w:bottom w:val="nil"/>
              <w:right w:val="nil"/>
            </w:tcBorders>
            <w:shd w:val="clear" w:color="auto" w:fill="auto"/>
            <w:noWrap/>
            <w:vAlign w:val="bottom"/>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1334" w:type="dxa"/>
            <w:tcBorders>
              <w:top w:val="nil"/>
              <w:left w:val="nil"/>
              <w:bottom w:val="nil"/>
              <w:right w:val="nil"/>
            </w:tcBorders>
            <w:shd w:val="clear" w:color="auto" w:fill="auto"/>
            <w:noWrap/>
            <w:vAlign w:val="bottom"/>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1276" w:type="dxa"/>
            <w:tcBorders>
              <w:top w:val="nil"/>
              <w:left w:val="nil"/>
              <w:bottom w:val="nil"/>
              <w:right w:val="nil"/>
            </w:tcBorders>
            <w:shd w:val="clear" w:color="auto" w:fill="auto"/>
            <w:noWrap/>
            <w:vAlign w:val="bottom"/>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1218" w:type="dxa"/>
            <w:tcBorders>
              <w:top w:val="nil"/>
              <w:left w:val="nil"/>
              <w:bottom w:val="nil"/>
              <w:right w:val="nil"/>
            </w:tcBorders>
            <w:vAlign w:val="bottom"/>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Yes</w:t>
            </w:r>
          </w:p>
        </w:tc>
      </w:tr>
      <w:tr>
        <w:tblPrEx>
          <w:tblCellMar>
            <w:top w:w="0" w:type="dxa"/>
            <w:left w:w="108" w:type="dxa"/>
            <w:bottom w:w="0" w:type="dxa"/>
            <w:right w:w="108" w:type="dxa"/>
          </w:tblCellMar>
        </w:tblPrEx>
        <w:trPr>
          <w:trHeight w:val="263" w:hRule="atLeast"/>
        </w:trPr>
        <w:tc>
          <w:tcPr>
            <w:tcW w:w="3241" w:type="dxa"/>
            <w:tcBorders>
              <w:top w:val="nil"/>
              <w:left w:val="nil"/>
              <w:bottom w:val="single" w:color="000000" w:sz="4" w:space="0"/>
              <w:right w:val="nil"/>
            </w:tcBorders>
            <w:shd w:val="clear" w:color="auto" w:fill="auto"/>
            <w:noWrap/>
            <w:vAlign w:val="bottom"/>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是否添加控制变量</w:t>
            </w:r>
          </w:p>
        </w:tc>
        <w:tc>
          <w:tcPr>
            <w:tcW w:w="1237" w:type="dxa"/>
            <w:tcBorders>
              <w:top w:val="nil"/>
              <w:left w:val="nil"/>
              <w:bottom w:val="single" w:color="000000" w:sz="4" w:space="0"/>
              <w:right w:val="nil"/>
            </w:tcBorders>
            <w:shd w:val="clear" w:color="auto" w:fill="auto"/>
            <w:noWrap/>
            <w:vAlign w:val="bottom"/>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1334" w:type="dxa"/>
            <w:tcBorders>
              <w:top w:val="nil"/>
              <w:left w:val="nil"/>
              <w:bottom w:val="single" w:color="000000" w:sz="4" w:space="0"/>
              <w:right w:val="nil"/>
            </w:tcBorders>
            <w:shd w:val="clear" w:color="auto" w:fill="auto"/>
            <w:noWrap/>
            <w:vAlign w:val="bottom"/>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1276" w:type="dxa"/>
            <w:tcBorders>
              <w:top w:val="nil"/>
              <w:left w:val="nil"/>
              <w:bottom w:val="single" w:color="000000" w:sz="4" w:space="0"/>
              <w:right w:val="nil"/>
            </w:tcBorders>
            <w:shd w:val="clear" w:color="auto" w:fill="auto"/>
            <w:noWrap/>
            <w:vAlign w:val="bottom"/>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1218" w:type="dxa"/>
            <w:tcBorders>
              <w:top w:val="nil"/>
              <w:left w:val="nil"/>
              <w:bottom w:val="single" w:color="000000" w:sz="4" w:space="0"/>
              <w:right w:val="nil"/>
            </w:tcBorders>
            <w:vAlign w:val="bottom"/>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Yes</w:t>
            </w:r>
          </w:p>
        </w:tc>
      </w:tr>
      <w:tr>
        <w:tblPrEx>
          <w:tblCellMar>
            <w:top w:w="0" w:type="dxa"/>
            <w:left w:w="108" w:type="dxa"/>
            <w:bottom w:w="0" w:type="dxa"/>
            <w:right w:w="108" w:type="dxa"/>
          </w:tblCellMar>
        </w:tblPrEx>
        <w:trPr>
          <w:trHeight w:val="936" w:hRule="atLeast"/>
        </w:trPr>
        <w:tc>
          <w:tcPr>
            <w:tcW w:w="8306" w:type="dxa"/>
            <w:gridSpan w:val="5"/>
            <w:tcBorders>
              <w:top w:val="nil"/>
              <w:left w:val="nil"/>
              <w:right w:val="nil"/>
            </w:tcBorders>
            <w:shd w:val="clear" w:color="auto" w:fill="auto"/>
            <w:noWrap/>
            <w:vAlign w:val="bottom"/>
          </w:tcPr>
          <w:p>
            <w:pPr>
              <w:jc w:val="left"/>
              <w:rPr>
                <w:rFonts w:hint="eastAsia" w:ascii="仿宋" w:hAnsi="仿宋" w:eastAsia="仿宋" w:cs="仿宋"/>
                <w:kern w:val="0"/>
                <w:sz w:val="18"/>
                <w:szCs w:val="18"/>
              </w:rPr>
            </w:pPr>
            <w:bookmarkStart w:id="2" w:name="_Hlk102592789"/>
            <w:r>
              <w:rPr>
                <w:rFonts w:hint="eastAsia" w:ascii="仿宋" w:hAnsi="仿宋" w:eastAsia="仿宋" w:cs="仿宋"/>
                <w:kern w:val="0"/>
                <w:sz w:val="18"/>
                <w:szCs w:val="18"/>
              </w:rPr>
              <w:t>注：因变量是每年县×行业级别的新建企业数，加1后取对数。列</w:t>
            </w:r>
            <w:r>
              <w:rPr>
                <w:rFonts w:hint="eastAsia" w:ascii="仿宋" w:hAnsi="仿宋" w:eastAsia="仿宋" w:cs="仿宋"/>
                <w:kern w:val="0"/>
                <w:sz w:val="18"/>
                <w:szCs w:val="18"/>
                <w:lang w:eastAsia="zh-CN"/>
              </w:rPr>
              <w:t>（</w:t>
            </w:r>
            <w:r>
              <w:rPr>
                <w:rFonts w:hint="eastAsia" w:ascii="仿宋" w:hAnsi="仿宋" w:eastAsia="仿宋" w:cs="仿宋"/>
                <w:kern w:val="0"/>
                <w:sz w:val="18"/>
                <w:szCs w:val="18"/>
              </w:rPr>
              <w:t>1</w:t>
            </w:r>
            <w:r>
              <w:rPr>
                <w:rFonts w:hint="eastAsia" w:ascii="仿宋" w:hAnsi="仿宋" w:eastAsia="仿宋" w:cs="仿宋"/>
                <w:kern w:val="0"/>
                <w:sz w:val="18"/>
                <w:szCs w:val="18"/>
                <w:lang w:eastAsia="zh-CN"/>
              </w:rPr>
              <w:t>）</w:t>
            </w:r>
            <w:r>
              <w:rPr>
                <w:rFonts w:hint="eastAsia" w:ascii="仿宋" w:hAnsi="仿宋" w:eastAsia="仿宋" w:cs="仿宋"/>
                <w:kern w:val="0"/>
                <w:sz w:val="18"/>
                <w:szCs w:val="18"/>
              </w:rPr>
              <w:t>的关键自变量为该县发电容量的一期滞后值×该行业的资本-劳动比；列</w:t>
            </w:r>
            <w:r>
              <w:rPr>
                <w:rFonts w:hint="eastAsia" w:ascii="仿宋" w:hAnsi="仿宋" w:eastAsia="仿宋" w:cs="仿宋"/>
                <w:kern w:val="0"/>
                <w:sz w:val="18"/>
                <w:szCs w:val="18"/>
                <w:lang w:eastAsia="zh-CN"/>
              </w:rPr>
              <w:t>（</w:t>
            </w:r>
            <w:r>
              <w:rPr>
                <w:rFonts w:hint="eastAsia" w:ascii="仿宋" w:hAnsi="仿宋" w:eastAsia="仿宋" w:cs="仿宋"/>
                <w:kern w:val="0"/>
                <w:sz w:val="18"/>
                <w:szCs w:val="18"/>
              </w:rPr>
              <w:t>2</w:t>
            </w:r>
            <w:r>
              <w:rPr>
                <w:rFonts w:hint="eastAsia" w:ascii="仿宋" w:hAnsi="仿宋" w:eastAsia="仿宋" w:cs="仿宋"/>
                <w:kern w:val="0"/>
                <w:sz w:val="18"/>
                <w:szCs w:val="18"/>
                <w:lang w:eastAsia="zh-CN"/>
              </w:rPr>
              <w:t>）</w:t>
            </w:r>
            <w:r>
              <w:rPr>
                <w:rFonts w:hint="eastAsia" w:ascii="仿宋" w:hAnsi="仿宋" w:eastAsia="仿宋" w:cs="仿宋"/>
                <w:kern w:val="0"/>
                <w:sz w:val="18"/>
                <w:szCs w:val="18"/>
              </w:rPr>
              <w:t>的关键自变量为该县是否有发电厂的一期滞后值×该行业的资本-劳动比；列</w:t>
            </w:r>
            <w:r>
              <w:rPr>
                <w:rFonts w:hint="eastAsia" w:ascii="仿宋" w:hAnsi="仿宋" w:eastAsia="仿宋" w:cs="仿宋"/>
                <w:kern w:val="0"/>
                <w:sz w:val="18"/>
                <w:szCs w:val="18"/>
                <w:lang w:eastAsia="zh-CN"/>
              </w:rPr>
              <w:t>（</w:t>
            </w:r>
            <w:r>
              <w:rPr>
                <w:rFonts w:hint="eastAsia" w:ascii="仿宋" w:hAnsi="仿宋" w:eastAsia="仿宋" w:cs="仿宋"/>
                <w:kern w:val="0"/>
                <w:sz w:val="18"/>
                <w:szCs w:val="18"/>
              </w:rPr>
              <w:t>3</w:t>
            </w:r>
            <w:r>
              <w:rPr>
                <w:rFonts w:hint="eastAsia" w:ascii="仿宋" w:hAnsi="仿宋" w:eastAsia="仿宋" w:cs="仿宋"/>
                <w:kern w:val="0"/>
                <w:sz w:val="18"/>
                <w:szCs w:val="18"/>
                <w:lang w:eastAsia="zh-CN"/>
              </w:rPr>
              <w:t>）</w:t>
            </w:r>
            <w:r>
              <w:rPr>
                <w:rFonts w:hint="eastAsia" w:ascii="仿宋" w:hAnsi="仿宋" w:eastAsia="仿宋" w:cs="仿宋"/>
                <w:kern w:val="0"/>
                <w:sz w:val="18"/>
                <w:szCs w:val="18"/>
              </w:rPr>
              <w:t>的关键自变量为该县发电容量的一期滞后值×该行业是否为重工业；列</w:t>
            </w:r>
            <w:r>
              <w:rPr>
                <w:rFonts w:hint="eastAsia" w:ascii="仿宋" w:hAnsi="仿宋" w:eastAsia="仿宋" w:cs="仿宋"/>
                <w:kern w:val="0"/>
                <w:sz w:val="18"/>
                <w:szCs w:val="18"/>
                <w:lang w:eastAsia="zh-CN"/>
              </w:rPr>
              <w:t>（</w:t>
            </w:r>
            <w:r>
              <w:rPr>
                <w:rFonts w:hint="eastAsia" w:ascii="仿宋" w:hAnsi="仿宋" w:eastAsia="仿宋" w:cs="仿宋"/>
                <w:kern w:val="0"/>
                <w:sz w:val="18"/>
                <w:szCs w:val="18"/>
              </w:rPr>
              <w:t>4</w:t>
            </w:r>
            <w:r>
              <w:rPr>
                <w:rFonts w:hint="eastAsia" w:ascii="仿宋" w:hAnsi="仿宋" w:eastAsia="仿宋" w:cs="仿宋"/>
                <w:kern w:val="0"/>
                <w:sz w:val="18"/>
                <w:szCs w:val="18"/>
                <w:lang w:eastAsia="zh-CN"/>
              </w:rPr>
              <w:t>）</w:t>
            </w:r>
            <w:r>
              <w:rPr>
                <w:rFonts w:hint="eastAsia" w:ascii="仿宋" w:hAnsi="仿宋" w:eastAsia="仿宋" w:cs="仿宋"/>
                <w:kern w:val="0"/>
                <w:sz w:val="18"/>
                <w:szCs w:val="18"/>
              </w:rPr>
              <w:t>的关键自变量为该县是否有发电厂的一期滞后值×该行业是否为重工业。括号内为异方差稳健标准误。***</w:t>
            </w:r>
            <w:r>
              <w:rPr>
                <w:rFonts w:hint="eastAsia" w:ascii="仿宋" w:hAnsi="仿宋" w:eastAsia="仿宋" w:cs="仿宋"/>
                <w:kern w:val="0"/>
                <w:sz w:val="18"/>
                <w:szCs w:val="18"/>
                <w:lang w:eastAsia="zh-CN"/>
              </w:rPr>
              <w:t>、</w:t>
            </w:r>
            <w:r>
              <w:rPr>
                <w:rFonts w:hint="eastAsia" w:ascii="仿宋" w:hAnsi="仿宋" w:eastAsia="仿宋" w:cs="仿宋"/>
                <w:kern w:val="0"/>
                <w:sz w:val="18"/>
                <w:szCs w:val="18"/>
              </w:rPr>
              <w:t>**</w:t>
            </w:r>
            <w:r>
              <w:rPr>
                <w:rFonts w:hint="eastAsia" w:ascii="仿宋" w:hAnsi="仿宋" w:eastAsia="仿宋" w:cs="仿宋"/>
                <w:kern w:val="0"/>
                <w:sz w:val="18"/>
                <w:szCs w:val="18"/>
                <w:lang w:eastAsia="zh-CN"/>
              </w:rPr>
              <w:t>、</w:t>
            </w:r>
            <w:r>
              <w:rPr>
                <w:rFonts w:hint="eastAsia" w:ascii="仿宋" w:hAnsi="仿宋" w:eastAsia="仿宋" w:cs="仿宋"/>
                <w:kern w:val="0"/>
                <w:sz w:val="18"/>
                <w:szCs w:val="18"/>
              </w:rPr>
              <w:t>*分别代表在1%</w:t>
            </w:r>
            <w:r>
              <w:rPr>
                <w:rFonts w:hint="eastAsia" w:ascii="仿宋" w:hAnsi="仿宋" w:eastAsia="仿宋" w:cs="仿宋"/>
                <w:kern w:val="0"/>
                <w:sz w:val="18"/>
                <w:szCs w:val="18"/>
                <w:lang w:eastAsia="zh-CN"/>
              </w:rPr>
              <w:t>、</w:t>
            </w:r>
            <w:r>
              <w:rPr>
                <w:rFonts w:hint="eastAsia" w:ascii="仿宋" w:hAnsi="仿宋" w:eastAsia="仿宋" w:cs="仿宋"/>
                <w:kern w:val="0"/>
                <w:sz w:val="18"/>
                <w:szCs w:val="18"/>
              </w:rPr>
              <w:t>5%和10%的显著性水平上显著。</w:t>
            </w:r>
          </w:p>
        </w:tc>
      </w:tr>
      <w:bookmarkEnd w:id="2"/>
    </w:tbl>
    <w:p>
      <w:pPr>
        <w:ind w:firstLine="360"/>
        <w:rPr>
          <w:rFonts w:hint="eastAsia" w:ascii="仿宋" w:hAnsi="仿宋" w:eastAsia="仿宋" w:cs="仿宋"/>
          <w:sz w:val="18"/>
          <w:szCs w:val="18"/>
        </w:rPr>
      </w:pPr>
    </w:p>
    <w:p>
      <w:pPr>
        <w:rPr>
          <w:rFonts w:ascii="Times New Roman" w:hAnsi="Times New Roman" w:eastAsia="仿宋" w:cs="Times New Roman"/>
        </w:rPr>
      </w:pPr>
    </w:p>
    <w:p>
      <w:pPr>
        <w:pStyle w:val="2"/>
        <w:rPr>
          <w:rFonts w:hint="eastAsia"/>
        </w:rPr>
      </w:pPr>
      <w:bookmarkStart w:id="3" w:name="_Toc155478221"/>
    </w:p>
    <w:p>
      <w:pPr>
        <w:pStyle w:val="2"/>
        <w:rPr>
          <w:rFonts w:hint="eastAsia"/>
        </w:rPr>
      </w:pPr>
    </w:p>
    <w:p>
      <w:pPr>
        <w:pStyle w:val="2"/>
        <w:rPr>
          <w:rFonts w:hint="eastAsia"/>
        </w:rPr>
      </w:pPr>
    </w:p>
    <w:p>
      <w:pPr>
        <w:bidi w:val="0"/>
        <w:rPr>
          <w:rFonts w:hint="eastAsia"/>
        </w:rPr>
      </w:pPr>
    </w:p>
    <w:p>
      <w:pPr>
        <w:bidi w:val="0"/>
        <w:rPr>
          <w:rFonts w:hint="eastAsia"/>
        </w:rPr>
      </w:pPr>
    </w:p>
    <w:p>
      <w:pPr>
        <w:bidi w:val="0"/>
        <w:rPr>
          <w:rFonts w:hint="eastAsia"/>
        </w:rPr>
      </w:pPr>
    </w:p>
    <w:p>
      <w:pPr>
        <w:bidi w:val="0"/>
        <w:jc w:val="center"/>
        <w:rPr>
          <w:rFonts w:hint="eastAsia" w:ascii="楷体" w:hAnsi="楷体" w:eastAsia="楷体" w:cs="楷体"/>
          <w:sz w:val="28"/>
          <w:szCs w:val="32"/>
        </w:rPr>
      </w:pPr>
      <w:r>
        <w:rPr>
          <w:rFonts w:hint="eastAsia" w:ascii="楷体" w:hAnsi="楷体" w:eastAsia="楷体" w:cs="楷体"/>
          <w:sz w:val="28"/>
          <w:szCs w:val="32"/>
        </w:rPr>
        <w:t>附录Ⅱ 关于交错双重差分方法的讨论</w:t>
      </w:r>
      <w:bookmarkEnd w:id="3"/>
    </w:p>
    <w:p>
      <w:pPr>
        <w:ind w:firstLine="420"/>
        <w:rPr>
          <w:rFonts w:hint="eastAsia" w:ascii="Times New Roman" w:hAnsi="Times New Roman" w:eastAsia="仿宋" w:cs="Times New Roman"/>
        </w:rPr>
      </w:pPr>
      <w:r>
        <w:rPr>
          <w:rFonts w:hint="eastAsia" w:ascii="Times New Roman" w:hAnsi="Times New Roman" w:eastAsia="仿宋" w:cs="Times New Roman"/>
        </w:rPr>
        <w:t>值得注意的是，</w:t>
      </w:r>
      <w:r>
        <w:rPr>
          <w:rFonts w:hint="eastAsia" w:ascii="仿宋" w:hAnsi="仿宋" w:eastAsia="仿宋"/>
        </w:rPr>
        <w:t>从正文图1可以看出，基准回归在不同时期的处理效应有所不同，这提示我们异质性处理效应的存在。由于</w:t>
      </w:r>
      <w:bookmarkStart w:id="4" w:name="_Hlk118583843"/>
      <w:r>
        <w:rPr>
          <w:rFonts w:hint="eastAsia" w:ascii="Times New Roman" w:hAnsi="Times New Roman" w:eastAsia="仿宋" w:cs="Times New Roman"/>
        </w:rPr>
        <w:t>我们的回归是一个标准的交错双重差分方法</w:t>
      </w:r>
      <w:bookmarkEnd w:id="4"/>
      <w:r>
        <w:rPr>
          <w:rFonts w:hint="eastAsia" w:ascii="Times New Roman" w:hAnsi="Times New Roman" w:eastAsia="仿宋" w:cs="Times New Roman"/>
        </w:rPr>
        <w:t>，异质性处理效应的存在可能使得入手检验我们的估计量产生偏误（G</w:t>
      </w:r>
      <w:r>
        <w:rPr>
          <w:rFonts w:ascii="Times New Roman" w:hAnsi="Times New Roman" w:eastAsia="仿宋" w:cs="Times New Roman"/>
        </w:rPr>
        <w:t>oodman-Bacon</w:t>
      </w:r>
      <w:r>
        <w:rPr>
          <w:rFonts w:hint="eastAsia" w:ascii="Times New Roman" w:hAnsi="Times New Roman" w:eastAsia="仿宋" w:cs="Times New Roman"/>
        </w:rPr>
        <w:t>，</w:t>
      </w:r>
      <w:r>
        <w:rPr>
          <w:rFonts w:ascii="Times New Roman" w:hAnsi="Times New Roman" w:eastAsia="仿宋" w:cs="Times New Roman"/>
        </w:rPr>
        <w:t>2021</w:t>
      </w:r>
      <w:r>
        <w:rPr>
          <w:rFonts w:hint="eastAsia" w:ascii="Times New Roman" w:hAnsi="Times New Roman" w:eastAsia="仿宋" w:cs="Times New Roman"/>
        </w:rPr>
        <w:t>）。</w:t>
      </w:r>
      <w:bookmarkStart w:id="5" w:name="_Hlk118583870"/>
      <w:r>
        <w:rPr>
          <w:rFonts w:hint="eastAsia" w:ascii="Times New Roman" w:hAnsi="Times New Roman" w:eastAsia="仿宋" w:cs="Times New Roman"/>
        </w:rPr>
        <w:t>G</w:t>
      </w:r>
      <w:r>
        <w:rPr>
          <w:rFonts w:ascii="Times New Roman" w:hAnsi="Times New Roman" w:eastAsia="仿宋" w:cs="Times New Roman"/>
        </w:rPr>
        <w:t>oodman-Bacon</w:t>
      </w:r>
      <w:r>
        <w:rPr>
          <w:rFonts w:hint="eastAsia" w:ascii="Times New Roman" w:hAnsi="Times New Roman" w:eastAsia="仿宋" w:cs="Times New Roman"/>
        </w:rPr>
        <w:t>（</w:t>
      </w:r>
      <w:r>
        <w:rPr>
          <w:rFonts w:ascii="Times New Roman" w:hAnsi="Times New Roman" w:eastAsia="仿宋" w:cs="Times New Roman"/>
        </w:rPr>
        <w:t>2021</w:t>
      </w:r>
      <w:r>
        <w:rPr>
          <w:rFonts w:hint="eastAsia" w:ascii="Times New Roman" w:hAnsi="Times New Roman" w:eastAsia="仿宋" w:cs="Times New Roman"/>
        </w:rPr>
        <w:t>）</w:t>
      </w:r>
      <w:bookmarkEnd w:id="5"/>
      <w:r>
        <w:rPr>
          <w:rFonts w:hint="eastAsia" w:ascii="Times New Roman" w:hAnsi="Times New Roman" w:eastAsia="仿宋" w:cs="Times New Roman"/>
        </w:rPr>
        <w:t>提出，交错双重差分方法的估计量可以分解为三组简单双重差分估计量的加权平均：</w:t>
      </w:r>
      <w:r>
        <w:rPr>
          <w:rFonts w:ascii="Times New Roman" w:hAnsi="Times New Roman" w:eastAsia="仿宋" w:cs="Times New Roman"/>
        </w:rPr>
        <w:t>（1）</w:t>
      </w:r>
      <w:r>
        <w:rPr>
          <w:rFonts w:hint="eastAsia" w:ascii="Times New Roman" w:hAnsi="Times New Roman" w:eastAsia="仿宋" w:cs="Times New Roman"/>
        </w:rPr>
        <w:t>处理组v</w:t>
      </w:r>
      <w:r>
        <w:rPr>
          <w:rFonts w:ascii="Times New Roman" w:hAnsi="Times New Roman" w:eastAsia="仿宋" w:cs="Times New Roman"/>
        </w:rPr>
        <w:t>s</w:t>
      </w:r>
      <w:r>
        <w:rPr>
          <w:rFonts w:hint="eastAsia" w:ascii="Times New Roman" w:hAnsi="Times New Roman" w:eastAsia="仿宋" w:cs="Times New Roman"/>
        </w:rPr>
        <w:t>从未处理组；（</w:t>
      </w:r>
      <w:r>
        <w:rPr>
          <w:rFonts w:ascii="Times New Roman" w:hAnsi="Times New Roman" w:eastAsia="仿宋" w:cs="Times New Roman"/>
        </w:rPr>
        <w:t>2）</w:t>
      </w:r>
      <w:r>
        <w:rPr>
          <w:rFonts w:hint="eastAsia" w:ascii="Times New Roman" w:hAnsi="Times New Roman" w:eastAsia="仿宋" w:cs="Times New Roman"/>
        </w:rPr>
        <w:t>早处理组v</w:t>
      </w:r>
      <w:r>
        <w:rPr>
          <w:rFonts w:ascii="Times New Roman" w:hAnsi="Times New Roman" w:eastAsia="仿宋" w:cs="Times New Roman"/>
        </w:rPr>
        <w:t>s</w:t>
      </w:r>
      <w:r>
        <w:rPr>
          <w:rFonts w:hint="eastAsia" w:ascii="Times New Roman" w:hAnsi="Times New Roman" w:eastAsia="仿宋" w:cs="Times New Roman"/>
        </w:rPr>
        <w:t>晚处理组；</w:t>
      </w:r>
      <w:r>
        <w:rPr>
          <w:rFonts w:ascii="Times New Roman" w:hAnsi="Times New Roman" w:eastAsia="仿宋" w:cs="Times New Roman"/>
        </w:rPr>
        <w:t>（3）</w:t>
      </w:r>
      <w:r>
        <w:rPr>
          <w:rFonts w:hint="eastAsia" w:ascii="Times New Roman" w:hAnsi="Times New Roman" w:eastAsia="仿宋" w:cs="Times New Roman"/>
        </w:rPr>
        <w:t>晚处理组v</w:t>
      </w:r>
      <w:r>
        <w:rPr>
          <w:rFonts w:ascii="Times New Roman" w:hAnsi="Times New Roman" w:eastAsia="仿宋" w:cs="Times New Roman"/>
        </w:rPr>
        <w:t>s</w:t>
      </w:r>
      <w:r>
        <w:rPr>
          <w:rFonts w:hint="eastAsia" w:ascii="Times New Roman" w:hAnsi="Times New Roman" w:eastAsia="仿宋" w:cs="Times New Roman"/>
        </w:rPr>
        <w:t>早处理组。而当异质性处理效应存在时，第</w:t>
      </w:r>
      <w:r>
        <w:rPr>
          <w:rFonts w:ascii="Times New Roman" w:hAnsi="Times New Roman" w:eastAsia="仿宋" w:cs="Times New Roman"/>
        </w:rPr>
        <w:t>（3）</w:t>
      </w:r>
      <w:r>
        <w:rPr>
          <w:rFonts w:hint="eastAsia" w:ascii="Times New Roman" w:hAnsi="Times New Roman" w:eastAsia="仿宋" w:cs="Times New Roman"/>
        </w:rPr>
        <w:t>组的对照组不是好的对照组，因为</w:t>
      </w:r>
      <w:r>
        <w:rPr>
          <w:rFonts w:ascii="Times New Roman" w:hAnsi="Times New Roman" w:eastAsia="仿宋" w:cs="Times New Roman"/>
        </w:rPr>
        <w:t>此时</w:t>
      </w:r>
      <w:r>
        <w:rPr>
          <w:rFonts w:hint="eastAsia" w:ascii="Times New Roman" w:hAnsi="Times New Roman" w:eastAsia="仿宋" w:cs="Times New Roman"/>
        </w:rPr>
        <w:t>早处理组的值已经受到了异质性处理效应的影响，从而导致整个交错双重差分估计量产生偏误。因此，我们进行了G</w:t>
      </w:r>
      <w:r>
        <w:rPr>
          <w:rFonts w:ascii="Times New Roman" w:hAnsi="Times New Roman" w:eastAsia="仿宋" w:cs="Times New Roman"/>
        </w:rPr>
        <w:t>oodman-Bacon（2021）</w:t>
      </w:r>
      <w:r>
        <w:rPr>
          <w:rFonts w:hint="eastAsia" w:ascii="Times New Roman" w:hAnsi="Times New Roman" w:eastAsia="仿宋" w:cs="Times New Roman"/>
        </w:rPr>
        <w:t>所建议的系数分解，</w:t>
      </w:r>
      <w:r>
        <w:rPr>
          <w:rFonts w:ascii="Times New Roman" w:hAnsi="Times New Roman" w:eastAsia="仿宋" w:cs="Times New Roman"/>
        </w:rPr>
        <w:t>从三组</w:t>
      </w:r>
      <w:r>
        <w:rPr>
          <w:rFonts w:hint="eastAsia" w:ascii="Times New Roman" w:hAnsi="Times New Roman" w:eastAsia="仿宋" w:cs="Times New Roman"/>
        </w:rPr>
        <w:t>双重差分估计量的权重判断可能偏误的大小。结果显示，我们的交错双重差分方法赋予第（</w:t>
      </w:r>
      <w:r>
        <w:rPr>
          <w:rFonts w:ascii="Times New Roman" w:hAnsi="Times New Roman" w:eastAsia="仿宋" w:cs="Times New Roman"/>
        </w:rPr>
        <w:t>1</w:t>
      </w:r>
      <w:r>
        <w:rPr>
          <w:rFonts w:hint="eastAsia" w:ascii="Times New Roman" w:hAnsi="Times New Roman" w:eastAsia="仿宋" w:cs="Times New Roman"/>
        </w:rPr>
        <w:t>）组的权重为0</w:t>
      </w:r>
      <w:r>
        <w:rPr>
          <w:rFonts w:ascii="Times New Roman" w:hAnsi="Times New Roman" w:eastAsia="仿宋" w:cs="Times New Roman"/>
        </w:rPr>
        <w:t>.9486</w:t>
      </w:r>
      <w:r>
        <w:rPr>
          <w:rFonts w:hint="eastAsia" w:ascii="Times New Roman" w:hAnsi="Times New Roman" w:eastAsia="仿宋" w:cs="Times New Roman"/>
        </w:rPr>
        <w:t>，赋予第（</w:t>
      </w:r>
      <w:r>
        <w:rPr>
          <w:rFonts w:ascii="Times New Roman" w:hAnsi="Times New Roman" w:eastAsia="仿宋" w:cs="Times New Roman"/>
        </w:rPr>
        <w:t>2）</w:t>
      </w:r>
      <w:r>
        <w:rPr>
          <w:rFonts w:hint="eastAsia" w:ascii="Times New Roman" w:hAnsi="Times New Roman" w:eastAsia="仿宋" w:cs="Times New Roman"/>
        </w:rPr>
        <w:t>组的权重为0</w:t>
      </w:r>
      <w:r>
        <w:rPr>
          <w:rFonts w:ascii="Times New Roman" w:hAnsi="Times New Roman" w:eastAsia="仿宋" w:cs="Times New Roman"/>
        </w:rPr>
        <w:t>.0384</w:t>
      </w:r>
      <w:r>
        <w:rPr>
          <w:rFonts w:hint="eastAsia" w:ascii="Times New Roman" w:hAnsi="Times New Roman" w:eastAsia="仿宋" w:cs="Times New Roman"/>
        </w:rPr>
        <w:t>，赋予第（</w:t>
      </w:r>
      <w:r>
        <w:rPr>
          <w:rFonts w:ascii="Times New Roman" w:hAnsi="Times New Roman" w:eastAsia="仿宋" w:cs="Times New Roman"/>
        </w:rPr>
        <w:t>3）</w:t>
      </w:r>
      <w:r>
        <w:rPr>
          <w:rFonts w:hint="eastAsia" w:ascii="Times New Roman" w:hAnsi="Times New Roman" w:eastAsia="仿宋" w:cs="Times New Roman"/>
        </w:rPr>
        <w:t>组的权重为0</w:t>
      </w:r>
      <w:r>
        <w:rPr>
          <w:rFonts w:ascii="Times New Roman" w:hAnsi="Times New Roman" w:eastAsia="仿宋" w:cs="Times New Roman"/>
        </w:rPr>
        <w:t>.0130</w:t>
      </w:r>
      <w:r>
        <w:rPr>
          <w:rFonts w:hint="eastAsia" w:ascii="Times New Roman" w:hAnsi="Times New Roman" w:eastAsia="仿宋" w:cs="Times New Roman"/>
        </w:rPr>
        <w:t>。由于可能存在问题的第（</w:t>
      </w:r>
      <w:r>
        <w:rPr>
          <w:rFonts w:ascii="Times New Roman" w:hAnsi="Times New Roman" w:eastAsia="仿宋" w:cs="Times New Roman"/>
        </w:rPr>
        <w:t>3）</w:t>
      </w:r>
      <w:r>
        <w:rPr>
          <w:rFonts w:hint="eastAsia" w:ascii="Times New Roman" w:hAnsi="Times New Roman" w:eastAsia="仿宋" w:cs="Times New Roman"/>
        </w:rPr>
        <w:t>组简单双重差分估计量在交错双重差分估计量中所占的权重极低（0</w:t>
      </w:r>
      <w:r>
        <w:rPr>
          <w:rFonts w:ascii="Times New Roman" w:hAnsi="Times New Roman" w:eastAsia="仿宋" w:cs="Times New Roman"/>
        </w:rPr>
        <w:t>.0130</w:t>
      </w:r>
      <w:r>
        <w:rPr>
          <w:rFonts w:hint="eastAsia" w:ascii="Times New Roman" w:hAnsi="Times New Roman" w:eastAsia="仿宋" w:cs="Times New Roman"/>
        </w:rPr>
        <w:t>），我们的交错双重差分估计量受到的影响不大，存在的偏误事实上非常小，总体依旧可信。我们认为，呈现这一结果的</w:t>
      </w:r>
      <w:r>
        <w:rPr>
          <w:rFonts w:ascii="Times New Roman" w:hAnsi="Times New Roman" w:eastAsia="仿宋" w:cs="Times New Roman"/>
        </w:rPr>
        <w:t>主要</w:t>
      </w:r>
      <w:r>
        <w:rPr>
          <w:rFonts w:hint="eastAsia" w:ascii="Times New Roman" w:hAnsi="Times New Roman" w:eastAsia="仿宋" w:cs="Times New Roman"/>
        </w:rPr>
        <w:t>原因是我们样本中一直没有电厂的县所占比例较高，因此交错双重差分估计量主要由有电厂的县和没有电厂的县的简单双重差分估计量（即权重高达0</w:t>
      </w:r>
      <w:r>
        <w:rPr>
          <w:rFonts w:ascii="Times New Roman" w:hAnsi="Times New Roman" w:eastAsia="仿宋" w:cs="Times New Roman"/>
        </w:rPr>
        <w:t>.9486</w:t>
      </w:r>
      <w:r>
        <w:rPr>
          <w:rFonts w:hint="eastAsia" w:ascii="Times New Roman" w:hAnsi="Times New Roman" w:eastAsia="仿宋" w:cs="Times New Roman"/>
        </w:rPr>
        <w:t>的第1组）所驱动。</w:t>
      </w:r>
    </w:p>
    <w:p>
      <w:pPr>
        <w:ind w:firstLine="420"/>
        <w:rPr>
          <w:rFonts w:hint="eastAsia" w:ascii="Times New Roman" w:hAnsi="Times New Roman" w:eastAsia="仿宋" w:cs="Times New Roman"/>
        </w:rPr>
      </w:pPr>
    </w:p>
    <w:p>
      <w:pPr>
        <w:ind w:firstLine="420"/>
        <w:rPr>
          <w:rFonts w:hint="eastAsia" w:ascii="Times New Roman" w:hAnsi="Times New Roman" w:eastAsia="仿宋" w:cs="Times New Roman"/>
        </w:rPr>
      </w:pPr>
    </w:p>
    <w:p>
      <w:pPr>
        <w:ind w:firstLine="420"/>
        <w:rPr>
          <w:rFonts w:hint="eastAsia" w:ascii="Times New Roman" w:hAnsi="Times New Roman" w:eastAsia="仿宋" w:cs="Times New Roman"/>
        </w:rPr>
      </w:pPr>
    </w:p>
    <w:p>
      <w:pPr>
        <w:ind w:firstLine="420"/>
        <w:rPr>
          <w:rFonts w:hint="eastAsia" w:ascii="Times New Roman" w:hAnsi="Times New Roman" w:eastAsia="仿宋" w:cs="Times New Roman"/>
        </w:rPr>
      </w:pPr>
      <w:bookmarkStart w:id="6" w:name="_GoBack"/>
      <w:bookmarkEnd w:id="6"/>
    </w:p>
    <w:p>
      <w:pPr>
        <w:ind w:firstLine="420"/>
        <w:rPr>
          <w:rFonts w:hint="eastAsia" w:ascii="Times New Roman" w:hAnsi="Times New Roman" w:eastAsia="仿宋" w:cs="Times New Roman"/>
        </w:rPr>
      </w:pPr>
    </w:p>
    <w:p>
      <w:pPr>
        <w:ind w:firstLine="420"/>
        <w:rPr>
          <w:rFonts w:hint="eastAsia" w:ascii="Times New Roman" w:hAnsi="Times New Roman" w:eastAsia="仿宋" w:cs="Times New Roman"/>
        </w:rPr>
      </w:pPr>
    </w:p>
    <w:p>
      <w:pPr>
        <w:ind w:firstLine="420"/>
        <w:rPr>
          <w:rFonts w:hint="eastAsia" w:ascii="Times New Roman" w:hAnsi="Times New Roman" w:eastAsia="仿宋" w:cs="Times New Roman"/>
        </w:rPr>
      </w:pPr>
    </w:p>
    <w:p>
      <w:pPr>
        <w:ind w:firstLine="420"/>
        <w:rPr>
          <w:rFonts w:hint="eastAsia" w:ascii="Times New Roman" w:hAnsi="Times New Roman" w:eastAsia="仿宋" w:cs="Times New Roman"/>
        </w:rPr>
      </w:pPr>
    </w:p>
    <w:p>
      <w:pPr>
        <w:rPr>
          <w:rFonts w:hint="eastAsia" w:ascii="宋体" w:hAnsi="宋体" w:eastAsia="宋体" w:cs="宋体"/>
          <w:b/>
          <w:bCs/>
          <w:sz w:val="21"/>
          <w:szCs w:val="18"/>
        </w:rPr>
      </w:pPr>
      <w:r>
        <w:rPr>
          <w:rFonts w:hint="eastAsia" w:ascii="宋体" w:hAnsi="宋体" w:eastAsia="宋体" w:cs="宋体"/>
          <w:b/>
          <w:sz w:val="21"/>
          <w:szCs w:val="20"/>
        </w:rPr>
        <w:t>注：该附录是期刊所发表论文的组成部分，同样视为作者公开发表的内容。如研究中使用该附录中的内容，</w:t>
      </w:r>
      <w:r>
        <w:rPr>
          <w:rFonts w:hint="eastAsia" w:ascii="宋体" w:hAnsi="宋体" w:eastAsia="宋体" w:cs="宋体"/>
          <w:b/>
          <w:bCs/>
          <w:sz w:val="21"/>
          <w:szCs w:val="18"/>
        </w:rPr>
        <w:t>请务必在研究成果上注明附录下载出处</w:t>
      </w:r>
      <w:r>
        <w:rPr>
          <w:rFonts w:hint="eastAsia" w:ascii="宋体" w:hAnsi="宋体" w:eastAsia="宋体" w:cs="宋体"/>
          <w:sz w:val="21"/>
          <w:szCs w:val="18"/>
        </w:rPr>
        <w:t>。</w:t>
      </w:r>
    </w:p>
    <w:p>
      <w:pPr>
        <w:ind w:firstLine="420"/>
        <w:rPr>
          <w:rFonts w:hint="eastAsia" w:ascii="Times New Roman" w:hAnsi="Times New Roman" w:eastAsia="仿宋" w:cs="Times New Roman"/>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仿宋" w:hAnsi="仿宋" w:eastAsia="仿宋" w:cs="仿宋"/>
        <w:lang w:val="en-US" w:eastAsia="zh-CN"/>
      </w:rPr>
    </w:pPr>
    <w:r>
      <w:rPr>
        <w:rFonts w:hint="eastAsia" w:ascii="仿宋" w:hAnsi="仿宋" w:eastAsia="仿宋" w:cs="仿宋"/>
        <w:lang w:eastAsia="zh-CN"/>
      </w:rPr>
      <w:t>《</w:t>
    </w:r>
    <w:r>
      <w:rPr>
        <w:rFonts w:hint="eastAsia" w:ascii="仿宋" w:hAnsi="仿宋" w:eastAsia="仿宋" w:cs="仿宋"/>
        <w:lang w:val="en-US" w:eastAsia="zh-CN"/>
      </w:rPr>
      <w:t>经济学</w:t>
    </w:r>
    <w:r>
      <w:rPr>
        <w:rFonts w:hint="eastAsia" w:ascii="仿宋" w:hAnsi="仿宋" w:eastAsia="仿宋" w:cs="仿宋"/>
        <w:lang w:eastAsia="zh-CN"/>
      </w:rPr>
      <w:t>》（</w:t>
    </w:r>
    <w:r>
      <w:rPr>
        <w:rFonts w:hint="eastAsia" w:ascii="仿宋" w:hAnsi="仿宋" w:eastAsia="仿宋" w:cs="仿宋"/>
        <w:lang w:val="en-US" w:eastAsia="zh-CN"/>
      </w:rPr>
      <w:t>季刊</w:t>
    </w:r>
    <w:r>
      <w:rPr>
        <w:rFonts w:hint="eastAsia" w:ascii="仿宋" w:hAnsi="仿宋" w:eastAsia="仿宋" w:cs="仿宋"/>
        <w:lang w:eastAsia="zh-CN"/>
      </w:rPr>
      <w:t>）</w:t>
    </w:r>
    <w:r>
      <w:rPr>
        <w:rFonts w:hint="eastAsia" w:ascii="仿宋" w:hAnsi="仿宋" w:eastAsia="仿宋" w:cs="仿宋"/>
        <w:lang w:val="en-US" w:eastAsia="zh-CN"/>
      </w:rPr>
      <w:t xml:space="preserve">                                                             2024年第1期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AxNWZhMmRiMTY5YWI4NjAwOTAyNmUyMjJkNDE2NTcifQ=="/>
  </w:docVars>
  <w:rsids>
    <w:rsidRoot w:val="002C50F5"/>
    <w:rsid w:val="00015651"/>
    <w:rsid w:val="002C50F5"/>
    <w:rsid w:val="00320537"/>
    <w:rsid w:val="003C4A42"/>
    <w:rsid w:val="003D1179"/>
    <w:rsid w:val="00511E4B"/>
    <w:rsid w:val="005C0949"/>
    <w:rsid w:val="005F2CDF"/>
    <w:rsid w:val="00846CE6"/>
    <w:rsid w:val="009C7300"/>
    <w:rsid w:val="00BF74B6"/>
    <w:rsid w:val="00D64193"/>
    <w:rsid w:val="00F22BBF"/>
    <w:rsid w:val="00F51D56"/>
    <w:rsid w:val="04BC7E25"/>
    <w:rsid w:val="0C555F19"/>
    <w:rsid w:val="1E7554E1"/>
    <w:rsid w:val="3246182B"/>
    <w:rsid w:val="44103FAA"/>
    <w:rsid w:val="49135467"/>
    <w:rsid w:val="51CD54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unhideWhenUsed/>
    <w:uiPriority w:val="39"/>
  </w:style>
  <w:style w:type="character" w:styleId="8">
    <w:name w:val="Hyperlink"/>
    <w:basedOn w:val="7"/>
    <w:unhideWhenUsed/>
    <w:uiPriority w:val="99"/>
    <w:rPr>
      <w:color w:val="0563C1" w:themeColor="hyperlink"/>
      <w:u w:val="single"/>
      <w14:textFill>
        <w14:solidFill>
          <w14:schemeClr w14:val="hlink"/>
        </w14:solidFill>
      </w14:textFill>
    </w:rPr>
  </w:style>
  <w:style w:type="paragraph" w:styleId="9">
    <w:name w:val="List Paragraph"/>
    <w:basedOn w:val="1"/>
    <w:qFormat/>
    <w:uiPriority w:val="34"/>
    <w:pPr>
      <w:ind w:firstLine="420" w:firstLineChars="200"/>
    </w:pPr>
  </w:style>
  <w:style w:type="character" w:customStyle="1" w:styleId="10">
    <w:name w:val="页眉 字符"/>
    <w:basedOn w:val="7"/>
    <w:link w:val="4"/>
    <w:uiPriority w:val="99"/>
    <w:rPr>
      <w:sz w:val="18"/>
      <w:szCs w:val="18"/>
    </w:rPr>
  </w:style>
  <w:style w:type="character" w:customStyle="1" w:styleId="11">
    <w:name w:val="页脚 字符"/>
    <w:basedOn w:val="7"/>
    <w:link w:val="3"/>
    <w:uiPriority w:val="99"/>
    <w:rPr>
      <w:sz w:val="18"/>
      <w:szCs w:val="18"/>
    </w:rPr>
  </w:style>
  <w:style w:type="character" w:customStyle="1" w:styleId="12">
    <w:name w:val="标题 1 字符"/>
    <w:basedOn w:val="7"/>
    <w:link w:val="2"/>
    <w:uiPriority w:val="9"/>
    <w:rPr>
      <w:b/>
      <w:bCs/>
      <w:kern w:val="44"/>
      <w:sz w:val="44"/>
      <w:szCs w:val="44"/>
    </w:rPr>
  </w:style>
  <w:style w:type="paragraph" w:customStyle="1" w:styleId="13">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550BB4-49AC-46E8-B382-BBFF9F8EECC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470</Words>
  <Characters>2681</Characters>
  <Lines>22</Lines>
  <Paragraphs>6</Paragraphs>
  <TotalTime>0</TotalTime>
  <ScaleCrop>false</ScaleCrop>
  <LinksUpToDate>false</LinksUpToDate>
  <CharactersWithSpaces>3145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2024-01-06T16:06:00Z</dcterms:created>
  <dc:creator>Shiyu Bo</dc:creator>
  <cp:lastModifiedBy>刘京</cp:lastModifiedBy>
  <dcterms:modified xsi:type="dcterms:W3CDTF">2024-01-09T00:45:20Z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2CCB8843BAC44D2DA39AC51C8878A5BC_12</vt:lpwstr>
  </property>
</Properties>
</file>