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F57C" w14:textId="1153B5D4" w:rsidR="00C63CFE" w:rsidRDefault="00715E45" w:rsidP="00CA12D6">
      <w:pPr>
        <w:pStyle w:val="a3"/>
        <w:spacing w:before="312" w:after="312"/>
      </w:pPr>
      <w:r>
        <w:fldChar w:fldCharType="begin"/>
      </w:r>
      <w:r w:rsidR="003F2AC4">
        <w:instrText xml:space="preserve"> MACROBUTTON MTEditEquationSection2 </w:instrText>
      </w:r>
      <w:r w:rsidR="003F2AC4" w:rsidRPr="003F2AC4">
        <w:rPr>
          <w:rStyle w:val="MTEquationSection"/>
        </w:rPr>
        <w:instrText>Equation Chapter 1 Section 1</w:instrText>
      </w:r>
      <w:r>
        <w:fldChar w:fldCharType="begin"/>
      </w:r>
      <w:r w:rsidR="003F2AC4">
        <w:instrText xml:space="preserve"> SEQ MTEqn \r \h \* MERGEFORMAT </w:instrText>
      </w:r>
      <w:r>
        <w:fldChar w:fldCharType="end"/>
      </w:r>
      <w:r>
        <w:fldChar w:fldCharType="begin"/>
      </w:r>
      <w:r w:rsidR="003F2AC4">
        <w:instrText xml:space="preserve"> SEQ MTSec \r 1 \h \* MERGEFORMAT </w:instrText>
      </w:r>
      <w:r>
        <w:fldChar w:fldCharType="end"/>
      </w:r>
      <w:r>
        <w:fldChar w:fldCharType="begin"/>
      </w:r>
      <w:r w:rsidR="003F2AC4">
        <w:instrText xml:space="preserve"> SEQ MTChap \r 1 \h \* MERGEFORMAT </w:instrText>
      </w:r>
      <w:r>
        <w:fldChar w:fldCharType="end"/>
      </w:r>
      <w:r>
        <w:fldChar w:fldCharType="end"/>
      </w:r>
      <w:r w:rsidR="00516B5C">
        <w:rPr>
          <w:rFonts w:hint="eastAsia"/>
        </w:rPr>
        <w:t>《</w:t>
      </w:r>
      <w:r w:rsidR="002E5D11" w:rsidRPr="002E5D11">
        <w:rPr>
          <w:rFonts w:hint="eastAsia"/>
        </w:rPr>
        <w:t>投资研究：从理论到实践</w:t>
      </w:r>
      <w:r w:rsidR="00516B5C">
        <w:rPr>
          <w:rFonts w:hint="eastAsia"/>
        </w:rPr>
        <w:t>》课程</w:t>
      </w:r>
      <w:r w:rsidR="007766C0">
        <w:rPr>
          <w:rFonts w:hint="eastAsia"/>
        </w:rPr>
        <w:t>大纲</w:t>
      </w:r>
    </w:p>
    <w:p w14:paraId="41439952" w14:textId="589AE385" w:rsidR="00C63CFE" w:rsidRPr="00C63CFE" w:rsidRDefault="00C63CFE" w:rsidP="00516B5C">
      <w:pPr>
        <w:spacing w:before="156" w:after="156"/>
        <w:jc w:val="center"/>
      </w:pPr>
      <w:r>
        <w:rPr>
          <w:rFonts w:hint="eastAsia"/>
        </w:rPr>
        <w:t>（</w:t>
      </w:r>
      <w:r>
        <w:rPr>
          <w:rFonts w:hint="eastAsia"/>
        </w:rPr>
        <w:t>20</w:t>
      </w:r>
      <w:r w:rsidR="002E5D11">
        <w:t>2</w:t>
      </w:r>
      <w:r w:rsidR="001F6F60">
        <w:t>1</w:t>
      </w:r>
      <w:r>
        <w:rPr>
          <w:rFonts w:hint="eastAsia"/>
        </w:rPr>
        <w:t>年</w:t>
      </w:r>
      <w:r w:rsidR="001F6F60">
        <w:rPr>
          <w:rFonts w:hint="eastAsia"/>
        </w:rPr>
        <w:t>秋</w:t>
      </w:r>
      <w:r>
        <w:rPr>
          <w:rFonts w:hint="eastAsia"/>
        </w:rPr>
        <w:t>季学期）</w:t>
      </w:r>
    </w:p>
    <w:p w14:paraId="595DC19E" w14:textId="77777777" w:rsidR="00C63CFE" w:rsidRDefault="00C65EB6" w:rsidP="00CA12D6">
      <w:pPr>
        <w:pStyle w:val="3"/>
        <w:spacing w:before="312" w:after="156"/>
      </w:pPr>
      <w:r>
        <w:rPr>
          <w:rFonts w:hint="eastAsia"/>
        </w:rPr>
        <w:t>教学目标</w:t>
      </w:r>
    </w:p>
    <w:p w14:paraId="7CD9BAA3" w14:textId="0DE007CD" w:rsidR="00C65EB6" w:rsidRDefault="00516B5C" w:rsidP="00CA12D6">
      <w:pPr>
        <w:spacing w:before="156" w:after="156"/>
      </w:pPr>
      <w:r>
        <w:rPr>
          <w:rFonts w:hint="eastAsia"/>
        </w:rPr>
        <w:tab/>
      </w:r>
      <w:r w:rsidR="00AB7F3F">
        <w:rPr>
          <w:rFonts w:hint="eastAsia"/>
        </w:rPr>
        <w:t>《</w:t>
      </w:r>
      <w:r w:rsidR="002E5D11" w:rsidRPr="002E5D11">
        <w:rPr>
          <w:rFonts w:hint="eastAsia"/>
        </w:rPr>
        <w:t>投资研究：从理论到实践</w:t>
      </w:r>
      <w:r w:rsidR="00AB7F3F">
        <w:rPr>
          <w:rFonts w:hint="eastAsia"/>
        </w:rPr>
        <w:t>》是一门面向研究生的课程。</w:t>
      </w:r>
      <w:r w:rsidR="002E5D11" w:rsidRPr="002E5D11">
        <w:rPr>
          <w:rFonts w:hint="eastAsia"/>
        </w:rPr>
        <w:t>本课程意在将经济学与金融学理论应用到现实世界中，展现在真实的市场环境中进行</w:t>
      </w:r>
      <w:r w:rsidR="001F6F60">
        <w:rPr>
          <w:rFonts w:hint="eastAsia"/>
        </w:rPr>
        <w:t>证券</w:t>
      </w:r>
      <w:r w:rsidR="002E5D11" w:rsidRPr="002E5D11">
        <w:rPr>
          <w:rFonts w:hint="eastAsia"/>
        </w:rPr>
        <w:t>投资分析的方法。通过课程的学习，同学们将能</w:t>
      </w:r>
      <w:r w:rsidR="003A754F">
        <w:rPr>
          <w:rFonts w:hint="eastAsia"/>
        </w:rPr>
        <w:t>看到</w:t>
      </w:r>
      <w:r w:rsidR="002E5D11" w:rsidRPr="002E5D11">
        <w:rPr>
          <w:rFonts w:hint="eastAsia"/>
        </w:rPr>
        <w:t>抽象理论与真实世界的联系，建立运用经济金融理论来分析金融市场的能力，了解投资分析的理念和方法，培养在真实市场中的投资能力。</w:t>
      </w:r>
    </w:p>
    <w:p w14:paraId="47DA032A" w14:textId="77777777" w:rsidR="003523DF" w:rsidRDefault="003523DF" w:rsidP="003523DF">
      <w:pPr>
        <w:pStyle w:val="3"/>
        <w:spacing w:before="312" w:after="156"/>
      </w:pPr>
      <w:r>
        <w:rPr>
          <w:rFonts w:hint="eastAsia"/>
        </w:rPr>
        <w:t>教学内容</w:t>
      </w:r>
    </w:p>
    <w:p w14:paraId="3CBFD1B3" w14:textId="3BCF7315" w:rsidR="00DF18E6" w:rsidRDefault="003523DF" w:rsidP="003523DF">
      <w:pPr>
        <w:spacing w:before="156" w:after="156"/>
        <w:ind w:firstLine="420"/>
      </w:pPr>
      <w:r>
        <w:rPr>
          <w:rFonts w:hint="eastAsia"/>
        </w:rPr>
        <w:t>2</w:t>
      </w:r>
      <w:r>
        <w:t>0</w:t>
      </w:r>
      <w:r w:rsidR="00E26973">
        <w:t>2</w:t>
      </w:r>
      <w:r w:rsidR="001F6F60">
        <w:t>1</w:t>
      </w:r>
      <w:r w:rsidR="001F6F60">
        <w:rPr>
          <w:rFonts w:hint="eastAsia"/>
        </w:rPr>
        <w:t>年秋</w:t>
      </w:r>
      <w:r>
        <w:rPr>
          <w:rFonts w:hint="eastAsia"/>
        </w:rPr>
        <w:t>季学期的课程将会把重点</w:t>
      </w:r>
      <w:r w:rsidR="001F6F60">
        <w:rPr>
          <w:rFonts w:hint="eastAsia"/>
        </w:rPr>
        <w:t>放在</w:t>
      </w:r>
      <w:r w:rsidR="00E26973">
        <w:rPr>
          <w:rFonts w:hint="eastAsia"/>
        </w:rPr>
        <w:t>对</w:t>
      </w:r>
      <w:r w:rsidR="00641B35">
        <w:rPr>
          <w:rFonts w:hint="eastAsia"/>
        </w:rPr>
        <w:t>我国</w:t>
      </w:r>
      <w:r w:rsidR="00E26973">
        <w:rPr>
          <w:rFonts w:hint="eastAsia"/>
        </w:rPr>
        <w:t>金融市场中资产价格的分析上</w:t>
      </w:r>
      <w:r>
        <w:rPr>
          <w:rFonts w:hint="eastAsia"/>
        </w:rPr>
        <w:t>，探讨</w:t>
      </w:r>
      <w:r w:rsidR="00DF18E6">
        <w:rPr>
          <w:rFonts w:hint="eastAsia"/>
        </w:rPr>
        <w:t>证券投资研究的理念，各类</w:t>
      </w:r>
      <w:r w:rsidR="00E26973">
        <w:rPr>
          <w:rFonts w:hint="eastAsia"/>
        </w:rPr>
        <w:t>资产价格的驱动因素和分析逻辑，</w:t>
      </w:r>
      <w:r w:rsidR="003A754F">
        <w:rPr>
          <w:rFonts w:hint="eastAsia"/>
        </w:rPr>
        <w:t>并</w:t>
      </w:r>
      <w:r w:rsidR="00E26973">
        <w:rPr>
          <w:rFonts w:hint="eastAsia"/>
        </w:rPr>
        <w:t>讲授从大类资产配置、到行业和风格比较、再到投资标筛选的系统投资分析方法。</w:t>
      </w:r>
    </w:p>
    <w:p w14:paraId="11B83728" w14:textId="6540933C" w:rsidR="00E26973" w:rsidRDefault="00DF18E6" w:rsidP="003523DF">
      <w:pPr>
        <w:spacing w:before="156" w:after="156"/>
        <w:ind w:firstLine="420"/>
      </w:pPr>
      <w:r>
        <w:rPr>
          <w:rFonts w:hint="eastAsia"/>
        </w:rPr>
        <w:t>课程授课时将包含三方面内容。其一是授课教师对投资研究理念、理论和实践的讲授；其二是授课教师对当前金融市场最新变化的分析；其三是选课同学对选定研究课题的研究汇报。课程希望通过这样的形式让</w:t>
      </w:r>
      <w:r w:rsidR="00E26973">
        <w:rPr>
          <w:rFonts w:hint="eastAsia"/>
        </w:rPr>
        <w:t>同学们把握真实世界</w:t>
      </w:r>
      <w:r w:rsidR="00641B35">
        <w:rPr>
          <w:rFonts w:hint="eastAsia"/>
        </w:rPr>
        <w:t>金融市场运动的脉络，并能够对现实投资问题</w:t>
      </w:r>
      <w:r w:rsidR="003A754F">
        <w:rPr>
          <w:rFonts w:hint="eastAsia"/>
        </w:rPr>
        <w:t>做出</w:t>
      </w:r>
      <w:r w:rsidR="00641B35">
        <w:rPr>
          <w:rFonts w:hint="eastAsia"/>
        </w:rPr>
        <w:t>自己的解答。</w:t>
      </w:r>
    </w:p>
    <w:p w14:paraId="6328A54A" w14:textId="77777777" w:rsidR="003523DF" w:rsidRDefault="003523DF" w:rsidP="003523DF">
      <w:pPr>
        <w:spacing w:before="156" w:after="156"/>
        <w:ind w:firstLine="420"/>
      </w:pPr>
      <w:r>
        <w:rPr>
          <w:rFonts w:hint="eastAsia"/>
        </w:rPr>
        <w:t>本学期课程教学将大致涵盖以下内容：</w:t>
      </w:r>
    </w:p>
    <w:p w14:paraId="2959E4B8" w14:textId="77777777" w:rsidR="003523DF" w:rsidRDefault="003523D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不同出发点的研究方法论的异同比较：纯学术经济研究、服务于政策制定的经济研究、面向金融市场投资实务的经济研究。</w:t>
      </w:r>
    </w:p>
    <w:p w14:paraId="78A842B4" w14:textId="77777777" w:rsidR="00641B35" w:rsidRDefault="00641B35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投资研究的理念，金融理论与金融艺术的对比与结合。</w:t>
      </w:r>
    </w:p>
    <w:p w14:paraId="6A13E7C1" w14:textId="76C23E8B" w:rsidR="003523DF" w:rsidRDefault="003523D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以对市场经济“最优”的偏离为线索，分析中国实体经济的结构失衡</w:t>
      </w:r>
      <w:r w:rsidR="001F6F60">
        <w:rPr>
          <w:rFonts w:hint="eastAsia"/>
        </w:rPr>
        <w:t>，进而分析经济结构对大类资产价格的影响。</w:t>
      </w:r>
    </w:p>
    <w:p w14:paraId="18AEB467" w14:textId="1DDD8692" w:rsidR="003523DF" w:rsidRDefault="003523D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以对货币政策传导路径的分析为线索，分析中国金融市场“乱象”的形成</w:t>
      </w:r>
      <w:r w:rsidR="001F6F60">
        <w:rPr>
          <w:rFonts w:hint="eastAsia"/>
        </w:rPr>
        <w:t>，进而分析货币政策、金融市场监管政策对各类资产价格的影响。</w:t>
      </w:r>
    </w:p>
    <w:p w14:paraId="014B8C5E" w14:textId="77777777" w:rsidR="003523DF" w:rsidRDefault="003523D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中国金融市场资产回报率的分析：历史表现分析、驱动因素挖掘与未来走势预测</w:t>
      </w:r>
    </w:p>
    <w:p w14:paraId="4A54A76C" w14:textId="77777777" w:rsidR="003523DF" w:rsidRDefault="003523D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中国金融市场投资实务分析：自上而下的经济政策预判、大类资产配置、行业选择、具体投资标的筛选。</w:t>
      </w:r>
    </w:p>
    <w:p w14:paraId="2CA7B9B2" w14:textId="77777777" w:rsidR="003A754F" w:rsidRDefault="003A754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对正在发生的中国金融市场中的热点问题的分析。</w:t>
      </w:r>
    </w:p>
    <w:p w14:paraId="398BB057" w14:textId="565EB59D" w:rsidR="003523DF" w:rsidRDefault="003523DF" w:rsidP="003523DF">
      <w:pPr>
        <w:spacing w:before="156" w:after="156"/>
      </w:pPr>
      <w:r>
        <w:rPr>
          <w:rFonts w:hint="eastAsia"/>
        </w:rPr>
        <w:tab/>
      </w:r>
      <w:r>
        <w:rPr>
          <w:rFonts w:hint="eastAsia"/>
        </w:rPr>
        <w:t>依照课堂情况，实际教学内容可能会与以上计划有所不同。主讲人保留修改教学计划的权力。</w:t>
      </w:r>
    </w:p>
    <w:p w14:paraId="3EF8C8CE" w14:textId="77777777" w:rsidR="007B6600" w:rsidRDefault="007B6600" w:rsidP="007B6600">
      <w:pPr>
        <w:pStyle w:val="3"/>
        <w:spacing w:before="312" w:after="156"/>
      </w:pPr>
      <w:r>
        <w:rPr>
          <w:rFonts w:hint="eastAsia"/>
        </w:rPr>
        <w:lastRenderedPageBreak/>
        <w:t>教材及参考资料</w:t>
      </w:r>
    </w:p>
    <w:p w14:paraId="693C6073" w14:textId="77777777" w:rsidR="007B6600" w:rsidRDefault="007B6600" w:rsidP="007B6600">
      <w:pPr>
        <w:spacing w:before="156" w:after="156"/>
      </w:pPr>
      <w:r>
        <w:rPr>
          <w:rFonts w:hint="eastAsia"/>
        </w:rPr>
        <w:tab/>
      </w:r>
      <w:r>
        <w:rPr>
          <w:rFonts w:hint="eastAsia"/>
        </w:rPr>
        <w:t>本课程没有指定的教科书。课程参考资料包括以下两本书，以及课堂上指定的阅读文献。</w:t>
      </w:r>
    </w:p>
    <w:p w14:paraId="4C4CFEE8" w14:textId="77777777" w:rsidR="00E26973" w:rsidRDefault="00E26973" w:rsidP="00E26973">
      <w:pPr>
        <w:pStyle w:val="a5"/>
        <w:numPr>
          <w:ilvl w:val="0"/>
          <w:numId w:val="10"/>
        </w:numPr>
        <w:spacing w:before="156" w:after="156"/>
        <w:ind w:firstLineChars="0"/>
      </w:pPr>
      <w:r>
        <w:rPr>
          <w:rFonts w:hint="eastAsia"/>
        </w:rPr>
        <w:t>徐高，《宏观经济学二十五讲：中国视角》，中国人民大学出版社，</w:t>
      </w:r>
      <w:r>
        <w:rPr>
          <w:rFonts w:hint="eastAsia"/>
        </w:rPr>
        <w:t>2019</w:t>
      </w:r>
      <w:r>
        <w:rPr>
          <w:rFonts w:hint="eastAsia"/>
        </w:rPr>
        <w:t>年。</w:t>
      </w:r>
    </w:p>
    <w:p w14:paraId="40DBF009" w14:textId="77777777" w:rsidR="00E26973" w:rsidRDefault="00E26973" w:rsidP="00E26973">
      <w:pPr>
        <w:pStyle w:val="a5"/>
        <w:numPr>
          <w:ilvl w:val="0"/>
          <w:numId w:val="10"/>
        </w:numPr>
        <w:spacing w:before="156" w:after="156"/>
        <w:ind w:firstLineChars="0"/>
      </w:pPr>
      <w:r>
        <w:rPr>
          <w:rFonts w:hint="eastAsia"/>
        </w:rPr>
        <w:t>徐高，《金融经济学二十五讲》，中国人民大学出版社，</w:t>
      </w:r>
      <w:r>
        <w:rPr>
          <w:rFonts w:hint="eastAsia"/>
        </w:rPr>
        <w:t>2018</w:t>
      </w:r>
      <w:r>
        <w:rPr>
          <w:rFonts w:hint="eastAsia"/>
        </w:rPr>
        <w:t>年。</w:t>
      </w:r>
    </w:p>
    <w:p w14:paraId="5094565F" w14:textId="77777777" w:rsidR="00E26973" w:rsidRDefault="00E26973" w:rsidP="00E26973">
      <w:pPr>
        <w:pStyle w:val="a5"/>
        <w:numPr>
          <w:ilvl w:val="0"/>
          <w:numId w:val="10"/>
        </w:numPr>
        <w:spacing w:before="156" w:after="156"/>
        <w:ind w:firstLineChars="0"/>
      </w:pPr>
      <w:proofErr w:type="spellStart"/>
      <w:r>
        <w:t>Ilmanen</w:t>
      </w:r>
      <w:proofErr w:type="spellEnd"/>
      <w:r>
        <w:t>, Antti., 2011, “Expected Returns: An Investor’s Guide to Harvesting Market Rewards”, Wiley.</w:t>
      </w:r>
    </w:p>
    <w:p w14:paraId="65C250D4" w14:textId="77777777" w:rsidR="00E26973" w:rsidRDefault="00E26973" w:rsidP="00E26973">
      <w:pPr>
        <w:pStyle w:val="a5"/>
        <w:numPr>
          <w:ilvl w:val="0"/>
          <w:numId w:val="10"/>
        </w:numPr>
        <w:spacing w:before="156" w:after="156"/>
        <w:ind w:firstLineChars="0"/>
      </w:pPr>
      <w:r>
        <w:rPr>
          <w:rFonts w:hint="eastAsia"/>
        </w:rPr>
        <w:t>马克斯，《投资最重要的事》，中信出版社，</w:t>
      </w:r>
      <w:r>
        <w:rPr>
          <w:rFonts w:hint="eastAsia"/>
        </w:rPr>
        <w:t>2012</w:t>
      </w:r>
      <w:r>
        <w:rPr>
          <w:rFonts w:hint="eastAsia"/>
        </w:rPr>
        <w:t>年。</w:t>
      </w:r>
    </w:p>
    <w:p w14:paraId="6AA3B871" w14:textId="77777777" w:rsidR="003523DF" w:rsidRPr="007B6600" w:rsidRDefault="00E26973" w:rsidP="00E26973">
      <w:pPr>
        <w:pStyle w:val="a5"/>
        <w:numPr>
          <w:ilvl w:val="0"/>
          <w:numId w:val="10"/>
        </w:numPr>
        <w:spacing w:before="156" w:after="156"/>
        <w:ind w:firstLineChars="0"/>
      </w:pPr>
      <w:r>
        <w:rPr>
          <w:rFonts w:hint="eastAsia"/>
        </w:rPr>
        <w:t>穆恩，《哈佛最受欢迎的营销课》，中信出版社，</w:t>
      </w:r>
      <w:r>
        <w:rPr>
          <w:rFonts w:hint="eastAsia"/>
        </w:rPr>
        <w:t>2012</w:t>
      </w:r>
      <w:r>
        <w:rPr>
          <w:rFonts w:hint="eastAsia"/>
        </w:rPr>
        <w:t>年。</w:t>
      </w:r>
    </w:p>
    <w:p w14:paraId="25E7C8AE" w14:textId="77777777" w:rsidR="00AB7F3F" w:rsidRDefault="00C65EB6" w:rsidP="00C65EB6">
      <w:pPr>
        <w:pStyle w:val="3"/>
        <w:spacing w:before="312" w:after="156"/>
      </w:pPr>
      <w:r>
        <w:rPr>
          <w:rFonts w:hint="eastAsia"/>
        </w:rPr>
        <w:t>课堂组织</w:t>
      </w:r>
      <w:r w:rsidR="007B6600">
        <w:rPr>
          <w:rFonts w:hint="eastAsia"/>
        </w:rPr>
        <w:t>及考核方式</w:t>
      </w:r>
    </w:p>
    <w:p w14:paraId="480A77D4" w14:textId="25D31257" w:rsidR="00C65EB6" w:rsidRDefault="00C65EB6" w:rsidP="00C65EB6">
      <w:pPr>
        <w:spacing w:before="156" w:after="156"/>
        <w:ind w:firstLine="420"/>
      </w:pPr>
      <w:r>
        <w:rPr>
          <w:rFonts w:hint="eastAsia"/>
        </w:rPr>
        <w:t>本课程的教学将以讲座的形式进行</w:t>
      </w:r>
      <w:r w:rsidR="0003043C">
        <w:rPr>
          <w:rFonts w:hint="eastAsia"/>
        </w:rPr>
        <w:t>，以任课教师</w:t>
      </w:r>
      <w:r w:rsidR="007B6600">
        <w:rPr>
          <w:rFonts w:hint="eastAsia"/>
        </w:rPr>
        <w:t>的课堂讲授</w:t>
      </w:r>
      <w:r w:rsidR="0003043C">
        <w:rPr>
          <w:rFonts w:hint="eastAsia"/>
        </w:rPr>
        <w:t>为主，同学们</w:t>
      </w:r>
      <w:proofErr w:type="gramStart"/>
      <w:r w:rsidR="0003043C">
        <w:rPr>
          <w:rFonts w:hint="eastAsia"/>
        </w:rPr>
        <w:t>讲文章</w:t>
      </w:r>
      <w:proofErr w:type="gramEnd"/>
      <w:r w:rsidR="0003043C">
        <w:rPr>
          <w:rFonts w:hint="eastAsia"/>
        </w:rPr>
        <w:t>和报告自己的研究课题成果为辅。</w:t>
      </w:r>
      <w:r w:rsidR="007B6600">
        <w:rPr>
          <w:rFonts w:hint="eastAsia"/>
        </w:rPr>
        <w:t>课程每周授课</w:t>
      </w:r>
      <w:r w:rsidR="007B6600">
        <w:rPr>
          <w:rFonts w:hint="eastAsia"/>
        </w:rPr>
        <w:t>1</w:t>
      </w:r>
      <w:r w:rsidR="007B6600">
        <w:rPr>
          <w:rFonts w:hint="eastAsia"/>
        </w:rPr>
        <w:t>次，每次</w:t>
      </w:r>
      <w:r w:rsidR="001F6F60">
        <w:t>3</w:t>
      </w:r>
      <w:r w:rsidR="007B6600">
        <w:rPr>
          <w:rFonts w:hint="eastAsia"/>
        </w:rPr>
        <w:t>小时。</w:t>
      </w:r>
    </w:p>
    <w:p w14:paraId="54A3D7D5" w14:textId="77777777" w:rsidR="007B6600" w:rsidRDefault="007B6600" w:rsidP="007B6600">
      <w:pPr>
        <w:spacing w:before="156" w:after="156"/>
      </w:pPr>
      <w:r>
        <w:rPr>
          <w:rFonts w:hint="eastAsia"/>
        </w:rPr>
        <w:tab/>
      </w:r>
      <w:r w:rsidRPr="00143986">
        <w:rPr>
          <w:rFonts w:hint="eastAsia"/>
        </w:rPr>
        <w:t>课程分数依照</w:t>
      </w:r>
      <w:r w:rsidR="007766C0">
        <w:rPr>
          <w:rFonts w:hint="eastAsia"/>
        </w:rPr>
        <w:t>三</w:t>
      </w:r>
      <w:r w:rsidRPr="00143986">
        <w:rPr>
          <w:rFonts w:hint="eastAsia"/>
        </w:rPr>
        <w:t>部分</w:t>
      </w:r>
      <w:r w:rsidR="007766C0">
        <w:rPr>
          <w:rFonts w:hint="eastAsia"/>
        </w:rPr>
        <w:t>表现</w:t>
      </w:r>
      <w:r w:rsidRPr="00143986">
        <w:rPr>
          <w:rFonts w:hint="eastAsia"/>
        </w:rPr>
        <w:t>来评定：（</w:t>
      </w:r>
      <w:r w:rsidRPr="00143986">
        <w:rPr>
          <w:rFonts w:hint="eastAsia"/>
        </w:rPr>
        <w:t>1</w:t>
      </w:r>
      <w:r w:rsidRPr="00143986">
        <w:rPr>
          <w:rFonts w:hint="eastAsia"/>
        </w:rPr>
        <w:t>）</w:t>
      </w:r>
      <w:r w:rsidR="00E26973">
        <w:rPr>
          <w:rFonts w:hint="eastAsia"/>
        </w:rPr>
        <w:t>个人</w:t>
      </w:r>
      <w:r w:rsidRPr="00143986">
        <w:rPr>
          <w:rFonts w:hint="eastAsia"/>
        </w:rPr>
        <w:t>期末</w:t>
      </w:r>
      <w:r>
        <w:rPr>
          <w:rFonts w:hint="eastAsia"/>
        </w:rPr>
        <w:t>论文一篇</w:t>
      </w:r>
      <w:r w:rsidRPr="00143986">
        <w:rPr>
          <w:rFonts w:hint="eastAsia"/>
        </w:rPr>
        <w:t>，占总分的</w:t>
      </w:r>
      <w:r w:rsidR="00E26973">
        <w:t>6</w:t>
      </w:r>
      <w:r w:rsidRPr="00143986">
        <w:rPr>
          <w:rFonts w:hint="eastAsia"/>
        </w:rPr>
        <w:t>0%</w:t>
      </w:r>
      <w:r w:rsidRPr="00143986">
        <w:rPr>
          <w:rFonts w:hint="eastAsia"/>
        </w:rPr>
        <w:t>；（</w:t>
      </w:r>
      <w:r w:rsidRPr="00143986">
        <w:rPr>
          <w:rFonts w:hint="eastAsia"/>
        </w:rPr>
        <w:t>2</w:t>
      </w:r>
      <w:r w:rsidRPr="00143986">
        <w:rPr>
          <w:rFonts w:hint="eastAsia"/>
        </w:rPr>
        <w:t>）</w:t>
      </w:r>
      <w:r w:rsidR="00E26973">
        <w:rPr>
          <w:rFonts w:hint="eastAsia"/>
        </w:rPr>
        <w:t>分组</w:t>
      </w:r>
      <w:r w:rsidR="007766C0">
        <w:rPr>
          <w:rFonts w:hint="eastAsia"/>
        </w:rPr>
        <w:t>课题</w:t>
      </w:r>
      <w:r w:rsidR="00E26973">
        <w:rPr>
          <w:rFonts w:hint="eastAsia"/>
        </w:rPr>
        <w:t>研究</w:t>
      </w:r>
      <w:r w:rsidR="00D83EC7">
        <w:rPr>
          <w:rFonts w:hint="eastAsia"/>
        </w:rPr>
        <w:t>报告</w:t>
      </w:r>
      <w:r w:rsidR="00E26973">
        <w:rPr>
          <w:rFonts w:hint="eastAsia"/>
        </w:rPr>
        <w:t>一篇</w:t>
      </w:r>
      <w:r w:rsidR="007766C0">
        <w:rPr>
          <w:rFonts w:hint="eastAsia"/>
        </w:rPr>
        <w:t>，占总分的</w:t>
      </w:r>
      <w:r w:rsidR="007766C0">
        <w:t>3</w:t>
      </w:r>
      <w:r w:rsidR="00E26973">
        <w:t>5</w:t>
      </w:r>
      <w:r w:rsidRPr="00143986">
        <w:rPr>
          <w:rFonts w:hint="eastAsia"/>
        </w:rPr>
        <w:t>%</w:t>
      </w:r>
      <w:r w:rsidRPr="00143986">
        <w:rPr>
          <w:rFonts w:hint="eastAsia"/>
        </w:rPr>
        <w:t>；（</w:t>
      </w:r>
      <w:r w:rsidRPr="00143986">
        <w:rPr>
          <w:rFonts w:hint="eastAsia"/>
        </w:rPr>
        <w:t>3</w:t>
      </w:r>
      <w:r w:rsidRPr="00143986">
        <w:rPr>
          <w:rFonts w:hint="eastAsia"/>
        </w:rPr>
        <w:t>）课堂</w:t>
      </w:r>
      <w:r w:rsidR="007766C0">
        <w:rPr>
          <w:rFonts w:hint="eastAsia"/>
        </w:rPr>
        <w:t>参与</w:t>
      </w:r>
      <w:r w:rsidRPr="00143986">
        <w:rPr>
          <w:rFonts w:hint="eastAsia"/>
        </w:rPr>
        <w:t>表现，占总分的</w:t>
      </w:r>
      <w:r w:rsidR="00E26973">
        <w:t>5</w:t>
      </w:r>
      <w:r w:rsidRPr="00143986">
        <w:rPr>
          <w:rFonts w:hint="eastAsia"/>
        </w:rPr>
        <w:t>%</w:t>
      </w:r>
      <w:r w:rsidRPr="00143986">
        <w:rPr>
          <w:rFonts w:hint="eastAsia"/>
        </w:rPr>
        <w:t>。</w:t>
      </w:r>
    </w:p>
    <w:p w14:paraId="2C9BDBB9" w14:textId="77777777" w:rsidR="00C63CFE" w:rsidRDefault="00C63CFE" w:rsidP="00516B5C">
      <w:pPr>
        <w:pStyle w:val="3"/>
        <w:spacing w:before="312" w:after="156"/>
      </w:pPr>
      <w:r>
        <w:rPr>
          <w:rFonts w:hint="eastAsia"/>
        </w:rPr>
        <w:t>课程主讲人简介</w:t>
      </w:r>
    </w:p>
    <w:p w14:paraId="72491DC6" w14:textId="53F86D90" w:rsidR="0068561E" w:rsidRPr="0068561E" w:rsidRDefault="00AD44EB" w:rsidP="00E26973">
      <w:pPr>
        <w:spacing w:before="156" w:after="156"/>
        <w:ind w:firstLine="420"/>
      </w:pPr>
      <w:r w:rsidRPr="00AD44EB">
        <w:rPr>
          <w:rFonts w:hint="eastAsia"/>
        </w:rPr>
        <w:t>徐高博士是中银证券首席经济学家、研究总监、公司执委会委员，分管公司的研究部和机构业务部。他还是北京大学国家发展研究院兼职教授，每学期在北京大学给研究生和本科生开设宏观经济学、金融经济学和投资研究等课程。他目前还是中国首席经济学家论坛理事，中国证券业协会证券分析师、投资顾问与首席经济学家委员会委员。之前，徐高曾在光大证券、</w:t>
      </w:r>
      <w:proofErr w:type="gramStart"/>
      <w:r w:rsidRPr="00AD44EB">
        <w:rPr>
          <w:rFonts w:hint="eastAsia"/>
        </w:rPr>
        <w:t>光证资管任</w:t>
      </w:r>
      <w:proofErr w:type="gramEnd"/>
      <w:r w:rsidRPr="00AD44EB">
        <w:rPr>
          <w:rFonts w:hint="eastAsia"/>
        </w:rPr>
        <w:t>首席经济学家，他还曾任瑞银证券高级经济学家、世界银行经济学家、国际货币基金组织兼职经济学家。徐高毕业于北京大学国家发展研究院（原中国经济研究中心），获经济学博士学位。徐高出版了《宏观经济学二十五讲：中国视角》和《金融经济学二十五讲》两本畅销的经济学教材。</w:t>
      </w:r>
    </w:p>
    <w:sectPr w:rsidR="0068561E" w:rsidRPr="0068561E" w:rsidSect="00E45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A047" w14:textId="77777777" w:rsidR="001A5581" w:rsidRDefault="001A5581" w:rsidP="00516B5C">
      <w:pPr>
        <w:spacing w:before="120" w:after="120"/>
      </w:pPr>
      <w:r>
        <w:separator/>
      </w:r>
    </w:p>
  </w:endnote>
  <w:endnote w:type="continuationSeparator" w:id="0">
    <w:p w14:paraId="4607BBE8" w14:textId="77777777" w:rsidR="001A5581" w:rsidRDefault="001A5581" w:rsidP="00516B5C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244C" w14:textId="77777777" w:rsidR="007D1655" w:rsidRDefault="007D1655" w:rsidP="00516B5C">
    <w:pPr>
      <w:pStyle w:val="a8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06079"/>
      <w:docPartObj>
        <w:docPartGallery w:val="Page Numbers (Bottom of Page)"/>
        <w:docPartUnique/>
      </w:docPartObj>
    </w:sdtPr>
    <w:sdtEndPr/>
    <w:sdtContent>
      <w:p w14:paraId="1E0510C1" w14:textId="77777777" w:rsidR="007D1655" w:rsidRDefault="00766260" w:rsidP="00516B5C">
        <w:pPr>
          <w:pStyle w:val="a8"/>
          <w:spacing w:before="120" w:after="120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202EB" w:rsidRPr="006202EB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43606CF7" w14:textId="77777777" w:rsidR="007D1655" w:rsidRDefault="007D1655" w:rsidP="00516B5C">
    <w:pPr>
      <w:pStyle w:val="a8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B80F" w14:textId="77777777" w:rsidR="007D1655" w:rsidRDefault="007D1655" w:rsidP="00516B5C">
    <w:pPr>
      <w:pStyle w:val="a8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8FDD" w14:textId="77777777" w:rsidR="001A5581" w:rsidRDefault="001A5581" w:rsidP="00516B5C">
      <w:pPr>
        <w:spacing w:before="120" w:after="120"/>
      </w:pPr>
      <w:r>
        <w:separator/>
      </w:r>
    </w:p>
  </w:footnote>
  <w:footnote w:type="continuationSeparator" w:id="0">
    <w:p w14:paraId="42DE0485" w14:textId="77777777" w:rsidR="001A5581" w:rsidRDefault="001A5581" w:rsidP="00516B5C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FA83" w14:textId="77777777" w:rsidR="007D1655" w:rsidRDefault="007D1655" w:rsidP="00516B5C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3A46" w14:textId="056054BC" w:rsidR="007D1655" w:rsidRDefault="001F6F60" w:rsidP="00516B5C">
    <w:pPr>
      <w:pStyle w:val="a6"/>
      <w:spacing w:before="120" w:after="120"/>
    </w:pPr>
    <w:r>
      <w:rPr>
        <w:rFonts w:hint="eastAsia"/>
      </w:rPr>
      <w:t>投资研究：从理论到实践</w:t>
    </w:r>
    <w:r w:rsidR="0066472B">
      <w:rPr>
        <w:rFonts w:hint="eastAsia"/>
      </w:rPr>
      <w:tab/>
    </w:r>
    <w:r w:rsidR="0066472B">
      <w:rPr>
        <w:rFonts w:hint="eastAsia"/>
      </w:rPr>
      <w:tab/>
    </w:r>
    <w:r w:rsidR="0066472B">
      <w:rPr>
        <w:rFonts w:hint="eastAsia"/>
      </w:rPr>
      <w:t>北京大学国发院</w:t>
    </w:r>
    <w:r w:rsidR="0066472B">
      <w:rPr>
        <w:rFonts w:hint="eastAsia"/>
      </w:rPr>
      <w:t>20</w:t>
    </w:r>
    <w:r>
      <w:t>21</w:t>
    </w:r>
    <w:r>
      <w:rPr>
        <w:rFonts w:hint="eastAsia"/>
      </w:rPr>
      <w:t>年秋</w:t>
    </w:r>
    <w:r w:rsidR="0066472B">
      <w:rPr>
        <w:rFonts w:hint="eastAsia"/>
      </w:rPr>
      <w:t>季</w:t>
    </w:r>
    <w:r w:rsidR="00D46135">
      <w:rPr>
        <w:rFonts w:hint="eastAsia"/>
      </w:rPr>
      <w:t>研究生</w:t>
    </w:r>
    <w:r w:rsidR="0066472B">
      <w:rPr>
        <w:rFonts w:hint="eastAsia"/>
      </w:rPr>
      <w:t>课程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2B43" w14:textId="77777777" w:rsidR="007D1655" w:rsidRDefault="007D1655" w:rsidP="00516B5C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C22"/>
    <w:multiLevelType w:val="hybridMultilevel"/>
    <w:tmpl w:val="B582E5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15DE2"/>
    <w:multiLevelType w:val="hybridMultilevel"/>
    <w:tmpl w:val="D7C2A6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AC775E"/>
    <w:multiLevelType w:val="hybridMultilevel"/>
    <w:tmpl w:val="2DC4326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8E76C9"/>
    <w:multiLevelType w:val="hybridMultilevel"/>
    <w:tmpl w:val="8D2683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D016A"/>
    <w:multiLevelType w:val="hybridMultilevel"/>
    <w:tmpl w:val="9E2EBD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EEE660E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C26EFA"/>
    <w:multiLevelType w:val="hybridMultilevel"/>
    <w:tmpl w:val="5C1285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8C0BE3"/>
    <w:multiLevelType w:val="hybridMultilevel"/>
    <w:tmpl w:val="0E60E91E"/>
    <w:lvl w:ilvl="0" w:tplc="D4C89BC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A200D25"/>
    <w:multiLevelType w:val="hybridMultilevel"/>
    <w:tmpl w:val="6024CC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7D29BC"/>
    <w:multiLevelType w:val="hybridMultilevel"/>
    <w:tmpl w:val="4024FE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88523A"/>
    <w:multiLevelType w:val="hybridMultilevel"/>
    <w:tmpl w:val="621E77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3C223B"/>
    <w:multiLevelType w:val="hybridMultilevel"/>
    <w:tmpl w:val="DE6ED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7A"/>
    <w:rsid w:val="00023805"/>
    <w:rsid w:val="00027779"/>
    <w:rsid w:val="0003043C"/>
    <w:rsid w:val="00045E95"/>
    <w:rsid w:val="00060FD5"/>
    <w:rsid w:val="000739C6"/>
    <w:rsid w:val="000A3F6A"/>
    <w:rsid w:val="000B4A25"/>
    <w:rsid w:val="000E30F7"/>
    <w:rsid w:val="0011230B"/>
    <w:rsid w:val="00112B3F"/>
    <w:rsid w:val="001230D5"/>
    <w:rsid w:val="00131987"/>
    <w:rsid w:val="00132108"/>
    <w:rsid w:val="00143986"/>
    <w:rsid w:val="001477B3"/>
    <w:rsid w:val="00152986"/>
    <w:rsid w:val="00160438"/>
    <w:rsid w:val="00161927"/>
    <w:rsid w:val="00165E6E"/>
    <w:rsid w:val="0018329F"/>
    <w:rsid w:val="00196C32"/>
    <w:rsid w:val="001A5581"/>
    <w:rsid w:val="001B3C5E"/>
    <w:rsid w:val="001C08C3"/>
    <w:rsid w:val="001E55D4"/>
    <w:rsid w:val="001E6E1F"/>
    <w:rsid w:val="001F6F60"/>
    <w:rsid w:val="00207E43"/>
    <w:rsid w:val="00230952"/>
    <w:rsid w:val="00236E32"/>
    <w:rsid w:val="002564E8"/>
    <w:rsid w:val="00274AA4"/>
    <w:rsid w:val="0029598A"/>
    <w:rsid w:val="002A1841"/>
    <w:rsid w:val="002B5013"/>
    <w:rsid w:val="002D20C9"/>
    <w:rsid w:val="002E021D"/>
    <w:rsid w:val="002E5D11"/>
    <w:rsid w:val="002F4906"/>
    <w:rsid w:val="00305397"/>
    <w:rsid w:val="00314350"/>
    <w:rsid w:val="003149BA"/>
    <w:rsid w:val="00340D18"/>
    <w:rsid w:val="003523DF"/>
    <w:rsid w:val="00364BFC"/>
    <w:rsid w:val="00367054"/>
    <w:rsid w:val="00387470"/>
    <w:rsid w:val="003A0852"/>
    <w:rsid w:val="003A754F"/>
    <w:rsid w:val="003B5F8E"/>
    <w:rsid w:val="003F2AC4"/>
    <w:rsid w:val="003F771D"/>
    <w:rsid w:val="00407853"/>
    <w:rsid w:val="00410CBC"/>
    <w:rsid w:val="004B2181"/>
    <w:rsid w:val="004D71E7"/>
    <w:rsid w:val="005028E4"/>
    <w:rsid w:val="00516B5C"/>
    <w:rsid w:val="00521B66"/>
    <w:rsid w:val="0053474C"/>
    <w:rsid w:val="00561EF9"/>
    <w:rsid w:val="005C73BA"/>
    <w:rsid w:val="005D21E0"/>
    <w:rsid w:val="006202EB"/>
    <w:rsid w:val="00641B35"/>
    <w:rsid w:val="00644799"/>
    <w:rsid w:val="00653095"/>
    <w:rsid w:val="0066472B"/>
    <w:rsid w:val="00676BAF"/>
    <w:rsid w:val="0068267C"/>
    <w:rsid w:val="00682EB1"/>
    <w:rsid w:val="0068561E"/>
    <w:rsid w:val="0069038C"/>
    <w:rsid w:val="006C1C0A"/>
    <w:rsid w:val="0070787D"/>
    <w:rsid w:val="00715E45"/>
    <w:rsid w:val="00725E07"/>
    <w:rsid w:val="00725EB1"/>
    <w:rsid w:val="007318E3"/>
    <w:rsid w:val="00740F82"/>
    <w:rsid w:val="00766260"/>
    <w:rsid w:val="007766C0"/>
    <w:rsid w:val="007B6600"/>
    <w:rsid w:val="007D1655"/>
    <w:rsid w:val="007D205E"/>
    <w:rsid w:val="007E658B"/>
    <w:rsid w:val="0081605C"/>
    <w:rsid w:val="00841930"/>
    <w:rsid w:val="00862FFA"/>
    <w:rsid w:val="00865038"/>
    <w:rsid w:val="008771BE"/>
    <w:rsid w:val="0089234D"/>
    <w:rsid w:val="008A1FD7"/>
    <w:rsid w:val="008A22A8"/>
    <w:rsid w:val="008E2CF0"/>
    <w:rsid w:val="0091144C"/>
    <w:rsid w:val="00916C7E"/>
    <w:rsid w:val="009203E3"/>
    <w:rsid w:val="00941CBB"/>
    <w:rsid w:val="00942E79"/>
    <w:rsid w:val="00946CAC"/>
    <w:rsid w:val="0094764D"/>
    <w:rsid w:val="009A2285"/>
    <w:rsid w:val="009A3EF5"/>
    <w:rsid w:val="009D54D4"/>
    <w:rsid w:val="00A051E6"/>
    <w:rsid w:val="00A454DE"/>
    <w:rsid w:val="00A9355B"/>
    <w:rsid w:val="00AB1F8E"/>
    <w:rsid w:val="00AB7F3F"/>
    <w:rsid w:val="00AC5995"/>
    <w:rsid w:val="00AD44EB"/>
    <w:rsid w:val="00B033CA"/>
    <w:rsid w:val="00B24C12"/>
    <w:rsid w:val="00B32177"/>
    <w:rsid w:val="00B44CA0"/>
    <w:rsid w:val="00B82352"/>
    <w:rsid w:val="00B9408F"/>
    <w:rsid w:val="00BE40E0"/>
    <w:rsid w:val="00C314B1"/>
    <w:rsid w:val="00C34462"/>
    <w:rsid w:val="00C63CFE"/>
    <w:rsid w:val="00C65EB6"/>
    <w:rsid w:val="00C9409B"/>
    <w:rsid w:val="00CA0DFD"/>
    <w:rsid w:val="00CA12D6"/>
    <w:rsid w:val="00CA23D9"/>
    <w:rsid w:val="00CD15CC"/>
    <w:rsid w:val="00CE602B"/>
    <w:rsid w:val="00D46135"/>
    <w:rsid w:val="00D72907"/>
    <w:rsid w:val="00D83EC7"/>
    <w:rsid w:val="00DA3A7D"/>
    <w:rsid w:val="00DA3C00"/>
    <w:rsid w:val="00DD0736"/>
    <w:rsid w:val="00DF18E6"/>
    <w:rsid w:val="00E07DEB"/>
    <w:rsid w:val="00E26973"/>
    <w:rsid w:val="00E45AD4"/>
    <w:rsid w:val="00EB0D29"/>
    <w:rsid w:val="00EF0494"/>
    <w:rsid w:val="00F045F1"/>
    <w:rsid w:val="00F04EBC"/>
    <w:rsid w:val="00F050C1"/>
    <w:rsid w:val="00F5590D"/>
    <w:rsid w:val="00F61A7A"/>
    <w:rsid w:val="00F81EFB"/>
    <w:rsid w:val="00FA37DE"/>
    <w:rsid w:val="00F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A595B"/>
  <w15:docId w15:val="{362ABFDC-A6C7-42AB-B40C-431B1410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B5C"/>
    <w:pPr>
      <w:widowControl w:val="0"/>
      <w:spacing w:beforeLines="50" w:afterLines="5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045F1"/>
    <w:pPr>
      <w:keepNext/>
      <w:keepLines/>
      <w:spacing w:beforeLines="100" w:line="415" w:lineRule="auto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8561E"/>
    <w:pPr>
      <w:keepNext/>
      <w:keepLines/>
      <w:spacing w:beforeLines="10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8561E"/>
    <w:pPr>
      <w:keepNext/>
      <w:keepLines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472B"/>
    <w:pPr>
      <w:spacing w:beforeLines="100" w:afterLines="100"/>
      <w:jc w:val="center"/>
      <w:outlineLvl w:val="0"/>
    </w:pPr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66472B"/>
    <w:rPr>
      <w:rFonts w:asciiTheme="majorHAnsi" w:eastAsia="黑体" w:hAnsiTheme="majorHAnsi" w:cstheme="majorBidi"/>
      <w:b/>
      <w:bCs/>
      <w:sz w:val="36"/>
      <w:szCs w:val="32"/>
    </w:rPr>
  </w:style>
  <w:style w:type="paragraph" w:styleId="a5">
    <w:name w:val="List Paragraph"/>
    <w:basedOn w:val="a"/>
    <w:uiPriority w:val="34"/>
    <w:qFormat/>
    <w:rsid w:val="00D72907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F045F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semiHidden/>
    <w:unhideWhenUsed/>
    <w:rsid w:val="007D1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7D165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D1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D1655"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Char"/>
    <w:rsid w:val="003F2AC4"/>
    <w:pPr>
      <w:tabs>
        <w:tab w:val="center" w:pos="4160"/>
        <w:tab w:val="right" w:pos="8300"/>
      </w:tabs>
      <w:spacing w:before="156"/>
    </w:pPr>
  </w:style>
  <w:style w:type="character" w:customStyle="1" w:styleId="MTDisplayEquationChar">
    <w:name w:val="MTDisplayEquation Char"/>
    <w:basedOn w:val="a0"/>
    <w:link w:val="MTDisplayEquation"/>
    <w:rsid w:val="003F2AC4"/>
    <w:rPr>
      <w:sz w:val="24"/>
    </w:rPr>
  </w:style>
  <w:style w:type="character" w:customStyle="1" w:styleId="MTEquationSection">
    <w:name w:val="MTEquationSection"/>
    <w:basedOn w:val="a0"/>
    <w:rsid w:val="003F2AC4"/>
    <w:rPr>
      <w:vanish/>
      <w:color w:val="FF0000"/>
    </w:rPr>
  </w:style>
  <w:style w:type="character" w:customStyle="1" w:styleId="30">
    <w:name w:val="标题 3 字符"/>
    <w:basedOn w:val="a0"/>
    <w:link w:val="3"/>
    <w:uiPriority w:val="9"/>
    <w:rsid w:val="0068561E"/>
    <w:rPr>
      <w:b/>
      <w:bCs/>
      <w:sz w:val="28"/>
      <w:szCs w:val="32"/>
    </w:rPr>
  </w:style>
  <w:style w:type="paragraph" w:customStyle="1" w:styleId="5">
    <w:name w:val="标题5"/>
    <w:basedOn w:val="a"/>
    <w:autoRedefine/>
    <w:rsid w:val="00045E95"/>
    <w:pPr>
      <w:spacing w:beforeLines="0" w:line="480" w:lineRule="auto"/>
    </w:pPr>
    <w:rPr>
      <w:rFonts w:ascii="Times New Roman" w:eastAsia="宋体" w:hAnsi="Times New Roman" w:cs="Times New Roman"/>
      <w:b/>
      <w:szCs w:val="24"/>
    </w:rPr>
  </w:style>
  <w:style w:type="paragraph" w:styleId="aa">
    <w:name w:val="footnote text"/>
    <w:basedOn w:val="a"/>
    <w:link w:val="ab"/>
    <w:semiHidden/>
    <w:rsid w:val="0068561E"/>
    <w:pPr>
      <w:snapToGrid w:val="0"/>
      <w:spacing w:beforeLines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脚注文本 字符"/>
    <w:basedOn w:val="a0"/>
    <w:link w:val="aa"/>
    <w:semiHidden/>
    <w:rsid w:val="0068561E"/>
    <w:rPr>
      <w:rFonts w:ascii="Times New Roman" w:eastAsia="宋体" w:hAnsi="Times New Roman" w:cs="Times New Roman"/>
      <w:sz w:val="18"/>
      <w:szCs w:val="18"/>
    </w:rPr>
  </w:style>
  <w:style w:type="character" w:styleId="ac">
    <w:name w:val="footnote reference"/>
    <w:basedOn w:val="a0"/>
    <w:semiHidden/>
    <w:rsid w:val="0068561E"/>
    <w:rPr>
      <w:vertAlign w:val="superscript"/>
    </w:rPr>
  </w:style>
  <w:style w:type="character" w:customStyle="1" w:styleId="40">
    <w:name w:val="标题 4 字符"/>
    <w:basedOn w:val="a0"/>
    <w:link w:val="4"/>
    <w:uiPriority w:val="9"/>
    <w:rsid w:val="0068561E"/>
    <w:rPr>
      <w:rFonts w:asciiTheme="majorHAnsi" w:eastAsiaTheme="majorEastAsia" w:hAnsiTheme="majorHAnsi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Xu, Gao 2014-9-7</dc:creator>
  <cp:lastModifiedBy>Gao Xu</cp:lastModifiedBy>
  <cp:revision>5</cp:revision>
  <cp:lastPrinted>2014-09-15T06:23:00Z</cp:lastPrinted>
  <dcterms:created xsi:type="dcterms:W3CDTF">2021-05-10T02:55:00Z</dcterms:created>
  <dcterms:modified xsi:type="dcterms:W3CDTF">2021-09-14T05:55:00Z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</Properties>
</file>