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附录A 异质性分析结果</w:t>
      </w: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sz w:val="28"/>
          <w:szCs w:val="28"/>
        </w:rPr>
      </w:pP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pPr>
      <w:r>
        <w:rPr>
          <w:rFonts w:hint="eastAsia" w:ascii="仿宋" w:hAnsi="仿宋" w:eastAsia="仿宋" w:cs="仿宋"/>
          <w:sz w:val="24"/>
          <w:szCs w:val="24"/>
        </w:rPr>
        <w:t>在这一部分，我们讨论什么样的家庭对全面二孩政策的反应更为积极。国家卫生健康委员会的一项调查表明</w:t>
      </w:r>
      <w:r>
        <w:rPr>
          <w:rStyle w:val="8"/>
          <w:rFonts w:hint="eastAsia" w:ascii="仿宋" w:hAnsi="仿宋" w:eastAsia="仿宋" w:cs="仿宋"/>
          <w:sz w:val="24"/>
          <w:szCs w:val="24"/>
        </w:rPr>
        <w:footnoteReference w:id="0"/>
      </w:r>
      <w:r>
        <w:rPr>
          <w:rFonts w:hint="eastAsia" w:ascii="仿宋" w:hAnsi="仿宋" w:eastAsia="仿宋" w:cs="仿宋"/>
          <w:sz w:val="24"/>
          <w:szCs w:val="24"/>
        </w:rPr>
        <w:t>，</w:t>
      </w:r>
      <w:r>
        <w:rPr>
          <w:rFonts w:hint="eastAsia" w:ascii="仿宋" w:hAnsi="仿宋" w:eastAsia="仿宋" w:cs="仿宋"/>
          <w:sz w:val="24"/>
          <w:szCs w:val="24"/>
        </w:rPr>
        <w:t>全面两孩政策实施后，相当比例的家庭想生不敢生，排名前三的原因是经济负担重、婴幼儿无人照料和女性难以平衡家庭与工作的关系</w:t>
      </w:r>
      <w:r>
        <w:rPr>
          <w:rFonts w:hint="eastAsia" w:ascii="仿宋" w:hAnsi="仿宋" w:eastAsia="仿宋" w:cs="仿宋"/>
          <w:sz w:val="24"/>
          <w:szCs w:val="24"/>
        </w:rPr>
        <w:t>。</w:t>
      </w:r>
      <w:r>
        <w:rPr>
          <w:rFonts w:hint="eastAsia" w:ascii="仿宋" w:hAnsi="仿宋" w:eastAsia="仿宋" w:cs="仿宋"/>
          <w:sz w:val="24"/>
          <w:szCs w:val="24"/>
        </w:rPr>
        <w:t>受访者中，因为“经济负担重”的占</w:t>
      </w:r>
      <w:r>
        <w:rPr>
          <w:rFonts w:hint="eastAsia" w:ascii="仿宋" w:hAnsi="仿宋" w:eastAsia="仿宋" w:cs="仿宋"/>
          <w:sz w:val="24"/>
          <w:szCs w:val="24"/>
        </w:rPr>
        <w:t>75.1%，</w:t>
      </w:r>
      <w:r>
        <w:rPr>
          <w:rFonts w:hint="eastAsia" w:ascii="仿宋" w:hAnsi="仿宋" w:eastAsia="仿宋" w:cs="仿宋"/>
          <w:sz w:val="24"/>
          <w:szCs w:val="24"/>
        </w:rPr>
        <w:t>“没人带孩子”</w:t>
      </w:r>
      <w:r>
        <w:rPr>
          <w:rFonts w:hint="eastAsia" w:ascii="仿宋" w:hAnsi="仿宋" w:eastAsia="仿宋" w:cs="仿宋"/>
          <w:sz w:val="24"/>
          <w:szCs w:val="24"/>
        </w:rPr>
        <w:t>的占51.3%，女职工生育后工资待遇下降的有34.3%</w:t>
      </w:r>
      <w:r>
        <w:rPr>
          <w:rFonts w:hint="eastAsia" w:ascii="仿宋" w:hAnsi="仿宋" w:eastAsia="仿宋" w:cs="仿宋"/>
          <w:sz w:val="24"/>
          <w:szCs w:val="24"/>
        </w:rPr>
        <w:t>。我们根据卫健委的这项调查对全面二孩政策的异质性效果进行讨论。第一，</w:t>
      </w:r>
      <w:r>
        <w:rPr>
          <w:rFonts w:hint="eastAsia" w:ascii="仿宋" w:hAnsi="仿宋" w:eastAsia="仿宋" w:cs="仿宋"/>
          <w:kern w:val="0"/>
          <w:sz w:val="24"/>
          <w:szCs w:val="24"/>
        </w:rPr>
        <w:t>生育养育孩子会产生较多支出，因此收入越高的家庭更有能力承担起这些费用；此外，如果将孩子视为消费品，那么收入越高的家庭也更愿意生育孩子。第二，照料养育孩子需要付出时间精力，</w:t>
      </w:r>
      <w:r>
        <w:rPr>
          <w:rFonts w:hint="eastAsia" w:ascii="仿宋" w:hAnsi="仿宋" w:eastAsia="仿宋" w:cs="仿宋"/>
          <w:sz w:val="24"/>
          <w:szCs w:val="24"/>
        </w:rPr>
        <w:t>如果可以有效降低父母在养育孩子上的成本，也可以激励家庭生育。例如夫妻双方的父母提供隔代照料，或者家附近有幼儿园等，都可以极大地减少年轻夫妻照料孩子的时间，降低生养孩子对其工作的影响，从而激励家庭生育孩子（靳永爱等，2</w:t>
      </w:r>
      <w:r>
        <w:rPr>
          <w:rFonts w:hint="eastAsia" w:ascii="仿宋" w:hAnsi="仿宋" w:eastAsia="仿宋" w:cs="仿宋"/>
          <w:sz w:val="24"/>
          <w:szCs w:val="24"/>
        </w:rPr>
        <w:t>016</w:t>
      </w:r>
      <w:r>
        <w:rPr>
          <w:rFonts w:hint="eastAsia" w:ascii="仿宋" w:hAnsi="仿宋" w:eastAsia="仿宋" w:cs="仿宋"/>
          <w:sz w:val="24"/>
          <w:szCs w:val="24"/>
        </w:rPr>
        <w:t>；</w:t>
      </w:r>
      <w:r>
        <w:rPr>
          <w:rFonts w:hint="eastAsia" w:ascii="仿宋" w:hAnsi="仿宋" w:eastAsia="仿宋" w:cs="仿宋"/>
          <w:sz w:val="24"/>
          <w:szCs w:val="24"/>
        </w:rPr>
        <w:t>Zhang</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and</w:t>
      </w:r>
      <w:r>
        <w:rPr>
          <w:rFonts w:hint="eastAsia" w:ascii="仿宋" w:hAnsi="仿宋" w:eastAsia="仿宋" w:cs="仿宋"/>
          <w:sz w:val="24"/>
          <w:szCs w:val="24"/>
        </w:rPr>
        <w:t xml:space="preserve"> </w:t>
      </w:r>
      <w:r>
        <w:rPr>
          <w:rFonts w:hint="eastAsia" w:ascii="仿宋" w:hAnsi="仿宋" w:eastAsia="仿宋" w:cs="仿宋"/>
          <w:sz w:val="24"/>
          <w:szCs w:val="24"/>
        </w:rPr>
        <w:t>Luh，2</w:t>
      </w:r>
      <w:r>
        <w:rPr>
          <w:rFonts w:hint="eastAsia" w:ascii="仿宋" w:hAnsi="仿宋" w:eastAsia="仿宋" w:cs="仿宋"/>
          <w:sz w:val="24"/>
          <w:szCs w:val="24"/>
        </w:rPr>
        <w:t>018</w:t>
      </w:r>
      <w:r>
        <w:rPr>
          <w:rFonts w:hint="eastAsia" w:ascii="仿宋" w:hAnsi="仿宋" w:eastAsia="仿宋" w:cs="仿宋"/>
          <w:sz w:val="24"/>
          <w:szCs w:val="24"/>
        </w:rPr>
        <w:t>；封进等，2</w:t>
      </w:r>
      <w:r>
        <w:rPr>
          <w:rFonts w:hint="eastAsia" w:ascii="仿宋" w:hAnsi="仿宋" w:eastAsia="仿宋" w:cs="仿宋"/>
          <w:sz w:val="24"/>
          <w:szCs w:val="24"/>
        </w:rPr>
        <w:t>020</w:t>
      </w:r>
      <w:r>
        <w:rPr>
          <w:rFonts w:hint="eastAsia" w:ascii="仿宋" w:hAnsi="仿宋" w:eastAsia="仿宋" w:cs="仿宋"/>
          <w:sz w:val="24"/>
          <w:szCs w:val="24"/>
        </w:rPr>
        <w:t>；田艳芳等，2</w:t>
      </w:r>
      <w:r>
        <w:rPr>
          <w:rFonts w:hint="eastAsia" w:ascii="仿宋" w:hAnsi="仿宋" w:eastAsia="仿宋" w:cs="仿宋"/>
          <w:sz w:val="24"/>
          <w:szCs w:val="24"/>
        </w:rPr>
        <w:t>020</w:t>
      </w:r>
      <w:r>
        <w:rPr>
          <w:rFonts w:hint="eastAsia" w:ascii="仿宋" w:hAnsi="仿宋" w:eastAsia="仿宋" w:cs="仿宋"/>
          <w:sz w:val="24"/>
          <w:szCs w:val="24"/>
        </w:rPr>
        <w:t>；江涛，2</w:t>
      </w:r>
      <w:r>
        <w:rPr>
          <w:rFonts w:hint="eastAsia" w:ascii="仿宋" w:hAnsi="仿宋" w:eastAsia="仿宋" w:cs="仿宋"/>
          <w:sz w:val="24"/>
          <w:szCs w:val="24"/>
        </w:rPr>
        <w:t>021</w:t>
      </w:r>
      <w:r>
        <w:rPr>
          <w:rFonts w:hint="eastAsia" w:ascii="仿宋" w:hAnsi="仿宋" w:eastAsia="仿宋" w:cs="仿宋"/>
          <w:sz w:val="24"/>
          <w:szCs w:val="24"/>
        </w:rPr>
        <w:t>）。第三，怀孕和养育孩子要占用女性很多精力，已有文献发现生养孩子会对女性的工作带来负向影响（张川川，</w:t>
      </w:r>
      <w:r>
        <w:rPr>
          <w:rFonts w:hint="eastAsia" w:ascii="仿宋" w:hAnsi="仿宋" w:eastAsia="仿宋" w:cs="仿宋"/>
          <w:sz w:val="24"/>
          <w:szCs w:val="24"/>
        </w:rPr>
        <w:t>2011；Lundborg et al., 2017；Kleven et al., 2019）</w:t>
      </w:r>
      <w:r>
        <w:rPr>
          <w:rFonts w:hint="eastAsia" w:ascii="仿宋" w:hAnsi="仿宋" w:eastAsia="仿宋" w:cs="仿宋"/>
          <w:sz w:val="24"/>
          <w:szCs w:val="24"/>
        </w:rPr>
        <w:t>。因此，对于有工作、工资高的女性而言，生育孩子的机会成本较高，这可能导致她们对全面二孩政策反应不积极。</w:t>
      </w: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pPr>
      <w:r>
        <w:rPr>
          <w:rFonts w:hint="eastAsia" w:ascii="仿宋" w:hAnsi="仿宋" w:eastAsia="仿宋" w:cs="仿宋"/>
          <w:sz w:val="24"/>
          <w:szCs w:val="24"/>
        </w:rPr>
        <w:t>表A1报告了一系列异质性分析结果，用来探讨不同群体对全面二孩政策反应的差异。为了探究收入如何影响家庭对全面二孩政策的反应，我们构造了“</w:t>
      </w:r>
      <w:r>
        <w:rPr>
          <w:rFonts w:hint="eastAsia" w:ascii="仿宋" w:hAnsi="仿宋" w:eastAsia="仿宋" w:cs="仿宋"/>
          <w:sz w:val="24"/>
          <w:szCs w:val="24"/>
        </w:rPr>
        <w:t>2014</w:t>
      </w:r>
      <w:r>
        <w:rPr>
          <w:rFonts w:hint="eastAsia" w:ascii="仿宋" w:hAnsi="仿宋" w:eastAsia="仿宋" w:cs="仿宋"/>
          <w:sz w:val="24"/>
          <w:szCs w:val="24"/>
        </w:rPr>
        <w:t>年家庭人均年收入是否高于样本中位数”这一变量。通过关注异质性的分组变量在政策实施之前的取值，可以保证分组变量的外生性，避免产生估计偏误。我们按照下式进行异质性分析：</w:t>
      </w: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pPr>
      <m:oMathPara>
        <m:oMathParaPr>
          <m:jc m:val="left"/>
        </m:oMathParaPr>
        <m:oMath>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y</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itc</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β</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0</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β</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1</m:t>
              </m:r>
              <m:ctrlPr>
                <w:rPr>
                  <w:rFonts w:hint="eastAsia" w:ascii="Cambria Math" w:hAnsi="Cambria Math" w:eastAsia="仿宋" w:cs="仿宋"/>
                  <w:i/>
                  <w:iCs/>
                  <w:sz w:val="24"/>
                  <w:szCs w:val="24"/>
                </w:rPr>
              </m:ctrlPr>
            </m:sub>
          </m:sSub>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treat</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post</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t</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β</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2</m:t>
              </m:r>
              <m:ctrlPr>
                <w:rPr>
                  <w:rFonts w:hint="eastAsia" w:ascii="Cambria Math" w:hAnsi="Cambria Math" w:eastAsia="仿宋" w:cs="仿宋"/>
                  <w:i/>
                  <w:sz w:val="24"/>
                  <w:szCs w:val="24"/>
                </w:rPr>
              </m:ctrlPr>
            </m:sub>
          </m:sSub>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treat</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post</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t</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β</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3</m:t>
              </m:r>
              <m:ctrlPr>
                <w:rPr>
                  <w:rFonts w:hint="eastAsia" w:ascii="Cambria Math" w:hAnsi="Cambria Math" w:eastAsia="仿宋" w:cs="仿宋"/>
                  <w:i/>
                  <w:sz w:val="24"/>
                  <w:szCs w:val="24"/>
                </w:rPr>
              </m:ctrlPr>
            </m:sub>
          </m:sSub>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post</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t</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m:oMathPara>
    </w:p>
    <w:p>
      <w:pPr>
        <w:keepNext w:val="0"/>
        <w:keepLines w:val="0"/>
        <w:pageBreakBefore w:val="0"/>
        <w:kinsoku/>
        <w:wordWrap/>
        <w:overflowPunct/>
        <w:topLinePunct w:val="0"/>
        <w:autoSpaceDE/>
        <w:autoSpaceDN/>
        <w:bidi w:val="0"/>
        <w:spacing w:line="360" w:lineRule="auto"/>
        <w:ind w:firstLine="600" w:firstLineChars="250"/>
        <w:textAlignment w:val="auto"/>
        <w:rPr>
          <w:rFonts w:hint="eastAsia" w:ascii="仿宋" w:hAnsi="仿宋" w:eastAsia="仿宋" w:cs="仿宋"/>
          <w:sz w:val="24"/>
          <w:szCs w:val="24"/>
        </w:rPr>
      </w:pPr>
      <m:oMath>
        <m:r>
          <m:rPr/>
          <w:rPr>
            <w:rFonts w:hint="eastAsia" w:ascii="Cambria Math" w:hAnsi="Cambria Math" w:eastAsia="仿宋" w:cs="仿宋"/>
            <w:sz w:val="24"/>
            <w:szCs w:val="24"/>
          </w:rPr>
          <m:t>+</m:t>
        </m:r>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X</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it</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θ</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δ</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t</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year</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t</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county</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c</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ε</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itc</m:t>
            </m:r>
            <m:ctrlPr>
              <w:rPr>
                <w:rFonts w:hint="eastAsia" w:ascii="Cambria Math" w:hAnsi="Cambria Math" w:eastAsia="仿宋" w:cs="仿宋"/>
                <w:i/>
                <w:iCs/>
                <w:sz w:val="24"/>
                <w:szCs w:val="24"/>
              </w:rPr>
            </m:ctrlPr>
          </m:sub>
        </m:sSub>
      </m:oMath>
      <w:r>
        <w:rPr>
          <w:rFonts w:hint="eastAsia" w:ascii="仿宋" w:hAnsi="仿宋" w:eastAsia="仿宋" w:cs="仿宋"/>
          <w:sz w:val="24"/>
          <w:szCs w:val="24"/>
          <w:lang w:val="en-US" w:eastAsia="zh-CN"/>
        </w:rPr>
        <w:t>,</w:t>
      </w:r>
      <w:r>
        <w:rPr>
          <w:rFonts w:hint="eastAsia" w:ascii="仿宋" w:hAnsi="仿宋" w:eastAsia="仿宋" w:cs="仿宋"/>
          <w:sz w:val="24"/>
          <w:szCs w:val="24"/>
        </w:rPr>
        <w:t xml:space="preserve">                        </w:t>
      </w:r>
      <w:r>
        <w:rPr>
          <w:rFonts w:hint="eastAsia" w:ascii="仿宋" w:hAnsi="仿宋" w:eastAsia="仿宋" w:cs="仿宋"/>
          <w:iCs/>
          <w:sz w:val="24"/>
          <w:szCs w:val="24"/>
        </w:rPr>
        <w:t>（A1）</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其中，</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sz w:val="24"/>
          <w:szCs w:val="24"/>
        </w:rPr>
        <w:t>代表我们构造的异质性分类变量，如果家庭</w:t>
      </w:r>
      <w:r>
        <w:rPr>
          <w:rFonts w:hint="eastAsia" w:ascii="仿宋" w:hAnsi="仿宋" w:eastAsia="仿宋" w:cs="仿宋"/>
          <w:i/>
          <w:iCs/>
          <w:sz w:val="24"/>
          <w:szCs w:val="24"/>
        </w:rPr>
        <w:t>i</w:t>
      </w:r>
      <w:r>
        <w:rPr>
          <w:rFonts w:hint="eastAsia" w:ascii="仿宋" w:hAnsi="仿宋" w:eastAsia="仿宋" w:cs="仿宋"/>
          <w:sz w:val="24"/>
          <w:szCs w:val="24"/>
        </w:rPr>
        <w:t>在2</w:t>
      </w:r>
      <w:r>
        <w:rPr>
          <w:rFonts w:hint="eastAsia" w:ascii="仿宋" w:hAnsi="仿宋" w:eastAsia="仿宋" w:cs="仿宋"/>
          <w:sz w:val="24"/>
          <w:szCs w:val="24"/>
        </w:rPr>
        <w:t>014</w:t>
      </w:r>
      <w:r>
        <w:rPr>
          <w:rFonts w:hint="eastAsia" w:ascii="仿宋" w:hAnsi="仿宋" w:eastAsia="仿宋" w:cs="仿宋"/>
          <w:sz w:val="24"/>
          <w:szCs w:val="24"/>
        </w:rPr>
        <w:t>年人均年收入高于样本中位数，则</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=1</m:t>
        </m:r>
      </m:oMath>
      <w:r>
        <w:rPr>
          <w:rFonts w:hint="eastAsia" w:ascii="仿宋" w:hAnsi="仿宋" w:eastAsia="仿宋" w:cs="仿宋"/>
          <w:sz w:val="24"/>
          <w:szCs w:val="24"/>
        </w:rPr>
        <w:t>，否则</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=0</m:t>
        </m:r>
      </m:oMath>
      <w:r>
        <w:rPr>
          <w:rFonts w:hint="eastAsia" w:ascii="仿宋" w:hAnsi="仿宋" w:eastAsia="仿宋" w:cs="仿宋"/>
          <w:sz w:val="24"/>
          <w:szCs w:val="24"/>
        </w:rPr>
        <w:t>；</w:t>
      </w:r>
      <m:oMath>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treat</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post</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t</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sz w:val="24"/>
          <w:szCs w:val="24"/>
        </w:rPr>
        <w:t>前的系数</w:t>
      </w:r>
      <m:oMath>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β</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1</m:t>
            </m:r>
            <m:ctrlPr>
              <w:rPr>
                <w:rFonts w:hint="eastAsia" w:ascii="Cambria Math" w:hAnsi="Cambria Math" w:eastAsia="仿宋" w:cs="仿宋"/>
                <w:i/>
                <w:iCs/>
                <w:sz w:val="24"/>
                <w:szCs w:val="24"/>
              </w:rPr>
            </m:ctrlPr>
          </m:sub>
        </m:sSub>
      </m:oMath>
      <w:r>
        <w:rPr>
          <w:rFonts w:hint="eastAsia" w:ascii="仿宋" w:hAnsi="仿宋" w:eastAsia="仿宋" w:cs="仿宋"/>
          <w:iCs/>
          <w:sz w:val="24"/>
          <w:szCs w:val="24"/>
        </w:rPr>
        <w:t>反映了全面二孩政策对高收入家庭的影响与对低收入家庭的影响是否存在显著差异</w:t>
      </w:r>
      <w:r>
        <w:rPr>
          <w:rFonts w:hint="eastAsia" w:ascii="仿宋" w:hAnsi="仿宋" w:eastAsia="仿宋" w:cs="仿宋"/>
          <w:sz w:val="24"/>
          <w:szCs w:val="24"/>
        </w:rPr>
        <w:t>。注意到模型（A1）中没有包括</w:t>
      </w:r>
      <m:oMath>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treat</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sz w:val="24"/>
          <w:szCs w:val="24"/>
        </w:rPr>
        <w:t>、</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sz w:val="24"/>
          <w:szCs w:val="24"/>
        </w:rPr>
        <w:t>和</w:t>
      </w:r>
      <m:oMath>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treat</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iCs/>
                <w:sz w:val="24"/>
                <w:szCs w:val="24"/>
              </w:rPr>
            </m:ctrlPr>
          </m:sub>
        </m:sSub>
      </m:oMath>
      <w:r>
        <w:rPr>
          <w:rFonts w:hint="eastAsia" w:ascii="仿宋" w:hAnsi="仿宋" w:eastAsia="仿宋" w:cs="仿宋"/>
          <w:iCs/>
          <w:sz w:val="24"/>
          <w:szCs w:val="24"/>
        </w:rPr>
        <w:t>，</w:t>
      </w:r>
      <w:r>
        <w:rPr>
          <w:rFonts w:hint="eastAsia" w:ascii="仿宋" w:hAnsi="仿宋" w:eastAsia="仿宋" w:cs="仿宋"/>
          <w:sz w:val="24"/>
          <w:szCs w:val="24"/>
        </w:rPr>
        <w:t>是因为这三项已经被家庭固定效应</w:t>
      </w:r>
      <m:oMath>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θ</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iCs/>
                <w:sz w:val="24"/>
                <w:szCs w:val="24"/>
              </w:rPr>
            </m:ctrlPr>
          </m:sub>
        </m:sSub>
      </m:oMath>
      <w:r>
        <w:rPr>
          <w:rFonts w:hint="eastAsia" w:ascii="仿宋" w:hAnsi="仿宋" w:eastAsia="仿宋" w:cs="仿宋"/>
          <w:iCs/>
          <w:sz w:val="24"/>
          <w:szCs w:val="24"/>
        </w:rPr>
        <w:t>吸收了；</w:t>
      </w:r>
      <w:r>
        <w:rPr>
          <w:rFonts w:hint="eastAsia" w:ascii="仿宋" w:hAnsi="仿宋" w:eastAsia="仿宋" w:cs="仿宋"/>
          <w:sz w:val="24"/>
          <w:szCs w:val="24"/>
        </w:rPr>
        <w:t>模型（A1）中没有包括</w:t>
      </w:r>
      <m:oMath>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post</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t</m:t>
            </m:r>
            <m:ctrlPr>
              <w:rPr>
                <w:rFonts w:hint="eastAsia" w:ascii="Cambria Math" w:hAnsi="Cambria Math" w:eastAsia="仿宋" w:cs="仿宋"/>
                <w:i/>
                <w:iCs/>
                <w:sz w:val="24"/>
                <w:szCs w:val="24"/>
              </w:rPr>
            </m:ctrlPr>
          </m:sub>
        </m:sSub>
      </m:oMath>
      <w:r>
        <w:rPr>
          <w:rFonts w:hint="eastAsia" w:ascii="仿宋" w:hAnsi="仿宋" w:eastAsia="仿宋" w:cs="仿宋"/>
          <w:iCs/>
          <w:sz w:val="24"/>
          <w:szCs w:val="24"/>
        </w:rPr>
        <w:t>，是因为这一项已经被年份固定效应</w:t>
      </w:r>
      <m:oMath>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δ</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t</m:t>
            </m:r>
            <m:ctrlPr>
              <w:rPr>
                <w:rFonts w:hint="eastAsia" w:ascii="Cambria Math" w:hAnsi="Cambria Math" w:eastAsia="仿宋" w:cs="仿宋"/>
                <w:i/>
                <w:iCs/>
                <w:sz w:val="24"/>
                <w:szCs w:val="24"/>
              </w:rPr>
            </m:ctrlPr>
          </m:sub>
        </m:sSub>
      </m:oMath>
      <w:r>
        <w:rPr>
          <w:rFonts w:hint="eastAsia" w:ascii="仿宋" w:hAnsi="仿宋" w:eastAsia="仿宋" w:cs="仿宋"/>
          <w:iCs/>
          <w:sz w:val="24"/>
          <w:szCs w:val="24"/>
        </w:rPr>
        <w:t>吸收了。表A1的</w:t>
      </w:r>
      <w:r>
        <w:rPr>
          <w:rFonts w:hint="eastAsia" w:ascii="仿宋" w:hAnsi="仿宋" w:eastAsia="仿宋" w:cs="仿宋"/>
          <w:sz w:val="24"/>
          <w:szCs w:val="24"/>
        </w:rPr>
        <w:t>第（1）和（2）列报告了家庭人均年收入带来的异质性反应，</w:t>
      </w:r>
      <w:r>
        <w:rPr>
          <w:rFonts w:hint="eastAsia" w:ascii="仿宋" w:hAnsi="仿宋" w:eastAsia="仿宋" w:cs="仿宋"/>
          <w:kern w:val="0"/>
          <w:sz w:val="24"/>
          <w:szCs w:val="24"/>
        </w:rPr>
        <w:t>其中第（1）列汇报的是没有控制县与年份线性趋势交叉项的结果，第（2）列是控制了县与年份线性趋势交叉项的结果，可以看出，不论是否控制这一交叉项，回归结果较为类似。回归</w:t>
      </w:r>
      <w:r>
        <w:rPr>
          <w:rFonts w:hint="eastAsia" w:ascii="仿宋" w:hAnsi="仿宋" w:eastAsia="仿宋" w:cs="仿宋"/>
          <w:sz w:val="24"/>
          <w:szCs w:val="24"/>
        </w:rPr>
        <w:t>结果表明，政策实施之前人均年收入更高的家庭比低收入家庭对全面二孩政策的反应更积极，但是两类家庭对政策的反应的区别并不显著。</w:t>
      </w: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pPr>
      <w:r>
        <w:rPr>
          <w:rFonts w:hint="eastAsia" w:ascii="仿宋" w:hAnsi="仿宋" w:eastAsia="仿宋" w:cs="仿宋"/>
          <w:sz w:val="24"/>
          <w:szCs w:val="24"/>
        </w:rPr>
        <w:t>为了探究更低的照料孩子的成本能否促使家庭对全面二孩政策做出更为积极的反应，我们关注所在社区或村庄内有幼儿园的家庭和夫妻双方与父母同住的家庭面对政策时的异质性表现。我们选取“2</w:t>
      </w:r>
      <w:r>
        <w:rPr>
          <w:rFonts w:hint="eastAsia" w:ascii="仿宋" w:hAnsi="仿宋" w:eastAsia="仿宋" w:cs="仿宋"/>
          <w:sz w:val="24"/>
          <w:szCs w:val="24"/>
        </w:rPr>
        <w:t>014</w:t>
      </w:r>
      <w:r>
        <w:rPr>
          <w:rFonts w:hint="eastAsia" w:ascii="仿宋" w:hAnsi="仿宋" w:eastAsia="仿宋" w:cs="仿宋"/>
          <w:sz w:val="24"/>
          <w:szCs w:val="24"/>
        </w:rPr>
        <w:t>年时家庭所在社区或村庄内是否有幼儿园”和“夫妻在2</w:t>
      </w:r>
      <w:r>
        <w:rPr>
          <w:rFonts w:hint="eastAsia" w:ascii="仿宋" w:hAnsi="仿宋" w:eastAsia="仿宋" w:cs="仿宋"/>
          <w:sz w:val="24"/>
          <w:szCs w:val="24"/>
        </w:rPr>
        <w:t>014</w:t>
      </w:r>
      <w:r>
        <w:rPr>
          <w:rFonts w:hint="eastAsia" w:ascii="仿宋" w:hAnsi="仿宋" w:eastAsia="仿宋" w:cs="仿宋"/>
          <w:sz w:val="24"/>
          <w:szCs w:val="24"/>
        </w:rPr>
        <w:t>年时是否与双方任何一方父母同住”，作为异质性的分类变量</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sz w:val="24"/>
          <w:szCs w:val="24"/>
        </w:rPr>
        <w:t>。当我们讨论幼儿园带来的影响时，如果2</w:t>
      </w:r>
      <w:r>
        <w:rPr>
          <w:rFonts w:hint="eastAsia" w:ascii="仿宋" w:hAnsi="仿宋" w:eastAsia="仿宋" w:cs="仿宋"/>
          <w:sz w:val="24"/>
          <w:szCs w:val="24"/>
        </w:rPr>
        <w:t>014</w:t>
      </w:r>
      <w:r>
        <w:rPr>
          <w:rFonts w:hint="eastAsia" w:ascii="仿宋" w:hAnsi="仿宋" w:eastAsia="仿宋" w:cs="仿宋"/>
          <w:sz w:val="24"/>
          <w:szCs w:val="24"/>
        </w:rPr>
        <w:t>年时家庭</w:t>
      </w:r>
      <w:r>
        <w:rPr>
          <w:rFonts w:hint="eastAsia" w:ascii="仿宋" w:hAnsi="仿宋" w:eastAsia="仿宋" w:cs="仿宋"/>
          <w:i/>
          <w:iCs/>
          <w:sz w:val="24"/>
          <w:szCs w:val="24"/>
        </w:rPr>
        <w:t>i</w:t>
      </w:r>
      <w:r>
        <w:rPr>
          <w:rFonts w:hint="eastAsia" w:ascii="仿宋" w:hAnsi="仿宋" w:eastAsia="仿宋" w:cs="仿宋"/>
          <w:sz w:val="24"/>
          <w:szCs w:val="24"/>
        </w:rPr>
        <w:t>所在社区或村庄内有幼儿园，则</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=1</m:t>
        </m:r>
      </m:oMath>
      <w:r>
        <w:rPr>
          <w:rFonts w:hint="eastAsia" w:ascii="仿宋" w:hAnsi="仿宋" w:eastAsia="仿宋" w:cs="仿宋"/>
          <w:sz w:val="24"/>
          <w:szCs w:val="24"/>
        </w:rPr>
        <w:t>，否则</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=0</m:t>
        </m:r>
      </m:oMath>
      <w:r>
        <w:rPr>
          <w:rFonts w:hint="eastAsia" w:ascii="仿宋" w:hAnsi="仿宋" w:eastAsia="仿宋" w:cs="仿宋"/>
          <w:sz w:val="24"/>
          <w:szCs w:val="24"/>
        </w:rPr>
        <w:t>。当我们讨论与父母同住的影响时，如果夫妻在2</w:t>
      </w:r>
      <w:r>
        <w:rPr>
          <w:rFonts w:hint="eastAsia" w:ascii="仿宋" w:hAnsi="仿宋" w:eastAsia="仿宋" w:cs="仿宋"/>
          <w:sz w:val="24"/>
          <w:szCs w:val="24"/>
        </w:rPr>
        <w:t>014</w:t>
      </w:r>
      <w:r>
        <w:rPr>
          <w:rFonts w:hint="eastAsia" w:ascii="仿宋" w:hAnsi="仿宋" w:eastAsia="仿宋" w:cs="仿宋"/>
          <w:sz w:val="24"/>
          <w:szCs w:val="24"/>
        </w:rPr>
        <w:t>年时与双方任何一方父母同住，则</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=1</m:t>
        </m:r>
      </m:oMath>
      <w:r>
        <w:rPr>
          <w:rFonts w:hint="eastAsia" w:ascii="仿宋" w:hAnsi="仿宋" w:eastAsia="仿宋" w:cs="仿宋"/>
          <w:sz w:val="24"/>
          <w:szCs w:val="24"/>
        </w:rPr>
        <w:t>，否则</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=0</m:t>
        </m:r>
      </m:oMath>
      <w:r>
        <w:rPr>
          <w:rFonts w:hint="eastAsia" w:ascii="仿宋" w:hAnsi="仿宋" w:eastAsia="仿宋" w:cs="仿宋"/>
          <w:sz w:val="24"/>
          <w:szCs w:val="24"/>
        </w:rPr>
        <w:t>。通过选取全面二孩政策发生前的取值，可以保证分类变量的外生性，避免出现估计偏误。我们同样按照式（A1）进行异质性分析。</w:t>
      </w:r>
      <w:r>
        <w:rPr>
          <w:rFonts w:hint="eastAsia" w:ascii="仿宋" w:hAnsi="仿宋" w:eastAsia="仿宋" w:cs="仿宋"/>
          <w:iCs/>
          <w:sz w:val="24"/>
          <w:szCs w:val="24"/>
        </w:rPr>
        <w:t>表A1的</w:t>
      </w:r>
      <w:r>
        <w:rPr>
          <w:rFonts w:hint="eastAsia" w:ascii="仿宋" w:hAnsi="仿宋" w:eastAsia="仿宋" w:cs="仿宋"/>
          <w:sz w:val="24"/>
          <w:szCs w:val="24"/>
        </w:rPr>
        <w:t>第（</w:t>
      </w:r>
      <w:r>
        <w:rPr>
          <w:rFonts w:hint="eastAsia" w:ascii="仿宋" w:hAnsi="仿宋" w:eastAsia="仿宋" w:cs="仿宋"/>
          <w:sz w:val="24"/>
          <w:szCs w:val="24"/>
        </w:rPr>
        <w:t>3</w:t>
      </w:r>
      <w:r>
        <w:rPr>
          <w:rFonts w:hint="eastAsia" w:ascii="仿宋" w:hAnsi="仿宋" w:eastAsia="仿宋" w:cs="仿宋"/>
          <w:sz w:val="24"/>
          <w:szCs w:val="24"/>
        </w:rPr>
        <w:t>）和（</w:t>
      </w:r>
      <w:r>
        <w:rPr>
          <w:rFonts w:hint="eastAsia" w:ascii="仿宋" w:hAnsi="仿宋" w:eastAsia="仿宋" w:cs="仿宋"/>
          <w:sz w:val="24"/>
          <w:szCs w:val="24"/>
        </w:rPr>
        <w:t>4</w:t>
      </w:r>
      <w:r>
        <w:rPr>
          <w:rFonts w:hint="eastAsia" w:ascii="仿宋" w:hAnsi="仿宋" w:eastAsia="仿宋" w:cs="仿宋"/>
          <w:sz w:val="24"/>
          <w:szCs w:val="24"/>
        </w:rPr>
        <w:t>）列报告了家庭所在社区或村庄内是否有幼儿园的异质性结果，第（</w:t>
      </w:r>
      <w:r>
        <w:rPr>
          <w:rFonts w:hint="eastAsia" w:ascii="仿宋" w:hAnsi="仿宋" w:eastAsia="仿宋" w:cs="仿宋"/>
          <w:sz w:val="24"/>
          <w:szCs w:val="24"/>
        </w:rPr>
        <w:t>5</w:t>
      </w:r>
      <w:r>
        <w:rPr>
          <w:rFonts w:hint="eastAsia" w:ascii="仿宋" w:hAnsi="仿宋" w:eastAsia="仿宋" w:cs="仿宋"/>
          <w:sz w:val="24"/>
          <w:szCs w:val="24"/>
        </w:rPr>
        <w:t>）和（</w:t>
      </w:r>
      <w:r>
        <w:rPr>
          <w:rFonts w:hint="eastAsia" w:ascii="仿宋" w:hAnsi="仿宋" w:eastAsia="仿宋" w:cs="仿宋"/>
          <w:sz w:val="24"/>
          <w:szCs w:val="24"/>
        </w:rPr>
        <w:t>6</w:t>
      </w:r>
      <w:r>
        <w:rPr>
          <w:rFonts w:hint="eastAsia" w:ascii="仿宋" w:hAnsi="仿宋" w:eastAsia="仿宋" w:cs="仿宋"/>
          <w:sz w:val="24"/>
          <w:szCs w:val="24"/>
        </w:rPr>
        <w:t>）列报告了是否与父母同住的异质性结果，</w:t>
      </w:r>
      <w:r>
        <w:rPr>
          <w:rFonts w:hint="eastAsia" w:ascii="仿宋" w:hAnsi="仿宋" w:eastAsia="仿宋" w:cs="仿宋"/>
          <w:kern w:val="0"/>
          <w:sz w:val="24"/>
          <w:szCs w:val="24"/>
        </w:rPr>
        <w:t>其中第</w:t>
      </w:r>
      <w:r>
        <w:rPr>
          <w:rFonts w:hint="eastAsia" w:ascii="仿宋" w:hAnsi="仿宋" w:eastAsia="仿宋" w:cs="仿宋"/>
          <w:sz w:val="24"/>
          <w:szCs w:val="24"/>
        </w:rPr>
        <w:t>（</w:t>
      </w:r>
      <w:r>
        <w:rPr>
          <w:rFonts w:hint="eastAsia" w:ascii="仿宋" w:hAnsi="仿宋" w:eastAsia="仿宋" w:cs="仿宋"/>
          <w:sz w:val="24"/>
          <w:szCs w:val="24"/>
        </w:rPr>
        <w:t>3</w:t>
      </w:r>
      <w:r>
        <w:rPr>
          <w:rFonts w:hint="eastAsia" w:ascii="仿宋" w:hAnsi="仿宋" w:eastAsia="仿宋" w:cs="仿宋"/>
          <w:sz w:val="24"/>
          <w:szCs w:val="24"/>
        </w:rPr>
        <w:t>）和（</w:t>
      </w:r>
      <w:r>
        <w:rPr>
          <w:rFonts w:hint="eastAsia" w:ascii="仿宋" w:hAnsi="仿宋" w:eastAsia="仿宋" w:cs="仿宋"/>
          <w:sz w:val="24"/>
          <w:szCs w:val="24"/>
        </w:rPr>
        <w:t>5</w:t>
      </w:r>
      <w:r>
        <w:rPr>
          <w:rFonts w:hint="eastAsia" w:ascii="仿宋" w:hAnsi="仿宋" w:eastAsia="仿宋" w:cs="仿宋"/>
          <w:sz w:val="24"/>
          <w:szCs w:val="24"/>
        </w:rPr>
        <w:t>）</w:t>
      </w:r>
      <w:r>
        <w:rPr>
          <w:rFonts w:hint="eastAsia" w:ascii="仿宋" w:hAnsi="仿宋" w:eastAsia="仿宋" w:cs="仿宋"/>
          <w:kern w:val="0"/>
          <w:sz w:val="24"/>
          <w:szCs w:val="24"/>
        </w:rPr>
        <w:t>列汇报的是没有控制县与年份线性趋势交叉项的结果，第</w:t>
      </w:r>
      <w:r>
        <w:rPr>
          <w:rFonts w:hint="eastAsia" w:ascii="仿宋" w:hAnsi="仿宋" w:eastAsia="仿宋" w:cs="仿宋"/>
          <w:sz w:val="24"/>
          <w:szCs w:val="24"/>
        </w:rPr>
        <w:t>（</w:t>
      </w:r>
      <w:r>
        <w:rPr>
          <w:rFonts w:hint="eastAsia" w:ascii="仿宋" w:hAnsi="仿宋" w:eastAsia="仿宋" w:cs="仿宋"/>
          <w:sz w:val="24"/>
          <w:szCs w:val="24"/>
        </w:rPr>
        <w:t>4</w:t>
      </w:r>
      <w:r>
        <w:rPr>
          <w:rFonts w:hint="eastAsia" w:ascii="仿宋" w:hAnsi="仿宋" w:eastAsia="仿宋" w:cs="仿宋"/>
          <w:sz w:val="24"/>
          <w:szCs w:val="24"/>
        </w:rPr>
        <w:t>）</w:t>
      </w:r>
      <w:r>
        <w:rPr>
          <w:rFonts w:hint="eastAsia" w:ascii="仿宋" w:hAnsi="仿宋" w:eastAsia="仿宋" w:cs="仿宋"/>
          <w:kern w:val="0"/>
          <w:sz w:val="24"/>
          <w:szCs w:val="24"/>
        </w:rPr>
        <w:t>和</w:t>
      </w:r>
      <w:r>
        <w:rPr>
          <w:rFonts w:hint="eastAsia" w:ascii="仿宋" w:hAnsi="仿宋" w:eastAsia="仿宋" w:cs="仿宋"/>
          <w:sz w:val="24"/>
          <w:szCs w:val="24"/>
        </w:rPr>
        <w:t>（</w:t>
      </w:r>
      <w:r>
        <w:rPr>
          <w:rFonts w:hint="eastAsia" w:ascii="仿宋" w:hAnsi="仿宋" w:eastAsia="仿宋" w:cs="仿宋"/>
          <w:sz w:val="24"/>
          <w:szCs w:val="24"/>
        </w:rPr>
        <w:t>6</w:t>
      </w:r>
      <w:r>
        <w:rPr>
          <w:rFonts w:hint="eastAsia" w:ascii="仿宋" w:hAnsi="仿宋" w:eastAsia="仿宋" w:cs="仿宋"/>
          <w:sz w:val="24"/>
          <w:szCs w:val="24"/>
        </w:rPr>
        <w:t>）</w:t>
      </w:r>
      <w:r>
        <w:rPr>
          <w:rFonts w:hint="eastAsia" w:ascii="仿宋" w:hAnsi="仿宋" w:eastAsia="仿宋" w:cs="仿宋"/>
          <w:kern w:val="0"/>
          <w:sz w:val="24"/>
          <w:szCs w:val="24"/>
        </w:rPr>
        <w:t>列是控制了县与年份线性趋势交叉项的结果</w:t>
      </w:r>
      <w:r>
        <w:rPr>
          <w:rFonts w:hint="eastAsia" w:ascii="仿宋" w:hAnsi="仿宋" w:eastAsia="仿宋" w:cs="仿宋"/>
          <w:sz w:val="24"/>
          <w:szCs w:val="24"/>
        </w:rPr>
        <w:t>。可以看出政策实施之前附近有幼儿园的家庭比起没有幼儿园的家庭更愿意生育孩子，但是这种区别并不显著；政策实施之前与父母同住的家庭比起不与父母同住的家庭更愿意生育孩子，且两类家庭的区别是显著的，这表明降低家庭的照料成本可以激励其对全面二孩政策做出更为积极的反应。</w:t>
      </w: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pPr>
      <w:r>
        <w:rPr>
          <w:rFonts w:hint="eastAsia" w:ascii="仿宋" w:hAnsi="仿宋" w:eastAsia="仿宋" w:cs="仿宋"/>
          <w:sz w:val="24"/>
          <w:szCs w:val="24"/>
        </w:rPr>
        <w:t>最后，为了探究妻子的工作和收入状态如何影响家庭对全面二孩政策的反应，我们构造“妻子在2014年是否有工作”“2014年妻子年收入占夫妻双方年收入总和的比例”两个变量，作为异质性的分类变量</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sz w:val="24"/>
          <w:szCs w:val="24"/>
        </w:rPr>
        <w:t>。当我们讨论妻子工作带来的影响时，如果2</w:t>
      </w:r>
      <w:r>
        <w:rPr>
          <w:rFonts w:hint="eastAsia" w:ascii="仿宋" w:hAnsi="仿宋" w:eastAsia="仿宋" w:cs="仿宋"/>
          <w:sz w:val="24"/>
          <w:szCs w:val="24"/>
        </w:rPr>
        <w:t>014</w:t>
      </w:r>
      <w:r>
        <w:rPr>
          <w:rFonts w:hint="eastAsia" w:ascii="仿宋" w:hAnsi="仿宋" w:eastAsia="仿宋" w:cs="仿宋"/>
          <w:sz w:val="24"/>
          <w:szCs w:val="24"/>
        </w:rPr>
        <w:t>年时家庭</w:t>
      </w:r>
      <w:r>
        <w:rPr>
          <w:rFonts w:hint="eastAsia" w:ascii="仿宋" w:hAnsi="仿宋" w:eastAsia="仿宋" w:cs="仿宋"/>
          <w:i/>
          <w:iCs/>
          <w:sz w:val="24"/>
          <w:szCs w:val="24"/>
        </w:rPr>
        <w:t>i</w:t>
      </w:r>
      <w:r>
        <w:rPr>
          <w:rFonts w:hint="eastAsia" w:ascii="仿宋" w:hAnsi="仿宋" w:eastAsia="仿宋" w:cs="仿宋"/>
          <w:sz w:val="24"/>
          <w:szCs w:val="24"/>
        </w:rPr>
        <w:t>的妻子有工作，则</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=1</m:t>
        </m:r>
      </m:oMath>
      <w:r>
        <w:rPr>
          <w:rFonts w:hint="eastAsia" w:ascii="仿宋" w:hAnsi="仿宋" w:eastAsia="仿宋" w:cs="仿宋"/>
          <w:sz w:val="24"/>
          <w:szCs w:val="24"/>
        </w:rPr>
        <w:t>，否则</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=0</m:t>
        </m:r>
      </m:oMath>
      <w:r>
        <w:rPr>
          <w:rFonts w:hint="eastAsia" w:ascii="仿宋" w:hAnsi="仿宋" w:eastAsia="仿宋" w:cs="仿宋"/>
          <w:sz w:val="24"/>
          <w:szCs w:val="24"/>
        </w:rPr>
        <w:t>。当我们讨论妻子收入占比的影响时，如果2014年妻子年收入占夫妻双方年收入总和的比例较高，则</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=1</m:t>
        </m:r>
      </m:oMath>
      <w:r>
        <w:rPr>
          <w:rFonts w:hint="eastAsia" w:ascii="仿宋" w:hAnsi="仿宋" w:eastAsia="仿宋" w:cs="仿宋"/>
          <w:sz w:val="24"/>
          <w:szCs w:val="24"/>
        </w:rPr>
        <w:t>，否则</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r>
          <m:rPr/>
          <w:rPr>
            <w:rFonts w:hint="eastAsia" w:ascii="Cambria Math" w:hAnsi="Cambria Math" w:eastAsia="仿宋" w:cs="仿宋"/>
            <w:sz w:val="24"/>
            <w:szCs w:val="24"/>
          </w:rPr>
          <m:t>=0</m:t>
        </m:r>
      </m:oMath>
      <w:r>
        <w:rPr>
          <w:rFonts w:hint="eastAsia" w:ascii="仿宋" w:hAnsi="仿宋" w:eastAsia="仿宋" w:cs="仿宋"/>
          <w:sz w:val="24"/>
          <w:szCs w:val="24"/>
        </w:rPr>
        <w:t>。本文选取全面二孩政策发生之前的变量取值作为异质性分析的分类变量，这保证了分类变量的外生性，避免引起估计偏误。我们同样按照式（A1）进行异质性分析。</w:t>
      </w:r>
      <w:r>
        <w:rPr>
          <w:rFonts w:hint="eastAsia" w:ascii="仿宋" w:hAnsi="仿宋" w:eastAsia="仿宋" w:cs="仿宋"/>
          <w:iCs/>
          <w:sz w:val="24"/>
          <w:szCs w:val="24"/>
        </w:rPr>
        <w:t>表A1的</w:t>
      </w:r>
      <w:r>
        <w:rPr>
          <w:rFonts w:hint="eastAsia" w:ascii="仿宋" w:hAnsi="仿宋" w:eastAsia="仿宋" w:cs="仿宋"/>
          <w:sz w:val="24"/>
          <w:szCs w:val="24"/>
        </w:rPr>
        <w:t>第（</w:t>
      </w:r>
      <w:r>
        <w:rPr>
          <w:rFonts w:hint="eastAsia" w:ascii="仿宋" w:hAnsi="仿宋" w:eastAsia="仿宋" w:cs="仿宋"/>
          <w:sz w:val="24"/>
          <w:szCs w:val="24"/>
        </w:rPr>
        <w:t>7</w:t>
      </w:r>
      <w:r>
        <w:rPr>
          <w:rFonts w:hint="eastAsia" w:ascii="仿宋" w:hAnsi="仿宋" w:eastAsia="仿宋" w:cs="仿宋"/>
          <w:sz w:val="24"/>
          <w:szCs w:val="24"/>
        </w:rPr>
        <w:t>）和（</w:t>
      </w:r>
      <w:r>
        <w:rPr>
          <w:rFonts w:hint="eastAsia" w:ascii="仿宋" w:hAnsi="仿宋" w:eastAsia="仿宋" w:cs="仿宋"/>
          <w:sz w:val="24"/>
          <w:szCs w:val="24"/>
        </w:rPr>
        <w:t>8</w:t>
      </w:r>
      <w:r>
        <w:rPr>
          <w:rFonts w:hint="eastAsia" w:ascii="仿宋" w:hAnsi="仿宋" w:eastAsia="仿宋" w:cs="仿宋"/>
          <w:sz w:val="24"/>
          <w:szCs w:val="24"/>
        </w:rPr>
        <w:t>）列报告了妻子是否有工作对政策的反应，</w:t>
      </w:r>
      <w:r>
        <w:rPr>
          <w:rFonts w:hint="eastAsia" w:ascii="仿宋" w:hAnsi="仿宋" w:eastAsia="仿宋" w:cs="仿宋"/>
          <w:kern w:val="0"/>
          <w:sz w:val="24"/>
          <w:szCs w:val="24"/>
        </w:rPr>
        <w:t>其中第（</w:t>
      </w:r>
      <w:r>
        <w:rPr>
          <w:rFonts w:hint="eastAsia" w:ascii="仿宋" w:hAnsi="仿宋" w:eastAsia="仿宋" w:cs="仿宋"/>
          <w:kern w:val="0"/>
          <w:sz w:val="24"/>
          <w:szCs w:val="24"/>
        </w:rPr>
        <w:t>7</w:t>
      </w:r>
      <w:r>
        <w:rPr>
          <w:rFonts w:hint="eastAsia" w:ascii="仿宋" w:hAnsi="仿宋" w:eastAsia="仿宋" w:cs="仿宋"/>
          <w:kern w:val="0"/>
          <w:sz w:val="24"/>
          <w:szCs w:val="24"/>
        </w:rPr>
        <w:t>）列汇报的是没有控制县与年份线性趋势交叉项的结果，第（</w:t>
      </w:r>
      <w:r>
        <w:rPr>
          <w:rFonts w:hint="eastAsia" w:ascii="仿宋" w:hAnsi="仿宋" w:eastAsia="仿宋" w:cs="仿宋"/>
          <w:kern w:val="0"/>
          <w:sz w:val="24"/>
          <w:szCs w:val="24"/>
        </w:rPr>
        <w:t>8</w:t>
      </w:r>
      <w:r>
        <w:rPr>
          <w:rFonts w:hint="eastAsia" w:ascii="仿宋" w:hAnsi="仿宋" w:eastAsia="仿宋" w:cs="仿宋"/>
          <w:kern w:val="0"/>
          <w:sz w:val="24"/>
          <w:szCs w:val="24"/>
        </w:rPr>
        <w:t>）列是控制了县与年份线性趋势交叉项的结果。</w:t>
      </w:r>
      <w:r>
        <w:rPr>
          <w:rFonts w:hint="eastAsia" w:ascii="仿宋" w:hAnsi="仿宋" w:eastAsia="仿宋" w:cs="仿宋"/>
          <w:sz w:val="24"/>
          <w:szCs w:val="24"/>
        </w:rPr>
        <w:t>可以看出，政策实施之前妻子有工作的家庭比起妻子无工作的家庭更不愿意生育，但两类家庭的区别并不显著。表A1的第（</w:t>
      </w:r>
      <w:r>
        <w:rPr>
          <w:rFonts w:hint="eastAsia" w:ascii="仿宋" w:hAnsi="仿宋" w:eastAsia="仿宋" w:cs="仿宋"/>
          <w:sz w:val="24"/>
          <w:szCs w:val="24"/>
        </w:rPr>
        <w:t>9</w:t>
      </w:r>
      <w:r>
        <w:rPr>
          <w:rFonts w:hint="eastAsia" w:ascii="仿宋" w:hAnsi="仿宋" w:eastAsia="仿宋" w:cs="仿宋"/>
          <w:sz w:val="24"/>
          <w:szCs w:val="24"/>
        </w:rPr>
        <w:t>）和（</w:t>
      </w:r>
      <w:r>
        <w:rPr>
          <w:rFonts w:hint="eastAsia" w:ascii="仿宋" w:hAnsi="仿宋" w:eastAsia="仿宋" w:cs="仿宋"/>
          <w:sz w:val="24"/>
          <w:szCs w:val="24"/>
        </w:rPr>
        <w:t>10</w:t>
      </w:r>
      <w:r>
        <w:rPr>
          <w:rFonts w:hint="eastAsia" w:ascii="仿宋" w:hAnsi="仿宋" w:eastAsia="仿宋" w:cs="仿宋"/>
          <w:sz w:val="24"/>
          <w:szCs w:val="24"/>
        </w:rPr>
        <w:t>）列报告了家庭中妻子收入占夫妻收入总和比例的高低对政策的反应，</w:t>
      </w:r>
      <w:r>
        <w:rPr>
          <w:rFonts w:hint="eastAsia" w:ascii="仿宋" w:hAnsi="仿宋" w:eastAsia="仿宋" w:cs="仿宋"/>
          <w:kern w:val="0"/>
          <w:sz w:val="24"/>
          <w:szCs w:val="24"/>
        </w:rPr>
        <w:t>其中第（</w:t>
      </w:r>
      <w:r>
        <w:rPr>
          <w:rFonts w:hint="eastAsia" w:ascii="仿宋" w:hAnsi="仿宋" w:eastAsia="仿宋" w:cs="仿宋"/>
          <w:kern w:val="0"/>
          <w:sz w:val="24"/>
          <w:szCs w:val="24"/>
        </w:rPr>
        <w:t>9</w:t>
      </w:r>
      <w:r>
        <w:rPr>
          <w:rFonts w:hint="eastAsia" w:ascii="仿宋" w:hAnsi="仿宋" w:eastAsia="仿宋" w:cs="仿宋"/>
          <w:kern w:val="0"/>
          <w:sz w:val="24"/>
          <w:szCs w:val="24"/>
        </w:rPr>
        <w:t>）列汇报的是没有控制县与年份线性趋势交叉项的结果，第（</w:t>
      </w:r>
      <w:r>
        <w:rPr>
          <w:rFonts w:hint="eastAsia" w:ascii="仿宋" w:hAnsi="仿宋" w:eastAsia="仿宋" w:cs="仿宋"/>
          <w:kern w:val="0"/>
          <w:sz w:val="24"/>
          <w:szCs w:val="24"/>
        </w:rPr>
        <w:t>10</w:t>
      </w:r>
      <w:r>
        <w:rPr>
          <w:rFonts w:hint="eastAsia" w:ascii="仿宋" w:hAnsi="仿宋" w:eastAsia="仿宋" w:cs="仿宋"/>
          <w:kern w:val="0"/>
          <w:sz w:val="24"/>
          <w:szCs w:val="24"/>
        </w:rPr>
        <w:t>）列是控制了县与年份线性趋势交叉项的结果。</w:t>
      </w:r>
      <w:r>
        <w:rPr>
          <w:rFonts w:hint="eastAsia" w:ascii="仿宋" w:hAnsi="仿宋" w:eastAsia="仿宋" w:cs="仿宋"/>
          <w:sz w:val="24"/>
          <w:szCs w:val="24"/>
        </w:rPr>
        <w:t>可以看出，政策实施之前妻子收入占比高的家庭比起占比低的家庭更不愿意生育，但两类家庭的区别也不显著。</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综合上述回归结果，“</w:t>
      </w:r>
      <w:r>
        <w:rPr>
          <w:rFonts w:hint="eastAsia" w:ascii="仿宋" w:hAnsi="仿宋" w:eastAsia="仿宋" w:cs="仿宋"/>
          <w:sz w:val="24"/>
          <w:szCs w:val="24"/>
        </w:rPr>
        <w:t>没人带孩子</w:t>
      </w:r>
      <w:r>
        <w:rPr>
          <w:rFonts w:hint="eastAsia" w:ascii="仿宋" w:hAnsi="仿宋" w:eastAsia="仿宋" w:cs="仿宋"/>
          <w:sz w:val="24"/>
          <w:szCs w:val="24"/>
        </w:rPr>
        <w:t>”确实是影响全面二孩政策实施效果的重要因素，如果能够有效降低家庭照料成本，那么全面二孩政策的实施效果可能会有进一步的提高；而本文的异质性分析也发现家庭经济负担和女性在家庭与工作之间的抉择有可能妨碍了全面二孩政策的有效实施，但其结果并不显著。</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sz w:val="24"/>
          <w:szCs w:val="24"/>
        </w:rPr>
        <w:sectPr>
          <w:headerReference r:id="rId4" w:type="default"/>
          <w:footerReference r:id="rId5" w:type="default"/>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sz w:val="22"/>
          <w:szCs w:val="22"/>
        </w:rPr>
      </w:pPr>
      <w:r>
        <w:rPr>
          <w:rFonts w:hint="eastAsia" w:ascii="仿宋" w:hAnsi="仿宋" w:eastAsia="仿宋" w:cs="仿宋"/>
          <w:b/>
          <w:bCs/>
          <w:sz w:val="22"/>
          <w:szCs w:val="22"/>
        </w:rPr>
        <w:t>表A1  异质性结果</w:t>
      </w:r>
    </w:p>
    <w:tbl>
      <w:tblPr>
        <w:tblStyle w:val="5"/>
        <w:tblW w:w="13401" w:type="dxa"/>
        <w:jc w:val="center"/>
        <w:tblLayout w:type="autofit"/>
        <w:tblCellMar>
          <w:top w:w="0" w:type="dxa"/>
          <w:left w:w="108" w:type="dxa"/>
          <w:bottom w:w="0" w:type="dxa"/>
          <w:right w:w="108" w:type="dxa"/>
        </w:tblCellMar>
      </w:tblPr>
      <w:tblGrid>
        <w:gridCol w:w="1814"/>
        <w:gridCol w:w="1108"/>
        <w:gridCol w:w="1108"/>
        <w:gridCol w:w="1109"/>
        <w:gridCol w:w="1109"/>
        <w:gridCol w:w="1266"/>
        <w:gridCol w:w="1288"/>
        <w:gridCol w:w="1109"/>
        <w:gridCol w:w="82"/>
        <w:gridCol w:w="1191"/>
        <w:gridCol w:w="900"/>
        <w:gridCol w:w="208"/>
        <w:gridCol w:w="1109"/>
      </w:tblGrid>
      <w:tr>
        <w:tblPrEx>
          <w:tblCellMar>
            <w:top w:w="0" w:type="dxa"/>
            <w:left w:w="108" w:type="dxa"/>
            <w:bottom w:w="0" w:type="dxa"/>
            <w:right w:w="108" w:type="dxa"/>
          </w:tblCellMar>
        </w:tblPrEx>
        <w:trPr>
          <w:trHeight w:val="280" w:hRule="atLeast"/>
          <w:jc w:val="center"/>
        </w:trPr>
        <w:tc>
          <w:tcPr>
            <w:tcW w:w="1814" w:type="dxa"/>
            <w:tcBorders>
              <w:top w:val="single" w:color="auto" w:sz="4" w:space="0"/>
              <w:left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109" w:type="dxa"/>
            <w:tcBorders>
              <w:top w:val="single" w:color="auto" w:sz="4" w:space="0"/>
              <w:lef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1109" w:type="dxa"/>
            <w:tcBorders>
              <w:top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1109" w:type="dxa"/>
            <w:tcBorders>
              <w:top w:val="single" w:color="auto" w:sz="4" w:space="0"/>
              <w:left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1109" w:type="dxa"/>
            <w:tcBorders>
              <w:top w:val="single" w:color="auto" w:sz="4" w:space="0"/>
              <w:left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263" w:type="dxa"/>
            <w:tcBorders>
              <w:top w:val="single" w:color="auto" w:sz="4" w:space="0"/>
              <w:left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1288" w:type="dxa"/>
            <w:tcBorders>
              <w:top w:val="single" w:color="auto" w:sz="4" w:space="0"/>
              <w:left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1191" w:type="dxa"/>
            <w:gridSpan w:val="2"/>
            <w:tcBorders>
              <w:top w:val="single" w:color="auto" w:sz="4" w:space="0"/>
              <w:left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(7)</w:t>
            </w:r>
          </w:p>
        </w:tc>
        <w:tc>
          <w:tcPr>
            <w:tcW w:w="1191" w:type="dxa"/>
            <w:tcBorders>
              <w:top w:val="single" w:color="auto" w:sz="4" w:space="0"/>
              <w:left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1109" w:type="dxa"/>
            <w:gridSpan w:val="2"/>
            <w:tcBorders>
              <w:top w:val="single" w:color="auto" w:sz="4" w:space="0"/>
              <w:left w:val="single" w:color="auto" w:sz="4" w:space="0"/>
              <w:right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(9)</w:t>
            </w:r>
          </w:p>
        </w:tc>
        <w:tc>
          <w:tcPr>
            <w:tcW w:w="1109" w:type="dxa"/>
            <w:tcBorders>
              <w:top w:val="single" w:color="auto" w:sz="4" w:space="0"/>
              <w:left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(10)</w:t>
            </w:r>
          </w:p>
        </w:tc>
      </w:tr>
      <w:tr>
        <w:tblPrEx>
          <w:tblCellMar>
            <w:top w:w="0" w:type="dxa"/>
            <w:left w:w="108" w:type="dxa"/>
            <w:bottom w:w="0" w:type="dxa"/>
            <w:right w:w="108" w:type="dxa"/>
          </w:tblCellMar>
        </w:tblPrEx>
        <w:trPr>
          <w:trHeight w:val="280" w:hRule="atLeast"/>
          <w:jc w:val="center"/>
        </w:trPr>
        <w:tc>
          <w:tcPr>
            <w:tcW w:w="1814"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变量</w:t>
            </w:r>
          </w:p>
        </w:tc>
        <w:tc>
          <w:tcPr>
            <w:tcW w:w="1109" w:type="dxa"/>
            <w:tcBorders>
              <w:top w:val="nil"/>
              <w:left w:val="single" w:color="auto" w:sz="4" w:space="0"/>
              <w:bottom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1109" w:type="dxa"/>
            <w:tcBorders>
              <w:top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1109" w:type="dxa"/>
            <w:tcBorders>
              <w:top w:val="nil"/>
              <w:left w:val="single" w:color="auto" w:sz="4" w:space="0"/>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1109"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1263" w:type="dxa"/>
            <w:tcBorders>
              <w:top w:val="nil"/>
              <w:left w:val="single" w:color="auto" w:sz="4" w:space="0"/>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12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1191" w:type="dxa"/>
            <w:gridSpan w:val="2"/>
            <w:tcBorders>
              <w:top w:val="nil"/>
              <w:left w:val="single" w:color="auto" w:sz="4" w:space="0"/>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1191"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1109" w:type="dxa"/>
            <w:gridSpan w:val="2"/>
            <w:tcBorders>
              <w:top w:val="nil"/>
              <w:left w:val="single" w:color="auto" w:sz="4" w:space="0"/>
              <w:bottom w:val="single" w:color="auto" w:sz="4" w:space="0"/>
              <w:right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1109" w:type="dxa"/>
            <w:tcBorders>
              <w:top w:val="nil"/>
              <w:left w:val="nil"/>
              <w:bottom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r>
      <w:tr>
        <w:tblPrEx>
          <w:tblCellMar>
            <w:top w:w="0" w:type="dxa"/>
            <w:left w:w="108" w:type="dxa"/>
            <w:bottom w:w="0" w:type="dxa"/>
            <w:right w:w="108" w:type="dxa"/>
          </w:tblCellMar>
        </w:tblPrEx>
        <w:trPr>
          <w:trHeight w:val="280" w:hRule="atLeast"/>
          <w:jc w:val="center"/>
        </w:trPr>
        <w:tc>
          <w:tcPr>
            <w:tcW w:w="1814" w:type="dxa"/>
            <w:tcBorders>
              <w:top w:val="single" w:color="auto"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2218" w:type="dxa"/>
            <w:gridSpan w:val="2"/>
            <w:tcBorders>
              <w:top w:val="single" w:color="auto" w:sz="4" w:space="0"/>
              <w:left w:val="single" w:color="auto" w:sz="4" w:space="0"/>
              <w:bottom w:val="nil"/>
              <w:right w:val="single" w:color="auto" w:sz="4" w:space="0"/>
            </w:tcBorders>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家庭人均收入</w:t>
            </w:r>
          </w:p>
        </w:tc>
        <w:tc>
          <w:tcPr>
            <w:tcW w:w="2218" w:type="dxa"/>
            <w:gridSpan w:val="2"/>
            <w:tcBorders>
              <w:top w:val="single" w:color="auto" w:sz="4" w:space="0"/>
              <w:left w:val="single" w:color="auto" w:sz="4" w:space="0"/>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是否有幼儿园</w:t>
            </w:r>
          </w:p>
        </w:tc>
        <w:tc>
          <w:tcPr>
            <w:tcW w:w="2551" w:type="dxa"/>
            <w:gridSpan w:val="2"/>
            <w:tcBorders>
              <w:top w:val="single" w:color="auto" w:sz="4" w:space="0"/>
              <w:left w:val="single" w:color="auto" w:sz="4" w:space="0"/>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是否与父母同住</w:t>
            </w:r>
          </w:p>
        </w:tc>
        <w:tc>
          <w:tcPr>
            <w:tcW w:w="2382" w:type="dxa"/>
            <w:gridSpan w:val="3"/>
            <w:tcBorders>
              <w:top w:val="single" w:color="auto" w:sz="4" w:space="0"/>
              <w:left w:val="single" w:color="auto" w:sz="4" w:space="0"/>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妻子是否有工作</w:t>
            </w:r>
          </w:p>
        </w:tc>
        <w:tc>
          <w:tcPr>
            <w:tcW w:w="2218" w:type="dxa"/>
            <w:gridSpan w:val="3"/>
            <w:tcBorders>
              <w:top w:val="single" w:color="auto" w:sz="4" w:space="0"/>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妻子收入占比</w:t>
            </w:r>
          </w:p>
        </w:tc>
      </w:tr>
      <w:tr>
        <w:tblPrEx>
          <w:tblCellMar>
            <w:top w:w="0" w:type="dxa"/>
            <w:left w:w="108" w:type="dxa"/>
            <w:bottom w:w="0" w:type="dxa"/>
            <w:right w:w="108" w:type="dxa"/>
          </w:tblCellMar>
        </w:tblPrEx>
        <w:trPr>
          <w:trHeight w:val="280" w:hRule="atLeast"/>
          <w:jc w:val="center"/>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i/>
                <w:iCs/>
                <w:kern w:val="0"/>
                <w:sz w:val="21"/>
                <w:szCs w:val="21"/>
              </w:rPr>
              <w:t>treat</w:t>
            </w:r>
            <w:r>
              <w:rPr>
                <w:rFonts w:hint="eastAsia" w:ascii="仿宋" w:hAnsi="仿宋" w:eastAsia="仿宋" w:cs="仿宋"/>
                <w:kern w:val="0"/>
                <w:sz w:val="21"/>
                <w:szCs w:val="21"/>
              </w:rPr>
              <w:sym w:font="Symbol" w:char="F0B4"/>
            </w:r>
            <w:r>
              <w:rPr>
                <w:rFonts w:hint="eastAsia" w:ascii="仿宋" w:hAnsi="仿宋" w:eastAsia="仿宋" w:cs="仿宋"/>
                <w:i/>
                <w:iCs/>
                <w:kern w:val="0"/>
                <w:sz w:val="21"/>
                <w:szCs w:val="21"/>
              </w:rPr>
              <w:t>post</w:t>
            </w:r>
            <w:r>
              <w:rPr>
                <w:rFonts w:hint="eastAsia" w:ascii="仿宋" w:hAnsi="仿宋" w:eastAsia="仿宋" w:cs="仿宋"/>
                <w:kern w:val="0"/>
                <w:sz w:val="21"/>
                <w:szCs w:val="21"/>
              </w:rPr>
              <w:sym w:font="Symbol" w:char="F0B4"/>
            </w:r>
            <w:r>
              <w:rPr>
                <w:rFonts w:hint="eastAsia" w:ascii="仿宋" w:hAnsi="仿宋" w:eastAsia="仿宋" w:cs="仿宋"/>
                <w:i/>
                <w:iCs/>
                <w:kern w:val="0"/>
                <w:sz w:val="21"/>
                <w:szCs w:val="21"/>
              </w:rPr>
              <w:t>var</w:t>
            </w:r>
          </w:p>
        </w:tc>
        <w:tc>
          <w:tcPr>
            <w:tcW w:w="1109"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0.0176</w:t>
            </w:r>
          </w:p>
        </w:tc>
        <w:tc>
          <w:tcPr>
            <w:tcW w:w="1109" w:type="dxa"/>
            <w:tcBorders>
              <w:top w:val="nil"/>
              <w:bottom w:val="nil"/>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0.0130</w:t>
            </w:r>
          </w:p>
        </w:tc>
        <w:tc>
          <w:tcPr>
            <w:tcW w:w="1109"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0.0167</w:t>
            </w:r>
          </w:p>
        </w:tc>
        <w:tc>
          <w:tcPr>
            <w:tcW w:w="1109"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0.0233</w:t>
            </w:r>
          </w:p>
        </w:tc>
        <w:tc>
          <w:tcPr>
            <w:tcW w:w="1263"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0.0299*</w:t>
            </w:r>
          </w:p>
        </w:tc>
        <w:tc>
          <w:tcPr>
            <w:tcW w:w="128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0.0313*</w:t>
            </w:r>
          </w:p>
        </w:tc>
        <w:tc>
          <w:tcPr>
            <w:tcW w:w="1191" w:type="dxa"/>
            <w:gridSpan w:val="2"/>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-0.0138</w:t>
            </w:r>
          </w:p>
        </w:tc>
        <w:tc>
          <w:tcPr>
            <w:tcW w:w="1191"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-0.0154</w:t>
            </w:r>
          </w:p>
        </w:tc>
        <w:tc>
          <w:tcPr>
            <w:tcW w:w="1109" w:type="dxa"/>
            <w:gridSpan w:val="2"/>
            <w:tcBorders>
              <w:top w:val="nil"/>
              <w:left w:val="single" w:color="auto" w:sz="4" w:space="0"/>
              <w:bottom w:val="nil"/>
              <w:right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-0.0236</w:t>
            </w:r>
          </w:p>
        </w:tc>
        <w:tc>
          <w:tcPr>
            <w:tcW w:w="1109" w:type="dxa"/>
            <w:tcBorders>
              <w:top w:val="nil"/>
              <w:left w:val="nil"/>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-0.0171</w:t>
            </w:r>
          </w:p>
        </w:tc>
      </w:tr>
      <w:tr>
        <w:tblPrEx>
          <w:tblCellMar>
            <w:top w:w="0" w:type="dxa"/>
            <w:left w:w="108" w:type="dxa"/>
            <w:bottom w:w="0" w:type="dxa"/>
            <w:right w:w="108" w:type="dxa"/>
          </w:tblCellMar>
        </w:tblPrEx>
        <w:trPr>
          <w:trHeight w:val="280" w:hRule="atLeast"/>
          <w:jc w:val="center"/>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1109"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(0.0171)</w:t>
            </w:r>
          </w:p>
        </w:tc>
        <w:tc>
          <w:tcPr>
            <w:tcW w:w="1109" w:type="dxa"/>
            <w:tcBorders>
              <w:top w:val="nil"/>
              <w:bottom w:val="nil"/>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(0.0179)</w:t>
            </w:r>
          </w:p>
        </w:tc>
        <w:tc>
          <w:tcPr>
            <w:tcW w:w="1109"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(0.0179)</w:t>
            </w:r>
          </w:p>
        </w:tc>
        <w:tc>
          <w:tcPr>
            <w:tcW w:w="1109"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(0.0199)</w:t>
            </w:r>
          </w:p>
        </w:tc>
        <w:tc>
          <w:tcPr>
            <w:tcW w:w="1263"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(0.0153)</w:t>
            </w:r>
          </w:p>
        </w:tc>
        <w:tc>
          <w:tcPr>
            <w:tcW w:w="128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(0.0161)</w:t>
            </w:r>
          </w:p>
        </w:tc>
        <w:tc>
          <w:tcPr>
            <w:tcW w:w="1191" w:type="dxa"/>
            <w:gridSpan w:val="2"/>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(0.0221)</w:t>
            </w:r>
          </w:p>
        </w:tc>
        <w:tc>
          <w:tcPr>
            <w:tcW w:w="1191"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(0.0230)</w:t>
            </w:r>
          </w:p>
        </w:tc>
        <w:tc>
          <w:tcPr>
            <w:tcW w:w="1109" w:type="dxa"/>
            <w:gridSpan w:val="2"/>
            <w:tcBorders>
              <w:top w:val="nil"/>
              <w:left w:val="single" w:color="auto" w:sz="4" w:space="0"/>
              <w:bottom w:val="nil"/>
              <w:right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(0.0308)</w:t>
            </w:r>
          </w:p>
        </w:tc>
        <w:tc>
          <w:tcPr>
            <w:tcW w:w="1109" w:type="dxa"/>
            <w:tcBorders>
              <w:top w:val="nil"/>
              <w:left w:val="nil"/>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(0.0311)</w:t>
            </w:r>
          </w:p>
        </w:tc>
      </w:tr>
      <w:tr>
        <w:tblPrEx>
          <w:tblCellMar>
            <w:top w:w="0" w:type="dxa"/>
            <w:left w:w="108" w:type="dxa"/>
            <w:bottom w:w="0" w:type="dxa"/>
            <w:right w:w="108" w:type="dxa"/>
          </w:tblCellMar>
        </w:tblPrEx>
        <w:trPr>
          <w:trHeight w:val="280" w:hRule="atLeast"/>
          <w:jc w:val="center"/>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i/>
                <w:iCs/>
                <w:kern w:val="0"/>
                <w:sz w:val="21"/>
                <w:szCs w:val="21"/>
              </w:rPr>
              <w:t>treat</w:t>
            </w:r>
            <w:r>
              <w:rPr>
                <w:rFonts w:hint="eastAsia" w:ascii="仿宋" w:hAnsi="仿宋" w:eastAsia="仿宋" w:cs="仿宋"/>
                <w:kern w:val="0"/>
                <w:sz w:val="21"/>
                <w:szCs w:val="21"/>
              </w:rPr>
              <w:sym w:font="Symbol" w:char="F0B4"/>
            </w:r>
            <w:r>
              <w:rPr>
                <w:rFonts w:hint="eastAsia" w:ascii="仿宋" w:hAnsi="仿宋" w:eastAsia="仿宋" w:cs="仿宋"/>
                <w:i/>
                <w:iCs/>
                <w:kern w:val="0"/>
                <w:sz w:val="21"/>
                <w:szCs w:val="21"/>
              </w:rPr>
              <w:t>post</w:t>
            </w:r>
          </w:p>
        </w:tc>
        <w:tc>
          <w:tcPr>
            <w:tcW w:w="1109"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0.0267*</w:t>
            </w:r>
          </w:p>
        </w:tc>
        <w:tc>
          <w:tcPr>
            <w:tcW w:w="1109" w:type="dxa"/>
            <w:tcBorders>
              <w:top w:val="nil"/>
              <w:bottom w:val="nil"/>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0.0284**</w:t>
            </w:r>
          </w:p>
        </w:tc>
        <w:tc>
          <w:tcPr>
            <w:tcW w:w="1109"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0.0225*</w:t>
            </w:r>
          </w:p>
        </w:tc>
        <w:tc>
          <w:tcPr>
            <w:tcW w:w="1109"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0.0198</w:t>
            </w:r>
          </w:p>
        </w:tc>
        <w:tc>
          <w:tcPr>
            <w:tcW w:w="1263"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-0.0087</w:t>
            </w:r>
          </w:p>
        </w:tc>
        <w:tc>
          <w:tcPr>
            <w:tcW w:w="128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-0.0117</w:t>
            </w:r>
          </w:p>
        </w:tc>
        <w:tc>
          <w:tcPr>
            <w:tcW w:w="1191" w:type="dxa"/>
            <w:gridSpan w:val="2"/>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0.0395**</w:t>
            </w:r>
          </w:p>
        </w:tc>
        <w:tc>
          <w:tcPr>
            <w:tcW w:w="1191"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0.0432**</w:t>
            </w:r>
          </w:p>
        </w:tc>
        <w:tc>
          <w:tcPr>
            <w:tcW w:w="1109" w:type="dxa"/>
            <w:gridSpan w:val="2"/>
            <w:tcBorders>
              <w:top w:val="nil"/>
              <w:left w:val="single" w:color="auto" w:sz="4" w:space="0"/>
              <w:bottom w:val="nil"/>
              <w:right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0.0407**</w:t>
            </w:r>
          </w:p>
        </w:tc>
        <w:tc>
          <w:tcPr>
            <w:tcW w:w="1109" w:type="dxa"/>
            <w:tcBorders>
              <w:top w:val="nil"/>
              <w:left w:val="nil"/>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0.0397**</w:t>
            </w:r>
          </w:p>
        </w:tc>
      </w:tr>
      <w:tr>
        <w:tblPrEx>
          <w:tblCellMar>
            <w:top w:w="0" w:type="dxa"/>
            <w:left w:w="108" w:type="dxa"/>
            <w:bottom w:w="0" w:type="dxa"/>
            <w:right w:w="108" w:type="dxa"/>
          </w:tblCellMar>
        </w:tblPrEx>
        <w:trPr>
          <w:trHeight w:val="280" w:hRule="atLeast"/>
          <w:jc w:val="center"/>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1109"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(0.0136)</w:t>
            </w:r>
          </w:p>
        </w:tc>
        <w:tc>
          <w:tcPr>
            <w:tcW w:w="1109" w:type="dxa"/>
            <w:tcBorders>
              <w:top w:val="nil"/>
              <w:bottom w:val="nil"/>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(0.0142)</w:t>
            </w:r>
          </w:p>
        </w:tc>
        <w:tc>
          <w:tcPr>
            <w:tcW w:w="1109"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(0.0129)</w:t>
            </w:r>
          </w:p>
        </w:tc>
        <w:tc>
          <w:tcPr>
            <w:tcW w:w="1109"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(0.0147)</w:t>
            </w:r>
          </w:p>
        </w:tc>
        <w:tc>
          <w:tcPr>
            <w:tcW w:w="1263"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(0.0129)</w:t>
            </w:r>
          </w:p>
        </w:tc>
        <w:tc>
          <w:tcPr>
            <w:tcW w:w="128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(0.0144)</w:t>
            </w:r>
          </w:p>
        </w:tc>
        <w:tc>
          <w:tcPr>
            <w:tcW w:w="1191" w:type="dxa"/>
            <w:gridSpan w:val="2"/>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(0.0185)</w:t>
            </w:r>
          </w:p>
        </w:tc>
        <w:tc>
          <w:tcPr>
            <w:tcW w:w="1191"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(0.0200)</w:t>
            </w:r>
          </w:p>
        </w:tc>
        <w:tc>
          <w:tcPr>
            <w:tcW w:w="1109" w:type="dxa"/>
            <w:gridSpan w:val="2"/>
            <w:tcBorders>
              <w:top w:val="nil"/>
              <w:left w:val="single" w:color="auto" w:sz="4" w:space="0"/>
              <w:bottom w:val="nil"/>
              <w:right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(0.0157)</w:t>
            </w:r>
          </w:p>
        </w:tc>
        <w:tc>
          <w:tcPr>
            <w:tcW w:w="1109" w:type="dxa"/>
            <w:tcBorders>
              <w:top w:val="nil"/>
              <w:left w:val="nil"/>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(0.0168)</w:t>
            </w:r>
          </w:p>
        </w:tc>
      </w:tr>
      <w:tr>
        <w:tblPrEx>
          <w:tblCellMar>
            <w:top w:w="0" w:type="dxa"/>
            <w:left w:w="108" w:type="dxa"/>
            <w:bottom w:w="0" w:type="dxa"/>
            <w:right w:w="108" w:type="dxa"/>
          </w:tblCellMar>
        </w:tblPrEx>
        <w:trPr>
          <w:trHeight w:val="280" w:hRule="atLeast"/>
          <w:jc w:val="center"/>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i/>
                <w:iCs/>
                <w:kern w:val="0"/>
                <w:sz w:val="21"/>
                <w:szCs w:val="21"/>
              </w:rPr>
              <w:t>post</w:t>
            </w:r>
            <w:r>
              <w:rPr>
                <w:rFonts w:hint="eastAsia" w:ascii="仿宋" w:hAnsi="仿宋" w:eastAsia="仿宋" w:cs="仿宋"/>
                <w:kern w:val="0"/>
                <w:sz w:val="21"/>
                <w:szCs w:val="21"/>
              </w:rPr>
              <w:sym w:font="Symbol" w:char="F0B4"/>
            </w:r>
            <w:r>
              <w:rPr>
                <w:rFonts w:hint="eastAsia" w:ascii="仿宋" w:hAnsi="仿宋" w:eastAsia="仿宋" w:cs="仿宋"/>
                <w:i/>
                <w:iCs/>
                <w:kern w:val="0"/>
                <w:sz w:val="21"/>
                <w:szCs w:val="21"/>
              </w:rPr>
              <w:t>var</w:t>
            </w:r>
          </w:p>
        </w:tc>
        <w:tc>
          <w:tcPr>
            <w:tcW w:w="1109"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0.0062</w:t>
            </w:r>
          </w:p>
        </w:tc>
        <w:tc>
          <w:tcPr>
            <w:tcW w:w="1109" w:type="dxa"/>
            <w:tcBorders>
              <w:top w:val="nil"/>
              <w:bottom w:val="nil"/>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0.0091</w:t>
            </w:r>
          </w:p>
        </w:tc>
        <w:tc>
          <w:tcPr>
            <w:tcW w:w="1109"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-0.0107</w:t>
            </w:r>
          </w:p>
        </w:tc>
        <w:tc>
          <w:tcPr>
            <w:tcW w:w="1109"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-0.0092</w:t>
            </w:r>
          </w:p>
        </w:tc>
        <w:tc>
          <w:tcPr>
            <w:tcW w:w="1263"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-0.0579***</w:t>
            </w:r>
          </w:p>
        </w:tc>
        <w:tc>
          <w:tcPr>
            <w:tcW w:w="128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-0.0583***</w:t>
            </w:r>
          </w:p>
        </w:tc>
        <w:tc>
          <w:tcPr>
            <w:tcW w:w="1191" w:type="dxa"/>
            <w:gridSpan w:val="2"/>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0.0851***</w:t>
            </w:r>
          </w:p>
        </w:tc>
        <w:tc>
          <w:tcPr>
            <w:tcW w:w="1191"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0.0914***</w:t>
            </w:r>
          </w:p>
        </w:tc>
        <w:tc>
          <w:tcPr>
            <w:tcW w:w="1109" w:type="dxa"/>
            <w:gridSpan w:val="2"/>
            <w:tcBorders>
              <w:top w:val="nil"/>
              <w:left w:val="single" w:color="auto" w:sz="4" w:space="0"/>
              <w:bottom w:val="nil"/>
              <w:right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0.0354</w:t>
            </w:r>
          </w:p>
        </w:tc>
        <w:tc>
          <w:tcPr>
            <w:tcW w:w="1109" w:type="dxa"/>
            <w:tcBorders>
              <w:top w:val="nil"/>
              <w:left w:val="nil"/>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0.0355</w:t>
            </w:r>
          </w:p>
        </w:tc>
      </w:tr>
      <w:tr>
        <w:tblPrEx>
          <w:tblCellMar>
            <w:top w:w="0" w:type="dxa"/>
            <w:left w:w="108" w:type="dxa"/>
            <w:bottom w:w="0" w:type="dxa"/>
            <w:right w:w="108" w:type="dxa"/>
          </w:tblCellMar>
        </w:tblPrEx>
        <w:trPr>
          <w:trHeight w:val="280" w:hRule="atLeast"/>
          <w:jc w:val="center"/>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1109"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(0.0146)</w:t>
            </w:r>
          </w:p>
        </w:tc>
        <w:tc>
          <w:tcPr>
            <w:tcW w:w="1109" w:type="dxa"/>
            <w:tcBorders>
              <w:top w:val="nil"/>
              <w:bottom w:val="nil"/>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(0.0158)</w:t>
            </w:r>
          </w:p>
        </w:tc>
        <w:tc>
          <w:tcPr>
            <w:tcW w:w="1109"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(0.0161)</w:t>
            </w:r>
          </w:p>
        </w:tc>
        <w:tc>
          <w:tcPr>
            <w:tcW w:w="1109"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(0.0176)</w:t>
            </w:r>
          </w:p>
        </w:tc>
        <w:tc>
          <w:tcPr>
            <w:tcW w:w="1263"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(0.0137)</w:t>
            </w:r>
          </w:p>
        </w:tc>
        <w:tc>
          <w:tcPr>
            <w:tcW w:w="128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(0.0148)</w:t>
            </w:r>
          </w:p>
        </w:tc>
        <w:tc>
          <w:tcPr>
            <w:tcW w:w="1191" w:type="dxa"/>
            <w:gridSpan w:val="2"/>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(0.0186)</w:t>
            </w:r>
          </w:p>
        </w:tc>
        <w:tc>
          <w:tcPr>
            <w:tcW w:w="1191"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(0.0197)</w:t>
            </w:r>
          </w:p>
        </w:tc>
        <w:tc>
          <w:tcPr>
            <w:tcW w:w="1109" w:type="dxa"/>
            <w:gridSpan w:val="2"/>
            <w:tcBorders>
              <w:top w:val="nil"/>
              <w:left w:val="single" w:color="auto" w:sz="4" w:space="0"/>
              <w:bottom w:val="nil"/>
              <w:right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(0.0291)</w:t>
            </w:r>
          </w:p>
        </w:tc>
        <w:tc>
          <w:tcPr>
            <w:tcW w:w="1109" w:type="dxa"/>
            <w:tcBorders>
              <w:top w:val="nil"/>
              <w:left w:val="nil"/>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(0.0296)</w:t>
            </w:r>
          </w:p>
        </w:tc>
      </w:tr>
      <w:tr>
        <w:tblPrEx>
          <w:tblCellMar>
            <w:top w:w="0" w:type="dxa"/>
            <w:left w:w="108" w:type="dxa"/>
            <w:bottom w:w="0" w:type="dxa"/>
            <w:right w:w="108" w:type="dxa"/>
          </w:tblCellMar>
        </w:tblPrEx>
        <w:trPr>
          <w:trHeight w:val="280" w:hRule="atLeast"/>
          <w:jc w:val="center"/>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1109"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1109" w:type="dxa"/>
            <w:tcBorders>
              <w:top w:val="nil"/>
              <w:bottom w:val="nil"/>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1109"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1109"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1263"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128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1109"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1273" w:type="dxa"/>
            <w:gridSpan w:val="2"/>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00" w:type="dxa"/>
            <w:tcBorders>
              <w:top w:val="nil"/>
              <w:left w:val="single" w:color="auto" w:sz="4" w:space="0"/>
              <w:bottom w:val="nil"/>
              <w:right w:val="nil"/>
            </w:tcBorders>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1318" w:type="dxa"/>
            <w:gridSpan w:val="2"/>
            <w:tcBorders>
              <w:top w:val="nil"/>
              <w:left w:val="nil"/>
              <w:bottom w:val="nil"/>
            </w:tcBorders>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280" w:hRule="atLeast"/>
          <w:jc w:val="center"/>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样本量</w:t>
            </w:r>
          </w:p>
        </w:tc>
        <w:tc>
          <w:tcPr>
            <w:tcW w:w="1109"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14,960</w:t>
            </w:r>
          </w:p>
        </w:tc>
        <w:tc>
          <w:tcPr>
            <w:tcW w:w="1109" w:type="dxa"/>
            <w:tcBorders>
              <w:top w:val="nil"/>
              <w:bottom w:val="nil"/>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14,960</w:t>
            </w:r>
          </w:p>
        </w:tc>
        <w:tc>
          <w:tcPr>
            <w:tcW w:w="1109"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14,171</w:t>
            </w:r>
          </w:p>
        </w:tc>
        <w:tc>
          <w:tcPr>
            <w:tcW w:w="1109"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14,171</w:t>
            </w:r>
          </w:p>
        </w:tc>
        <w:tc>
          <w:tcPr>
            <w:tcW w:w="1263"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13,896</w:t>
            </w:r>
          </w:p>
        </w:tc>
        <w:tc>
          <w:tcPr>
            <w:tcW w:w="128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13,896</w:t>
            </w:r>
          </w:p>
        </w:tc>
        <w:tc>
          <w:tcPr>
            <w:tcW w:w="1191" w:type="dxa"/>
            <w:gridSpan w:val="2"/>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14,631</w:t>
            </w:r>
          </w:p>
        </w:tc>
        <w:tc>
          <w:tcPr>
            <w:tcW w:w="1191"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14,631</w:t>
            </w:r>
          </w:p>
        </w:tc>
        <w:tc>
          <w:tcPr>
            <w:tcW w:w="1109" w:type="dxa"/>
            <w:gridSpan w:val="2"/>
            <w:tcBorders>
              <w:top w:val="nil"/>
              <w:left w:val="single" w:color="auto" w:sz="4" w:space="0"/>
              <w:bottom w:val="nil"/>
              <w:right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14,273</w:t>
            </w:r>
          </w:p>
        </w:tc>
        <w:tc>
          <w:tcPr>
            <w:tcW w:w="1109" w:type="dxa"/>
            <w:tcBorders>
              <w:top w:val="nil"/>
              <w:left w:val="nil"/>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14,273</w:t>
            </w:r>
          </w:p>
        </w:tc>
      </w:tr>
      <w:tr>
        <w:tblPrEx>
          <w:tblCellMar>
            <w:top w:w="0" w:type="dxa"/>
            <w:left w:w="108" w:type="dxa"/>
            <w:bottom w:w="0" w:type="dxa"/>
            <w:right w:w="108" w:type="dxa"/>
          </w:tblCellMar>
        </w:tblPrEx>
        <w:trPr>
          <w:trHeight w:val="280" w:hRule="atLeast"/>
          <w:jc w:val="center"/>
        </w:trPr>
        <w:tc>
          <w:tcPr>
            <w:tcW w:w="1814" w:type="dxa"/>
            <w:tcBorders>
              <w:top w:val="nil"/>
              <w:left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m:oMathPara>
              <m:oMathParaPr>
                <m:jc m:val="left"/>
              </m:oMathParaPr>
              <m:oMath>
                <m:sSup>
                  <m:sSupPr>
                    <m:ctrlPr>
                      <w:rPr>
                        <w:rFonts w:hint="eastAsia" w:ascii="Cambria Math" w:hAnsi="Cambria Math" w:eastAsia="仿宋" w:cs="仿宋"/>
                        <w:kern w:val="0"/>
                        <w:sz w:val="21"/>
                        <w:szCs w:val="21"/>
                      </w:rPr>
                    </m:ctrlPr>
                  </m:sSupPr>
                  <m:e>
                    <m:r>
                      <m:rPr/>
                      <w:rPr>
                        <w:rFonts w:hint="default" w:ascii="Cambria Math" w:hAnsi="Cambria Math" w:eastAsia="仿宋" w:cs="仿宋"/>
                        <w:kern w:val="0"/>
                        <w:sz w:val="21"/>
                        <w:szCs w:val="21"/>
                      </w:rPr>
                      <m:t>R</m:t>
                    </m:r>
                    <m:ctrlPr>
                      <w:rPr>
                        <w:rFonts w:hint="eastAsia" w:ascii="Cambria Math" w:hAnsi="Cambria Math" w:eastAsia="仿宋" w:cs="仿宋"/>
                        <w:kern w:val="0"/>
                        <w:sz w:val="21"/>
                        <w:szCs w:val="21"/>
                      </w:rPr>
                    </m:ctrlPr>
                  </m:e>
                  <m:sup>
                    <m:r>
                      <m:rPr/>
                      <w:rPr>
                        <w:rFonts w:hint="eastAsia" w:ascii="Cambria Math" w:hAnsi="Cambria Math" w:eastAsia="仿宋" w:cs="仿宋"/>
                        <w:kern w:val="0"/>
                        <w:sz w:val="21"/>
                        <w:szCs w:val="21"/>
                      </w:rPr>
                      <m:t>2</m:t>
                    </m:r>
                    <m:ctrlPr>
                      <w:rPr>
                        <w:rFonts w:hint="eastAsia" w:ascii="Cambria Math" w:hAnsi="Cambria Math" w:eastAsia="仿宋" w:cs="仿宋"/>
                        <w:kern w:val="0"/>
                        <w:sz w:val="21"/>
                        <w:szCs w:val="21"/>
                      </w:rPr>
                    </m:ctrlPr>
                  </m:sup>
                </m:sSup>
              </m:oMath>
            </m:oMathPara>
          </w:p>
        </w:tc>
        <w:tc>
          <w:tcPr>
            <w:tcW w:w="1109" w:type="dxa"/>
            <w:tcBorders>
              <w:top w:val="nil"/>
              <w:lef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0.1494</w:t>
            </w:r>
          </w:p>
        </w:tc>
        <w:tc>
          <w:tcPr>
            <w:tcW w:w="1109" w:type="dxa"/>
            <w:tcBorders>
              <w:top w:val="nil"/>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0.1644</w:t>
            </w:r>
          </w:p>
        </w:tc>
        <w:tc>
          <w:tcPr>
            <w:tcW w:w="1109" w:type="dxa"/>
            <w:tcBorders>
              <w:top w:val="nil"/>
              <w:left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0.1524</w:t>
            </w:r>
          </w:p>
        </w:tc>
        <w:tc>
          <w:tcPr>
            <w:tcW w:w="1109" w:type="dxa"/>
            <w:tcBorders>
              <w:top w:val="nil"/>
              <w:left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0.1637</w:t>
            </w:r>
          </w:p>
        </w:tc>
        <w:tc>
          <w:tcPr>
            <w:tcW w:w="1263" w:type="dxa"/>
            <w:tcBorders>
              <w:top w:val="nil"/>
              <w:left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0.1508</w:t>
            </w:r>
          </w:p>
        </w:tc>
        <w:tc>
          <w:tcPr>
            <w:tcW w:w="1288" w:type="dxa"/>
            <w:tcBorders>
              <w:top w:val="nil"/>
              <w:left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0.1649</w:t>
            </w:r>
          </w:p>
        </w:tc>
        <w:tc>
          <w:tcPr>
            <w:tcW w:w="1191" w:type="dxa"/>
            <w:gridSpan w:val="2"/>
            <w:tcBorders>
              <w:top w:val="nil"/>
              <w:left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0.1526</w:t>
            </w:r>
          </w:p>
        </w:tc>
        <w:tc>
          <w:tcPr>
            <w:tcW w:w="1191" w:type="dxa"/>
            <w:tcBorders>
              <w:top w:val="nil"/>
              <w:left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0.1675</w:t>
            </w:r>
          </w:p>
        </w:tc>
        <w:tc>
          <w:tcPr>
            <w:tcW w:w="1109" w:type="dxa"/>
            <w:gridSpan w:val="2"/>
            <w:tcBorders>
              <w:top w:val="nil"/>
              <w:left w:val="single" w:color="auto" w:sz="4" w:space="0"/>
              <w:right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0.1486</w:t>
            </w:r>
          </w:p>
        </w:tc>
        <w:tc>
          <w:tcPr>
            <w:tcW w:w="1109" w:type="dxa"/>
            <w:tcBorders>
              <w:top w:val="nil"/>
              <w:left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0.1638</w:t>
            </w:r>
          </w:p>
        </w:tc>
      </w:tr>
      <w:tr>
        <w:tblPrEx>
          <w:tblCellMar>
            <w:top w:w="0" w:type="dxa"/>
            <w:left w:w="108" w:type="dxa"/>
            <w:bottom w:w="0" w:type="dxa"/>
            <w:right w:w="108" w:type="dxa"/>
          </w:tblCellMar>
        </w:tblPrEx>
        <w:trPr>
          <w:trHeight w:val="280" w:hRule="atLeast"/>
          <w:jc w:val="center"/>
        </w:trPr>
        <w:tc>
          <w:tcPr>
            <w:tcW w:w="1814"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县</w:t>
            </w:r>
            <w:r>
              <w:rPr>
                <w:rFonts w:hint="eastAsia" w:ascii="仿宋" w:hAnsi="仿宋" w:eastAsia="仿宋" w:cs="仿宋"/>
                <w:kern w:val="0"/>
                <w:sz w:val="21"/>
                <w:szCs w:val="21"/>
              </w:rPr>
              <w:sym w:font="Symbol" w:char="F0B4"/>
            </w:r>
            <w:r>
              <w:rPr>
                <w:rFonts w:hint="eastAsia" w:ascii="仿宋" w:hAnsi="仿宋" w:eastAsia="仿宋" w:cs="仿宋"/>
                <w:kern w:val="0"/>
                <w:sz w:val="21"/>
                <w:szCs w:val="21"/>
              </w:rPr>
              <w:t>年份线性趋势</w:t>
            </w:r>
          </w:p>
        </w:tc>
        <w:tc>
          <w:tcPr>
            <w:tcW w:w="1109" w:type="dxa"/>
            <w:tcBorders>
              <w:top w:val="nil"/>
              <w:left w:val="single" w:color="auto" w:sz="4" w:space="0"/>
              <w:bottom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否</w:t>
            </w:r>
          </w:p>
        </w:tc>
        <w:tc>
          <w:tcPr>
            <w:tcW w:w="1109" w:type="dxa"/>
            <w:tcBorders>
              <w:top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是</w:t>
            </w:r>
          </w:p>
        </w:tc>
        <w:tc>
          <w:tcPr>
            <w:tcW w:w="1109" w:type="dxa"/>
            <w:tcBorders>
              <w:top w:val="nil"/>
              <w:left w:val="single" w:color="auto" w:sz="4" w:space="0"/>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否</w:t>
            </w:r>
          </w:p>
        </w:tc>
        <w:tc>
          <w:tcPr>
            <w:tcW w:w="1109"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是</w:t>
            </w:r>
          </w:p>
        </w:tc>
        <w:tc>
          <w:tcPr>
            <w:tcW w:w="1263" w:type="dxa"/>
            <w:tcBorders>
              <w:top w:val="nil"/>
              <w:left w:val="single" w:color="auto" w:sz="4" w:space="0"/>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否</w:t>
            </w:r>
          </w:p>
        </w:tc>
        <w:tc>
          <w:tcPr>
            <w:tcW w:w="128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是</w:t>
            </w:r>
          </w:p>
        </w:tc>
        <w:tc>
          <w:tcPr>
            <w:tcW w:w="1191" w:type="dxa"/>
            <w:gridSpan w:val="2"/>
            <w:tcBorders>
              <w:top w:val="nil"/>
              <w:left w:val="single" w:color="auto" w:sz="4" w:space="0"/>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否</w:t>
            </w:r>
          </w:p>
        </w:tc>
        <w:tc>
          <w:tcPr>
            <w:tcW w:w="1191"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是</w:t>
            </w:r>
          </w:p>
        </w:tc>
        <w:tc>
          <w:tcPr>
            <w:tcW w:w="1109" w:type="dxa"/>
            <w:gridSpan w:val="2"/>
            <w:tcBorders>
              <w:top w:val="nil"/>
              <w:left w:val="single" w:color="auto" w:sz="4" w:space="0"/>
              <w:bottom w:val="single" w:color="auto" w:sz="4" w:space="0"/>
              <w:right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否</w:t>
            </w:r>
          </w:p>
        </w:tc>
        <w:tc>
          <w:tcPr>
            <w:tcW w:w="1109" w:type="dxa"/>
            <w:tcBorders>
              <w:top w:val="nil"/>
              <w:left w:val="nil"/>
              <w:bottom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是</w:t>
            </w:r>
          </w:p>
        </w:tc>
      </w:tr>
    </w:tbl>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kern w:val="0"/>
          <w:sz w:val="18"/>
          <w:szCs w:val="18"/>
        </w:rPr>
      </w:pPr>
      <w:r>
        <w:rPr>
          <w:rFonts w:hint="eastAsia" w:ascii="仿宋" w:hAnsi="仿宋" w:eastAsia="仿宋" w:cs="仿宋"/>
          <w:kern w:val="0"/>
          <w:sz w:val="18"/>
          <w:szCs w:val="18"/>
        </w:rPr>
        <w:t xml:space="preserve">注：回归中控制了家庭固定效应、年份固定效应、丈夫和妻子的年龄；* </w:t>
      </w:r>
      <w:r>
        <w:rPr>
          <w:rFonts w:hint="eastAsia" w:ascii="仿宋" w:hAnsi="仿宋" w:eastAsia="仿宋" w:cs="仿宋"/>
          <w:sz w:val="18"/>
          <w:szCs w:val="18"/>
        </w:rPr>
        <w:t>10%水平上显著，** 5%水平上显著，*** 1%水平上显著，</w:t>
      </w:r>
      <w:r>
        <w:rPr>
          <w:rFonts w:hint="eastAsia" w:ascii="仿宋" w:hAnsi="仿宋" w:eastAsia="仿宋" w:cs="仿宋"/>
          <w:kern w:val="0"/>
          <w:sz w:val="18"/>
          <w:szCs w:val="18"/>
        </w:rPr>
        <w:t>括号中汇报的是聚类在区县层面的标准误。</w:t>
      </w:r>
    </w:p>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4"/>
          <w:szCs w:val="24"/>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接下来，我们进一步提供更多的异质性分析的结果。我们利用政策实施之前（即2</w:t>
      </w:r>
      <w:r>
        <w:rPr>
          <w:rFonts w:hint="eastAsia" w:ascii="仿宋" w:hAnsi="仿宋" w:eastAsia="仿宋" w:cs="仿宋"/>
          <w:kern w:val="0"/>
          <w:sz w:val="24"/>
          <w:szCs w:val="24"/>
        </w:rPr>
        <w:t>014</w:t>
      </w:r>
      <w:r>
        <w:rPr>
          <w:rFonts w:hint="eastAsia" w:ascii="仿宋" w:hAnsi="仿宋" w:eastAsia="仿宋" w:cs="仿宋"/>
          <w:kern w:val="0"/>
          <w:sz w:val="24"/>
          <w:szCs w:val="24"/>
        </w:rPr>
        <w:t>年）的数据构造了1</w:t>
      </w:r>
      <w:r>
        <w:rPr>
          <w:rFonts w:hint="eastAsia" w:ascii="仿宋" w:hAnsi="仿宋" w:eastAsia="仿宋" w:cs="仿宋"/>
          <w:kern w:val="0"/>
          <w:sz w:val="24"/>
          <w:szCs w:val="24"/>
        </w:rPr>
        <w:t>5</w:t>
      </w:r>
      <w:r>
        <w:rPr>
          <w:rFonts w:hint="eastAsia" w:ascii="仿宋" w:hAnsi="仿宋" w:eastAsia="仿宋" w:cs="仿宋"/>
          <w:kern w:val="0"/>
          <w:sz w:val="24"/>
          <w:szCs w:val="24"/>
        </w:rPr>
        <w:t>个异质性分组变量</w:t>
      </w:r>
      <m:oMath>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kern w:val="0"/>
          <w:sz w:val="24"/>
          <w:szCs w:val="24"/>
        </w:rPr>
        <w:t>，通过对模型（A1）进行回归，结果报告在表A2。需要注意的是，表A2中所有的系数汇报的都是模型（A1）中</w:t>
      </w:r>
      <m:oMath>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treat</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post</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t</m:t>
            </m:r>
            <m:ctrlPr>
              <w:rPr>
                <w:rFonts w:hint="eastAsia" w:ascii="Cambria Math" w:hAnsi="Cambria Math" w:eastAsia="仿宋" w:cs="仿宋"/>
                <w:i/>
                <w:iCs/>
                <w:sz w:val="24"/>
                <w:szCs w:val="24"/>
              </w:rPr>
            </m:ctrlPr>
          </m:sub>
        </m:sSub>
        <m:r>
          <m:rPr/>
          <w:rPr>
            <w:rFonts w:hint="eastAsia" w:ascii="Cambria Math" w:hAnsi="Cambria Math" w:eastAsia="仿宋" w:cs="仿宋"/>
            <w:sz w:val="24"/>
            <w:szCs w:val="24"/>
          </w:rPr>
          <m:t>×</m:t>
        </m:r>
        <m:sSub>
          <m:sSubPr>
            <m:ctrlPr>
              <w:rPr>
                <w:rFonts w:hint="eastAsia" w:ascii="Cambria Math" w:hAnsi="Cambria Math" w:eastAsia="仿宋" w:cs="仿宋"/>
                <w:i/>
                <w:sz w:val="24"/>
                <w:szCs w:val="24"/>
              </w:rPr>
            </m:ctrlPr>
          </m:sSubPr>
          <m:e>
            <m:r>
              <m:rPr/>
              <w:rPr>
                <w:rFonts w:hint="eastAsia" w:ascii="Cambria Math" w:hAnsi="Cambria Math" w:eastAsia="仿宋" w:cs="仿宋"/>
                <w:sz w:val="24"/>
                <w:szCs w:val="24"/>
              </w:rPr>
              <m:t>var</m:t>
            </m:r>
            <m:ctrlPr>
              <w:rPr>
                <w:rFonts w:hint="eastAsia" w:ascii="Cambria Math" w:hAnsi="Cambria Math" w:eastAsia="仿宋" w:cs="仿宋"/>
                <w:i/>
                <w:sz w:val="24"/>
                <w:szCs w:val="24"/>
              </w:rPr>
            </m:ctrlPr>
          </m:e>
          <m:sub>
            <m:r>
              <m:rPr/>
              <w:rPr>
                <w:rFonts w:hint="eastAsia" w:ascii="Cambria Math" w:hAnsi="Cambria Math" w:eastAsia="仿宋" w:cs="仿宋"/>
                <w:sz w:val="24"/>
                <w:szCs w:val="24"/>
              </w:rPr>
              <m:t>i</m:t>
            </m:r>
            <m:ctrlPr>
              <w:rPr>
                <w:rFonts w:hint="eastAsia" w:ascii="Cambria Math" w:hAnsi="Cambria Math" w:eastAsia="仿宋" w:cs="仿宋"/>
                <w:i/>
                <w:sz w:val="24"/>
                <w:szCs w:val="24"/>
              </w:rPr>
            </m:ctrlPr>
          </m:sub>
        </m:sSub>
      </m:oMath>
      <w:r>
        <w:rPr>
          <w:rFonts w:hint="eastAsia" w:ascii="仿宋" w:hAnsi="仿宋" w:eastAsia="仿宋" w:cs="仿宋"/>
          <w:sz w:val="24"/>
          <w:szCs w:val="24"/>
        </w:rPr>
        <w:t>前的系数</w:t>
      </w:r>
      <m:oMath>
        <m:sSub>
          <m:sSubPr>
            <m:ctrlPr>
              <w:rPr>
                <w:rFonts w:hint="eastAsia" w:ascii="Cambria Math" w:hAnsi="Cambria Math" w:eastAsia="仿宋" w:cs="仿宋"/>
                <w:i/>
                <w:iCs/>
                <w:sz w:val="24"/>
                <w:szCs w:val="24"/>
              </w:rPr>
            </m:ctrlPr>
          </m:sSubPr>
          <m:e>
            <m:r>
              <m:rPr/>
              <w:rPr>
                <w:rFonts w:hint="eastAsia" w:ascii="Cambria Math" w:hAnsi="Cambria Math" w:eastAsia="仿宋" w:cs="仿宋"/>
                <w:sz w:val="24"/>
                <w:szCs w:val="24"/>
              </w:rPr>
              <m:t>β</m:t>
            </m:r>
            <m:ctrlPr>
              <w:rPr>
                <w:rFonts w:hint="eastAsia" w:ascii="Cambria Math" w:hAnsi="Cambria Math" w:eastAsia="仿宋" w:cs="仿宋"/>
                <w:i/>
                <w:iCs/>
                <w:sz w:val="24"/>
                <w:szCs w:val="24"/>
              </w:rPr>
            </m:ctrlPr>
          </m:e>
          <m:sub>
            <m:r>
              <m:rPr/>
              <w:rPr>
                <w:rFonts w:hint="eastAsia" w:ascii="Cambria Math" w:hAnsi="Cambria Math" w:eastAsia="仿宋" w:cs="仿宋"/>
                <w:sz w:val="24"/>
                <w:szCs w:val="24"/>
              </w:rPr>
              <m:t>1</m:t>
            </m:r>
            <m:ctrlPr>
              <w:rPr>
                <w:rFonts w:hint="eastAsia" w:ascii="Cambria Math" w:hAnsi="Cambria Math" w:eastAsia="仿宋" w:cs="仿宋"/>
                <w:i/>
                <w:iCs/>
                <w:sz w:val="24"/>
                <w:szCs w:val="24"/>
              </w:rPr>
            </m:ctrlPr>
          </m:sub>
        </m:sSub>
      </m:oMath>
      <w:r>
        <w:rPr>
          <w:rFonts w:hint="eastAsia" w:ascii="仿宋" w:hAnsi="仿宋" w:eastAsia="仿宋" w:cs="仿宋"/>
          <w:iCs/>
          <w:sz w:val="24"/>
          <w:szCs w:val="24"/>
        </w:rPr>
        <w:t>。这一系数反映了全面二孩政策对不同类别家庭影响的差异，举个例子，当我们研究的是2</w:t>
      </w:r>
      <w:r>
        <w:rPr>
          <w:rFonts w:hint="eastAsia" w:ascii="仿宋" w:hAnsi="仿宋" w:eastAsia="仿宋" w:cs="仿宋"/>
          <w:iCs/>
          <w:sz w:val="24"/>
          <w:szCs w:val="24"/>
        </w:rPr>
        <w:t>014</w:t>
      </w:r>
      <w:r>
        <w:rPr>
          <w:rFonts w:hint="eastAsia" w:ascii="仿宋" w:hAnsi="仿宋" w:eastAsia="仿宋" w:cs="仿宋"/>
          <w:iCs/>
          <w:sz w:val="24"/>
          <w:szCs w:val="24"/>
        </w:rPr>
        <w:t>年家庭是否有自己的住房如何受到全面二孩政策的异质性影响时，那么表A2中的系数汇报的就是全面二孩政策对有住房家庭的影响与对没有住房家庭的影响是否存在显著差异</w:t>
      </w:r>
      <w:r>
        <w:rPr>
          <w:rFonts w:hint="eastAsia" w:ascii="仿宋" w:hAnsi="仿宋" w:eastAsia="仿宋" w:cs="仿宋"/>
          <w:kern w:val="0"/>
          <w:sz w:val="24"/>
          <w:szCs w:val="24"/>
        </w:rPr>
        <w:t>。表A2的奇数列汇报的是没有控制县与年份线性趋势交叉项的结果，偶数列是控制了县与年份线性趋势交叉项的结果。</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这1</w:t>
      </w:r>
      <w:r>
        <w:rPr>
          <w:rFonts w:hint="eastAsia" w:ascii="仿宋" w:hAnsi="仿宋" w:eastAsia="仿宋" w:cs="仿宋"/>
          <w:kern w:val="0"/>
          <w:sz w:val="24"/>
          <w:szCs w:val="24"/>
        </w:rPr>
        <w:t>5</w:t>
      </w:r>
      <w:r>
        <w:rPr>
          <w:rFonts w:hint="eastAsia" w:ascii="仿宋" w:hAnsi="仿宋" w:eastAsia="仿宋" w:cs="仿宋"/>
          <w:kern w:val="0"/>
          <w:sz w:val="24"/>
          <w:szCs w:val="24"/>
        </w:rPr>
        <w:t>个异质性分组变量包括2</w:t>
      </w:r>
      <w:r>
        <w:rPr>
          <w:rFonts w:hint="eastAsia" w:ascii="仿宋" w:hAnsi="仿宋" w:eastAsia="仿宋" w:cs="仿宋"/>
          <w:kern w:val="0"/>
          <w:sz w:val="24"/>
          <w:szCs w:val="24"/>
        </w:rPr>
        <w:t>014</w:t>
      </w:r>
      <w:r>
        <w:rPr>
          <w:rFonts w:hint="eastAsia" w:ascii="仿宋" w:hAnsi="仿宋" w:eastAsia="仿宋" w:cs="仿宋"/>
          <w:kern w:val="0"/>
          <w:sz w:val="24"/>
          <w:szCs w:val="24"/>
        </w:rPr>
        <w:t>年时家庭是否有自己的住房（有=</w:t>
      </w:r>
      <w:r>
        <w:rPr>
          <w:rFonts w:hint="eastAsia" w:ascii="仿宋" w:hAnsi="仿宋" w:eastAsia="仿宋" w:cs="仿宋"/>
          <w:kern w:val="0"/>
          <w:sz w:val="24"/>
          <w:szCs w:val="24"/>
        </w:rPr>
        <w:t>1</w:t>
      </w:r>
      <w:r>
        <w:rPr>
          <w:rFonts w:hint="eastAsia" w:ascii="仿宋" w:hAnsi="仿宋" w:eastAsia="仿宋" w:cs="仿宋"/>
          <w:kern w:val="0"/>
          <w:sz w:val="24"/>
          <w:szCs w:val="24"/>
        </w:rPr>
        <w:t>，无=</w:t>
      </w:r>
      <w:r>
        <w:rPr>
          <w:rFonts w:hint="eastAsia" w:ascii="仿宋" w:hAnsi="仿宋" w:eastAsia="仿宋" w:cs="仿宋"/>
          <w:kern w:val="0"/>
          <w:sz w:val="24"/>
          <w:szCs w:val="24"/>
        </w:rPr>
        <w:t>0</w:t>
      </w:r>
      <w:r>
        <w:rPr>
          <w:rFonts w:hint="eastAsia" w:ascii="仿宋" w:hAnsi="仿宋" w:eastAsia="仿宋" w:cs="仿宋"/>
          <w:kern w:val="0"/>
          <w:sz w:val="24"/>
          <w:szCs w:val="24"/>
        </w:rPr>
        <w:t>。回归结果见</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1</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2</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列）、住房面积大小（较大=</w:t>
      </w:r>
      <w:r>
        <w:rPr>
          <w:rFonts w:hint="eastAsia" w:ascii="仿宋" w:hAnsi="仿宋" w:eastAsia="仿宋" w:cs="仿宋"/>
          <w:kern w:val="0"/>
          <w:sz w:val="24"/>
          <w:szCs w:val="24"/>
        </w:rPr>
        <w:t>1</w:t>
      </w:r>
      <w:r>
        <w:rPr>
          <w:rFonts w:hint="eastAsia" w:ascii="仿宋" w:hAnsi="仿宋" w:eastAsia="仿宋" w:cs="仿宋"/>
          <w:kern w:val="0"/>
          <w:sz w:val="24"/>
          <w:szCs w:val="24"/>
        </w:rPr>
        <w:t>，较小=</w:t>
      </w:r>
      <w:r>
        <w:rPr>
          <w:rFonts w:hint="eastAsia" w:ascii="仿宋" w:hAnsi="仿宋" w:eastAsia="仿宋" w:cs="仿宋"/>
          <w:kern w:val="0"/>
          <w:sz w:val="24"/>
          <w:szCs w:val="24"/>
        </w:rPr>
        <w:t>0</w:t>
      </w:r>
      <w:r>
        <w:rPr>
          <w:rFonts w:hint="eastAsia" w:ascii="仿宋" w:hAnsi="仿宋" w:eastAsia="仿宋" w:cs="仿宋"/>
          <w:kern w:val="0"/>
          <w:sz w:val="24"/>
          <w:szCs w:val="24"/>
        </w:rPr>
        <w:t>。回归结果见</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3</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4</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列）、是否有住房困难（有困难=</w:t>
      </w:r>
      <w:r>
        <w:rPr>
          <w:rFonts w:hint="eastAsia" w:ascii="仿宋" w:hAnsi="仿宋" w:eastAsia="仿宋" w:cs="仿宋"/>
          <w:kern w:val="0"/>
          <w:sz w:val="24"/>
          <w:szCs w:val="24"/>
        </w:rPr>
        <w:t>1</w:t>
      </w:r>
      <w:r>
        <w:rPr>
          <w:rFonts w:hint="eastAsia" w:ascii="仿宋" w:hAnsi="仿宋" w:eastAsia="仿宋" w:cs="仿宋"/>
          <w:kern w:val="0"/>
          <w:sz w:val="24"/>
          <w:szCs w:val="24"/>
        </w:rPr>
        <w:t>，无困难=</w:t>
      </w:r>
      <w:r>
        <w:rPr>
          <w:rFonts w:hint="eastAsia" w:ascii="仿宋" w:hAnsi="仿宋" w:eastAsia="仿宋" w:cs="仿宋"/>
          <w:kern w:val="0"/>
          <w:sz w:val="24"/>
          <w:szCs w:val="24"/>
        </w:rPr>
        <w:t>0</w:t>
      </w:r>
      <w:r>
        <w:rPr>
          <w:rFonts w:hint="eastAsia" w:ascii="仿宋" w:hAnsi="仿宋" w:eastAsia="仿宋" w:cs="仿宋"/>
          <w:kern w:val="0"/>
          <w:sz w:val="24"/>
          <w:szCs w:val="24"/>
        </w:rPr>
        <w:t>。回归结果见</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5</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6</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列）、受访者认为我国住房问题的严重程度（严重=</w:t>
      </w:r>
      <w:r>
        <w:rPr>
          <w:rFonts w:hint="eastAsia" w:ascii="仿宋" w:hAnsi="仿宋" w:eastAsia="仿宋" w:cs="仿宋"/>
          <w:kern w:val="0"/>
          <w:sz w:val="24"/>
          <w:szCs w:val="24"/>
        </w:rPr>
        <w:t>1</w:t>
      </w:r>
      <w:r>
        <w:rPr>
          <w:rFonts w:hint="eastAsia" w:ascii="仿宋" w:hAnsi="仿宋" w:eastAsia="仿宋" w:cs="仿宋"/>
          <w:kern w:val="0"/>
          <w:sz w:val="24"/>
          <w:szCs w:val="24"/>
        </w:rPr>
        <w:t>，不严重=</w:t>
      </w:r>
      <w:r>
        <w:rPr>
          <w:rFonts w:hint="eastAsia" w:ascii="仿宋" w:hAnsi="仿宋" w:eastAsia="仿宋" w:cs="仿宋"/>
          <w:kern w:val="0"/>
          <w:sz w:val="24"/>
          <w:szCs w:val="24"/>
        </w:rPr>
        <w:t>0</w:t>
      </w:r>
      <w:r>
        <w:rPr>
          <w:rFonts w:hint="eastAsia" w:ascii="仿宋" w:hAnsi="仿宋" w:eastAsia="仿宋" w:cs="仿宋"/>
          <w:kern w:val="0"/>
          <w:sz w:val="24"/>
          <w:szCs w:val="24"/>
        </w:rPr>
        <w:t>。回归结果见</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7</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8</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列）、家庭成员居住拥挤情况（拥挤=</w:t>
      </w:r>
      <w:r>
        <w:rPr>
          <w:rFonts w:hint="eastAsia" w:ascii="仿宋" w:hAnsi="仿宋" w:eastAsia="仿宋" w:cs="仿宋"/>
          <w:kern w:val="0"/>
          <w:sz w:val="24"/>
          <w:szCs w:val="24"/>
        </w:rPr>
        <w:t>1</w:t>
      </w:r>
      <w:r>
        <w:rPr>
          <w:rFonts w:hint="eastAsia" w:ascii="仿宋" w:hAnsi="仿宋" w:eastAsia="仿宋" w:cs="仿宋"/>
          <w:kern w:val="0"/>
          <w:sz w:val="24"/>
          <w:szCs w:val="24"/>
        </w:rPr>
        <w:t>，不拥挤=</w:t>
      </w:r>
      <w:r>
        <w:rPr>
          <w:rFonts w:hint="eastAsia" w:ascii="仿宋" w:hAnsi="仿宋" w:eastAsia="仿宋" w:cs="仿宋"/>
          <w:kern w:val="0"/>
          <w:sz w:val="24"/>
          <w:szCs w:val="24"/>
        </w:rPr>
        <w:t>0</w:t>
      </w:r>
      <w:r>
        <w:rPr>
          <w:rFonts w:hint="eastAsia" w:ascii="仿宋" w:hAnsi="仿宋" w:eastAsia="仿宋" w:cs="仿宋"/>
          <w:kern w:val="0"/>
          <w:sz w:val="24"/>
          <w:szCs w:val="24"/>
        </w:rPr>
        <w:t>。回归结果见</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9</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10</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列）、家庭是否有欠债（有欠债=</w:t>
      </w:r>
      <w:r>
        <w:rPr>
          <w:rFonts w:hint="eastAsia" w:ascii="仿宋" w:hAnsi="仿宋" w:eastAsia="仿宋" w:cs="仿宋"/>
          <w:kern w:val="0"/>
          <w:sz w:val="24"/>
          <w:szCs w:val="24"/>
        </w:rPr>
        <w:t>1</w:t>
      </w:r>
      <w:r>
        <w:rPr>
          <w:rFonts w:hint="eastAsia" w:ascii="仿宋" w:hAnsi="仿宋" w:eastAsia="仿宋" w:cs="仿宋"/>
          <w:kern w:val="0"/>
          <w:sz w:val="24"/>
          <w:szCs w:val="24"/>
        </w:rPr>
        <w:t>，无欠债=</w:t>
      </w:r>
      <w:r>
        <w:rPr>
          <w:rFonts w:hint="eastAsia" w:ascii="仿宋" w:hAnsi="仿宋" w:eastAsia="仿宋" w:cs="仿宋"/>
          <w:kern w:val="0"/>
          <w:sz w:val="24"/>
          <w:szCs w:val="24"/>
        </w:rPr>
        <w:t>0</w:t>
      </w:r>
      <w:r>
        <w:rPr>
          <w:rFonts w:hint="eastAsia" w:ascii="仿宋" w:hAnsi="仿宋" w:eastAsia="仿宋" w:cs="仿宋"/>
          <w:kern w:val="0"/>
          <w:sz w:val="24"/>
          <w:szCs w:val="24"/>
        </w:rPr>
        <w:t>。回归结果见</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1</w:t>
      </w: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12</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列）、所在村庄的建房成本或者所在社区的房价（房价高=</w:t>
      </w:r>
      <w:r>
        <w:rPr>
          <w:rFonts w:hint="eastAsia" w:ascii="仿宋" w:hAnsi="仿宋" w:eastAsia="仿宋" w:cs="仿宋"/>
          <w:kern w:val="0"/>
          <w:sz w:val="24"/>
          <w:szCs w:val="24"/>
        </w:rPr>
        <w:t>1</w:t>
      </w:r>
      <w:r>
        <w:rPr>
          <w:rFonts w:hint="eastAsia" w:ascii="仿宋" w:hAnsi="仿宋" w:eastAsia="仿宋" w:cs="仿宋"/>
          <w:kern w:val="0"/>
          <w:sz w:val="24"/>
          <w:szCs w:val="24"/>
        </w:rPr>
        <w:t>，房价低=</w:t>
      </w:r>
      <w:r>
        <w:rPr>
          <w:rFonts w:hint="eastAsia" w:ascii="仿宋" w:hAnsi="仿宋" w:eastAsia="仿宋" w:cs="仿宋"/>
          <w:kern w:val="0"/>
          <w:sz w:val="24"/>
          <w:szCs w:val="24"/>
        </w:rPr>
        <w:t>0</w:t>
      </w:r>
      <w:r>
        <w:rPr>
          <w:rFonts w:hint="eastAsia" w:ascii="仿宋" w:hAnsi="仿宋" w:eastAsia="仿宋" w:cs="仿宋"/>
          <w:kern w:val="0"/>
          <w:sz w:val="24"/>
          <w:szCs w:val="24"/>
        </w:rPr>
        <w:t>。回归结果见</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1</w:t>
      </w:r>
      <w:r>
        <w:rPr>
          <w:rFonts w:hint="eastAsia" w:ascii="仿宋" w:hAnsi="仿宋" w:eastAsia="仿宋" w:cs="仿宋"/>
          <w:kern w:val="0"/>
          <w:sz w:val="24"/>
          <w:szCs w:val="24"/>
        </w:rPr>
        <w:t>3</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14</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列）、夫妻的健康水平（健康=</w:t>
      </w:r>
      <w:r>
        <w:rPr>
          <w:rFonts w:hint="eastAsia" w:ascii="仿宋" w:hAnsi="仿宋" w:eastAsia="仿宋" w:cs="仿宋"/>
          <w:kern w:val="0"/>
          <w:sz w:val="24"/>
          <w:szCs w:val="24"/>
        </w:rPr>
        <w:t>1</w:t>
      </w:r>
      <w:r>
        <w:rPr>
          <w:rFonts w:hint="eastAsia" w:ascii="仿宋" w:hAnsi="仿宋" w:eastAsia="仿宋" w:cs="仿宋"/>
          <w:kern w:val="0"/>
          <w:sz w:val="24"/>
          <w:szCs w:val="24"/>
        </w:rPr>
        <w:t>，不健康=</w:t>
      </w:r>
      <w:r>
        <w:rPr>
          <w:rFonts w:hint="eastAsia" w:ascii="仿宋" w:hAnsi="仿宋" w:eastAsia="仿宋" w:cs="仿宋"/>
          <w:kern w:val="0"/>
          <w:sz w:val="24"/>
          <w:szCs w:val="24"/>
        </w:rPr>
        <w:t>0</w:t>
      </w:r>
      <w:r>
        <w:rPr>
          <w:rFonts w:hint="eastAsia" w:ascii="仿宋" w:hAnsi="仿宋" w:eastAsia="仿宋" w:cs="仿宋"/>
          <w:kern w:val="0"/>
          <w:sz w:val="24"/>
          <w:szCs w:val="24"/>
        </w:rPr>
        <w:t>。回归结果见</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1</w:t>
      </w:r>
      <w:r>
        <w:rPr>
          <w:rFonts w:hint="eastAsia" w:ascii="仿宋" w:hAnsi="仿宋" w:eastAsia="仿宋" w:cs="仿宋"/>
          <w:kern w:val="0"/>
          <w:sz w:val="24"/>
          <w:szCs w:val="24"/>
        </w:rPr>
        <w:t>5</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16</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列和</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1</w:t>
      </w:r>
      <w:r>
        <w:rPr>
          <w:rFonts w:hint="eastAsia" w:ascii="仿宋" w:hAnsi="仿宋" w:eastAsia="仿宋" w:cs="仿宋"/>
          <w:kern w:val="0"/>
          <w:sz w:val="24"/>
          <w:szCs w:val="24"/>
        </w:rPr>
        <w:t>7</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1</w:t>
      </w:r>
      <w:r>
        <w:rPr>
          <w:rFonts w:hint="eastAsia" w:ascii="仿宋" w:hAnsi="仿宋" w:eastAsia="仿宋" w:cs="仿宋"/>
          <w:kern w:val="0"/>
          <w:sz w:val="24"/>
          <w:szCs w:val="24"/>
        </w:rPr>
        <w:t>8</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列）、周边是否有小学或者初中（有=</w:t>
      </w:r>
      <w:r>
        <w:rPr>
          <w:rFonts w:hint="eastAsia" w:ascii="仿宋" w:hAnsi="仿宋" w:eastAsia="仿宋" w:cs="仿宋"/>
          <w:kern w:val="0"/>
          <w:sz w:val="24"/>
          <w:szCs w:val="24"/>
        </w:rPr>
        <w:t>1</w:t>
      </w:r>
      <w:r>
        <w:rPr>
          <w:rFonts w:hint="eastAsia" w:ascii="仿宋" w:hAnsi="仿宋" w:eastAsia="仿宋" w:cs="仿宋"/>
          <w:kern w:val="0"/>
          <w:sz w:val="24"/>
          <w:szCs w:val="24"/>
        </w:rPr>
        <w:t>，无=</w:t>
      </w:r>
      <w:r>
        <w:rPr>
          <w:rFonts w:hint="eastAsia" w:ascii="仿宋" w:hAnsi="仿宋" w:eastAsia="仿宋" w:cs="仿宋"/>
          <w:kern w:val="0"/>
          <w:sz w:val="24"/>
          <w:szCs w:val="24"/>
        </w:rPr>
        <w:t>0</w:t>
      </w:r>
      <w:r>
        <w:rPr>
          <w:rFonts w:hint="eastAsia" w:ascii="仿宋" w:hAnsi="仿宋" w:eastAsia="仿宋" w:cs="仿宋"/>
          <w:kern w:val="0"/>
          <w:sz w:val="24"/>
          <w:szCs w:val="24"/>
        </w:rPr>
        <w:t>。回归结果见</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1</w:t>
      </w:r>
      <w:r>
        <w:rPr>
          <w:rFonts w:hint="eastAsia" w:ascii="仿宋" w:hAnsi="仿宋" w:eastAsia="仿宋" w:cs="仿宋"/>
          <w:kern w:val="0"/>
          <w:sz w:val="24"/>
          <w:szCs w:val="24"/>
        </w:rPr>
        <w:t>9</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2</w:t>
      </w:r>
      <w:r>
        <w:rPr>
          <w:rFonts w:hint="eastAsia" w:ascii="仿宋" w:hAnsi="仿宋" w:eastAsia="仿宋" w:cs="仿宋"/>
          <w:kern w:val="0"/>
          <w:sz w:val="24"/>
          <w:szCs w:val="24"/>
        </w:rPr>
        <w:t>0</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列）、所在村庄或社区的经济情况（较好=</w:t>
      </w:r>
      <w:r>
        <w:rPr>
          <w:rFonts w:hint="eastAsia" w:ascii="仿宋" w:hAnsi="仿宋" w:eastAsia="仿宋" w:cs="仿宋"/>
          <w:kern w:val="0"/>
          <w:sz w:val="24"/>
          <w:szCs w:val="24"/>
        </w:rPr>
        <w:t>1</w:t>
      </w:r>
      <w:r>
        <w:rPr>
          <w:rFonts w:hint="eastAsia" w:ascii="仿宋" w:hAnsi="仿宋" w:eastAsia="仿宋" w:cs="仿宋"/>
          <w:kern w:val="0"/>
          <w:sz w:val="24"/>
          <w:szCs w:val="24"/>
        </w:rPr>
        <w:t>，较差=</w:t>
      </w:r>
      <w:r>
        <w:rPr>
          <w:rFonts w:hint="eastAsia" w:ascii="仿宋" w:hAnsi="仿宋" w:eastAsia="仿宋" w:cs="仿宋"/>
          <w:kern w:val="0"/>
          <w:sz w:val="24"/>
          <w:szCs w:val="24"/>
        </w:rPr>
        <w:t>0</w:t>
      </w:r>
      <w:r>
        <w:rPr>
          <w:rFonts w:hint="eastAsia" w:ascii="仿宋" w:hAnsi="仿宋" w:eastAsia="仿宋" w:cs="仿宋"/>
          <w:kern w:val="0"/>
          <w:sz w:val="24"/>
          <w:szCs w:val="24"/>
        </w:rPr>
        <w:t>。回归结果见</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21</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22</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列）、夫妻每周工作总时长（较长=</w:t>
      </w:r>
      <w:r>
        <w:rPr>
          <w:rFonts w:hint="eastAsia" w:ascii="仿宋" w:hAnsi="仿宋" w:eastAsia="仿宋" w:cs="仿宋"/>
          <w:kern w:val="0"/>
          <w:sz w:val="24"/>
          <w:szCs w:val="24"/>
        </w:rPr>
        <w:t>1</w:t>
      </w:r>
      <w:r>
        <w:rPr>
          <w:rFonts w:hint="eastAsia" w:ascii="仿宋" w:hAnsi="仿宋" w:eastAsia="仿宋" w:cs="仿宋"/>
          <w:kern w:val="0"/>
          <w:sz w:val="24"/>
          <w:szCs w:val="24"/>
        </w:rPr>
        <w:t>，较短=</w:t>
      </w:r>
      <w:r>
        <w:rPr>
          <w:rFonts w:hint="eastAsia" w:ascii="仿宋" w:hAnsi="仿宋" w:eastAsia="仿宋" w:cs="仿宋"/>
          <w:kern w:val="0"/>
          <w:sz w:val="24"/>
          <w:szCs w:val="24"/>
        </w:rPr>
        <w:t>0</w:t>
      </w:r>
      <w:r>
        <w:rPr>
          <w:rFonts w:hint="eastAsia" w:ascii="仿宋" w:hAnsi="仿宋" w:eastAsia="仿宋" w:cs="仿宋"/>
          <w:kern w:val="0"/>
          <w:sz w:val="24"/>
          <w:szCs w:val="24"/>
        </w:rPr>
        <w:t>。回归结果见</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23</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2</w:t>
      </w:r>
      <w:r>
        <w:rPr>
          <w:rFonts w:hint="eastAsia" w:ascii="仿宋" w:hAnsi="仿宋" w:eastAsia="仿宋" w:cs="仿宋"/>
          <w:kern w:val="0"/>
          <w:sz w:val="24"/>
          <w:szCs w:val="24"/>
        </w:rPr>
        <w:t>4</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列）、受访者认为我国教育问题的严重程度（严重=</w:t>
      </w:r>
      <w:r>
        <w:rPr>
          <w:rFonts w:hint="eastAsia" w:ascii="仿宋" w:hAnsi="仿宋" w:eastAsia="仿宋" w:cs="仿宋"/>
          <w:kern w:val="0"/>
          <w:sz w:val="24"/>
          <w:szCs w:val="24"/>
        </w:rPr>
        <w:t>1</w:t>
      </w:r>
      <w:r>
        <w:rPr>
          <w:rFonts w:hint="eastAsia" w:ascii="仿宋" w:hAnsi="仿宋" w:eastAsia="仿宋" w:cs="仿宋"/>
          <w:kern w:val="0"/>
          <w:sz w:val="24"/>
          <w:szCs w:val="24"/>
        </w:rPr>
        <w:t>，不严重=</w:t>
      </w:r>
      <w:r>
        <w:rPr>
          <w:rFonts w:hint="eastAsia" w:ascii="仿宋" w:hAnsi="仿宋" w:eastAsia="仿宋" w:cs="仿宋"/>
          <w:kern w:val="0"/>
          <w:sz w:val="24"/>
          <w:szCs w:val="24"/>
        </w:rPr>
        <w:t>0</w:t>
      </w:r>
      <w:r>
        <w:rPr>
          <w:rFonts w:hint="eastAsia" w:ascii="仿宋" w:hAnsi="仿宋" w:eastAsia="仿宋" w:cs="仿宋"/>
          <w:kern w:val="0"/>
          <w:sz w:val="24"/>
          <w:szCs w:val="24"/>
        </w:rPr>
        <w:t>。回归结果见</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25</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2</w:t>
      </w:r>
      <w:r>
        <w:rPr>
          <w:rFonts w:hint="eastAsia" w:ascii="仿宋" w:hAnsi="仿宋" w:eastAsia="仿宋" w:cs="仿宋"/>
          <w:kern w:val="0"/>
          <w:sz w:val="24"/>
          <w:szCs w:val="24"/>
        </w:rPr>
        <w:t>6</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列）、妻子是否有大专及以上学历（有=</w:t>
      </w:r>
      <w:r>
        <w:rPr>
          <w:rFonts w:hint="eastAsia" w:ascii="仿宋" w:hAnsi="仿宋" w:eastAsia="仿宋" w:cs="仿宋"/>
          <w:kern w:val="0"/>
          <w:sz w:val="24"/>
          <w:szCs w:val="24"/>
        </w:rPr>
        <w:t>1</w:t>
      </w:r>
      <w:r>
        <w:rPr>
          <w:rFonts w:hint="eastAsia" w:ascii="仿宋" w:hAnsi="仿宋" w:eastAsia="仿宋" w:cs="仿宋"/>
          <w:kern w:val="0"/>
          <w:sz w:val="24"/>
          <w:szCs w:val="24"/>
        </w:rPr>
        <w:t>，无=</w:t>
      </w:r>
      <w:r>
        <w:rPr>
          <w:rFonts w:hint="eastAsia" w:ascii="仿宋" w:hAnsi="仿宋" w:eastAsia="仿宋" w:cs="仿宋"/>
          <w:kern w:val="0"/>
          <w:sz w:val="24"/>
          <w:szCs w:val="24"/>
        </w:rPr>
        <w:t>0</w:t>
      </w:r>
      <w:r>
        <w:rPr>
          <w:rFonts w:hint="eastAsia" w:ascii="仿宋" w:hAnsi="仿宋" w:eastAsia="仿宋" w:cs="仿宋"/>
          <w:kern w:val="0"/>
          <w:sz w:val="24"/>
          <w:szCs w:val="24"/>
        </w:rPr>
        <w:t>。回归结果见</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2</w:t>
      </w:r>
      <w:r>
        <w:rPr>
          <w:rFonts w:hint="eastAsia" w:ascii="仿宋" w:hAnsi="仿宋" w:eastAsia="仿宋" w:cs="仿宋"/>
          <w:kern w:val="0"/>
          <w:sz w:val="24"/>
          <w:szCs w:val="24"/>
        </w:rPr>
        <w:t>7</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2</w:t>
      </w:r>
      <w:r>
        <w:rPr>
          <w:rFonts w:hint="eastAsia" w:ascii="仿宋" w:hAnsi="仿宋" w:eastAsia="仿宋" w:cs="仿宋"/>
          <w:kern w:val="0"/>
          <w:sz w:val="24"/>
          <w:szCs w:val="24"/>
        </w:rPr>
        <w:t>8</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列）、妻子与丈夫受教育年数的差（较大=</w:t>
      </w:r>
      <w:r>
        <w:rPr>
          <w:rFonts w:hint="eastAsia" w:ascii="仿宋" w:hAnsi="仿宋" w:eastAsia="仿宋" w:cs="仿宋"/>
          <w:kern w:val="0"/>
          <w:sz w:val="24"/>
          <w:szCs w:val="24"/>
        </w:rPr>
        <w:t>1</w:t>
      </w:r>
      <w:r>
        <w:rPr>
          <w:rFonts w:hint="eastAsia" w:ascii="仿宋" w:hAnsi="仿宋" w:eastAsia="仿宋" w:cs="仿宋"/>
          <w:kern w:val="0"/>
          <w:sz w:val="24"/>
          <w:szCs w:val="24"/>
        </w:rPr>
        <w:t>，较小=</w:t>
      </w:r>
      <w:r>
        <w:rPr>
          <w:rFonts w:hint="eastAsia" w:ascii="仿宋" w:hAnsi="仿宋" w:eastAsia="仿宋" w:cs="仿宋"/>
          <w:kern w:val="0"/>
          <w:sz w:val="24"/>
          <w:szCs w:val="24"/>
        </w:rPr>
        <w:t>0</w:t>
      </w:r>
      <w:r>
        <w:rPr>
          <w:rFonts w:hint="eastAsia" w:ascii="仿宋" w:hAnsi="仿宋" w:eastAsia="仿宋" w:cs="仿宋"/>
          <w:kern w:val="0"/>
          <w:sz w:val="24"/>
          <w:szCs w:val="24"/>
        </w:rPr>
        <w:t>。回归结果见</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2</w:t>
      </w:r>
      <w:r>
        <w:rPr>
          <w:rFonts w:hint="eastAsia" w:ascii="仿宋" w:hAnsi="仿宋" w:eastAsia="仿宋" w:cs="仿宋"/>
          <w:kern w:val="0"/>
          <w:sz w:val="24"/>
          <w:szCs w:val="24"/>
        </w:rPr>
        <w:t>9</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3</w:t>
      </w:r>
      <w:r>
        <w:rPr>
          <w:rFonts w:hint="eastAsia" w:ascii="仿宋" w:hAnsi="仿宋" w:eastAsia="仿宋" w:cs="仿宋"/>
          <w:kern w:val="0"/>
          <w:sz w:val="24"/>
          <w:szCs w:val="24"/>
        </w:rPr>
        <w:t>0</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列）。</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szCs w:val="24"/>
        </w:rPr>
      </w:pPr>
      <w:r>
        <w:rPr>
          <w:rFonts w:hint="eastAsia" w:ascii="仿宋" w:hAnsi="仿宋" w:eastAsia="仿宋" w:cs="仿宋"/>
          <w:kern w:val="0"/>
          <w:sz w:val="24"/>
          <w:szCs w:val="24"/>
        </w:rPr>
        <w:t>表A2中所有的回归均未得出显著的结果，因此住房、教育成本等问题可能并不是影响家庭二孩生育决策的重要因素。</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表A2</w:t>
      </w:r>
      <w:r>
        <w:rPr>
          <w:rFonts w:hint="eastAsia" w:ascii="仿宋" w:hAnsi="仿宋" w:eastAsia="仿宋" w:cs="仿宋"/>
          <w:kern w:val="0"/>
          <w:sz w:val="24"/>
          <w:szCs w:val="24"/>
        </w:rPr>
        <w:t xml:space="preserve">  </w:t>
      </w:r>
      <w:r>
        <w:rPr>
          <w:rFonts w:hint="eastAsia" w:ascii="仿宋" w:hAnsi="仿宋" w:eastAsia="仿宋" w:cs="仿宋"/>
          <w:kern w:val="0"/>
          <w:sz w:val="24"/>
          <w:szCs w:val="24"/>
        </w:rPr>
        <w:t>更多的异质性结果</w:t>
      </w:r>
    </w:p>
    <w:tbl>
      <w:tblPr>
        <w:tblStyle w:val="5"/>
        <w:tblW w:w="9352" w:type="dxa"/>
        <w:tblInd w:w="-426" w:type="dxa"/>
        <w:tblLayout w:type="autofit"/>
        <w:tblCellMar>
          <w:top w:w="0" w:type="dxa"/>
          <w:left w:w="108" w:type="dxa"/>
          <w:bottom w:w="0" w:type="dxa"/>
          <w:right w:w="108" w:type="dxa"/>
        </w:tblCellMar>
      </w:tblPr>
      <w:tblGrid>
        <w:gridCol w:w="1814"/>
        <w:gridCol w:w="1056"/>
        <w:gridCol w:w="1056"/>
        <w:gridCol w:w="1056"/>
        <w:gridCol w:w="1056"/>
        <w:gridCol w:w="1056"/>
        <w:gridCol w:w="1056"/>
        <w:gridCol w:w="1056"/>
        <w:gridCol w:w="1056"/>
      </w:tblGrid>
      <w:tr>
        <w:tblPrEx>
          <w:tblCellMar>
            <w:top w:w="0" w:type="dxa"/>
            <w:left w:w="108" w:type="dxa"/>
            <w:bottom w:w="0" w:type="dxa"/>
            <w:right w:w="108" w:type="dxa"/>
          </w:tblCellMar>
        </w:tblPrEx>
        <w:trPr>
          <w:trHeight w:val="310" w:hRule="atLeast"/>
        </w:trPr>
        <w:tc>
          <w:tcPr>
            <w:tcW w:w="1814" w:type="dxa"/>
            <w:tcBorders>
              <w:top w:val="single" w:color="000000"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938" w:type="dxa"/>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938" w:type="dxa"/>
            <w:tcBorders>
              <w:top w:val="single" w:color="000000"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934" w:type="dxa"/>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934" w:type="dxa"/>
            <w:tcBorders>
              <w:top w:val="single" w:color="000000"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988" w:type="dxa"/>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938" w:type="dxa"/>
            <w:tcBorders>
              <w:top w:val="single" w:color="000000"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934" w:type="dxa"/>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(7)</w:t>
            </w:r>
          </w:p>
        </w:tc>
        <w:tc>
          <w:tcPr>
            <w:tcW w:w="934" w:type="dxa"/>
            <w:tcBorders>
              <w:top w:val="single" w:color="000000" w:sz="4" w:space="0"/>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(8)</w:t>
            </w: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变量</w:t>
            </w: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r>
      <w:tr>
        <w:tblPrEx>
          <w:tblCellMar>
            <w:top w:w="0" w:type="dxa"/>
            <w:left w:w="108" w:type="dxa"/>
            <w:bottom w:w="0" w:type="dxa"/>
            <w:right w:w="108" w:type="dxa"/>
          </w:tblCellMar>
        </w:tblPrEx>
        <w:trPr>
          <w:trHeight w:val="310" w:hRule="atLeast"/>
        </w:trPr>
        <w:tc>
          <w:tcPr>
            <w:tcW w:w="1814" w:type="dxa"/>
            <w:tcBorders>
              <w:top w:val="single" w:color="000000"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876" w:type="dxa"/>
            <w:gridSpan w:val="2"/>
            <w:tcBorders>
              <w:top w:val="single" w:color="000000" w:sz="4" w:space="0"/>
              <w:left w:val="single" w:color="auto" w:sz="4" w:space="0"/>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是否有住房</w:t>
            </w:r>
          </w:p>
        </w:tc>
        <w:tc>
          <w:tcPr>
            <w:tcW w:w="1868" w:type="dxa"/>
            <w:gridSpan w:val="2"/>
            <w:tcBorders>
              <w:top w:val="single" w:color="000000" w:sz="4" w:space="0"/>
              <w:left w:val="single" w:color="auto" w:sz="4" w:space="0"/>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房子大小</w:t>
            </w:r>
          </w:p>
        </w:tc>
        <w:tc>
          <w:tcPr>
            <w:tcW w:w="1926" w:type="dxa"/>
            <w:gridSpan w:val="2"/>
            <w:tcBorders>
              <w:top w:val="single" w:color="000000" w:sz="4" w:space="0"/>
              <w:left w:val="single" w:color="auto" w:sz="4" w:space="0"/>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是否住房困难</w:t>
            </w:r>
          </w:p>
        </w:tc>
        <w:tc>
          <w:tcPr>
            <w:tcW w:w="1868" w:type="dxa"/>
            <w:gridSpan w:val="2"/>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住房问题严重</w:t>
            </w: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i/>
                <w:iCs/>
                <w:kern w:val="0"/>
                <w:sz w:val="21"/>
                <w:szCs w:val="21"/>
              </w:rPr>
              <w:t>treat</w:t>
            </w:r>
            <w:r>
              <w:rPr>
                <w:rFonts w:hint="eastAsia" w:ascii="仿宋" w:hAnsi="仿宋" w:eastAsia="仿宋" w:cs="仿宋"/>
                <w:kern w:val="0"/>
                <w:sz w:val="21"/>
                <w:szCs w:val="21"/>
              </w:rPr>
              <w:sym w:font="Symbol" w:char="F0B4"/>
            </w:r>
            <w:r>
              <w:rPr>
                <w:rFonts w:hint="eastAsia" w:ascii="仿宋" w:hAnsi="仿宋" w:eastAsia="仿宋" w:cs="仿宋"/>
                <w:i/>
                <w:iCs/>
                <w:kern w:val="0"/>
                <w:sz w:val="21"/>
                <w:szCs w:val="21"/>
              </w:rPr>
              <w:t>post</w:t>
            </w:r>
            <w:r>
              <w:rPr>
                <w:rFonts w:hint="eastAsia" w:ascii="仿宋" w:hAnsi="仿宋" w:eastAsia="仿宋" w:cs="仿宋"/>
                <w:kern w:val="0"/>
                <w:sz w:val="21"/>
                <w:szCs w:val="21"/>
              </w:rPr>
              <w:sym w:font="Symbol" w:char="F0B4"/>
            </w:r>
            <w:r>
              <w:rPr>
                <w:rFonts w:hint="eastAsia" w:ascii="仿宋" w:hAnsi="仿宋" w:eastAsia="仿宋" w:cs="仿宋"/>
                <w:i/>
                <w:iCs/>
                <w:kern w:val="0"/>
                <w:sz w:val="21"/>
                <w:szCs w:val="21"/>
              </w:rPr>
              <w:t>var</w:t>
            </w:r>
          </w:p>
        </w:tc>
        <w:tc>
          <w:tcPr>
            <w:tcW w:w="938" w:type="dxa"/>
            <w:tcBorders>
              <w:top w:val="nil"/>
              <w:left w:val="single" w:color="auto" w:sz="4" w:space="0"/>
              <w:bottom w:val="nil"/>
              <w:right w:val="nil"/>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0.0036</w:t>
            </w:r>
          </w:p>
        </w:tc>
        <w:tc>
          <w:tcPr>
            <w:tcW w:w="938" w:type="dxa"/>
            <w:tcBorders>
              <w:top w:val="nil"/>
              <w:left w:val="nil"/>
              <w:bottom w:val="nil"/>
              <w:right w:val="single" w:color="auto" w:sz="4" w:space="0"/>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-0.0020</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-0.0050</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-0.0139</w:t>
            </w: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-0.0128</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-0.0203</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0.0019</w:t>
            </w: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0.0039</w:t>
            </w: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8" w:type="dxa"/>
            <w:tcBorders>
              <w:top w:val="nil"/>
              <w:left w:val="single" w:color="auto" w:sz="4" w:space="0"/>
              <w:bottom w:val="nil"/>
              <w:right w:val="nil"/>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(0.0272)</w:t>
            </w:r>
          </w:p>
        </w:tc>
        <w:tc>
          <w:tcPr>
            <w:tcW w:w="938" w:type="dxa"/>
            <w:tcBorders>
              <w:top w:val="nil"/>
              <w:left w:val="nil"/>
              <w:bottom w:val="nil"/>
              <w:right w:val="single" w:color="auto" w:sz="4" w:space="0"/>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(0.0286)</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(0.0162)</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(0.0176)</w:t>
            </w: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(0.0216)</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(0.0225)</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(0.0039)</w:t>
            </w: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(0.0040)</w:t>
            </w: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8" w:type="dxa"/>
            <w:tcBorders>
              <w:top w:val="nil"/>
              <w:left w:val="single" w:color="auto" w:sz="4" w:space="0"/>
              <w:bottom w:val="nil"/>
              <w:right w:val="nil"/>
            </w:tcBorders>
            <w:shd w:val="clear" w:color="auto" w:fill="auto"/>
            <w:noWrap/>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38" w:type="dxa"/>
            <w:tcBorders>
              <w:top w:val="nil"/>
              <w:left w:val="nil"/>
              <w:bottom w:val="nil"/>
              <w:right w:val="single" w:color="auto" w:sz="4" w:space="0"/>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样本量</w:t>
            </w:r>
          </w:p>
        </w:tc>
        <w:tc>
          <w:tcPr>
            <w:tcW w:w="938" w:type="dxa"/>
            <w:tcBorders>
              <w:top w:val="nil"/>
              <w:left w:val="single" w:color="auto" w:sz="4" w:space="0"/>
              <w:bottom w:val="nil"/>
              <w:right w:val="nil"/>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15,906</w:t>
            </w:r>
          </w:p>
        </w:tc>
        <w:tc>
          <w:tcPr>
            <w:tcW w:w="938" w:type="dxa"/>
            <w:tcBorders>
              <w:top w:val="nil"/>
              <w:left w:val="nil"/>
              <w:bottom w:val="nil"/>
              <w:right w:val="single" w:color="auto" w:sz="4" w:space="0"/>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15,906</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14,337</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14,337</w:t>
            </w: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15,730</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15,730</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15,100</w:t>
            </w: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15,100</w:t>
            </w:r>
          </w:p>
        </w:tc>
      </w:tr>
      <w:tr>
        <w:tblPrEx>
          <w:tblCellMar>
            <w:top w:w="0" w:type="dxa"/>
            <w:left w:w="108" w:type="dxa"/>
            <w:bottom w:w="0" w:type="dxa"/>
            <w:right w:w="108" w:type="dxa"/>
          </w:tblCellMar>
        </w:tblPrEx>
        <w:trPr>
          <w:trHeight w:val="310" w:hRule="atLeast"/>
        </w:trPr>
        <w:tc>
          <w:tcPr>
            <w:tcW w:w="1814"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m:oMathPara>
              <m:oMathParaPr>
                <m:jc m:val="left"/>
              </m:oMathParaPr>
              <m:oMath>
                <m:sSup>
                  <m:sSupPr>
                    <m:ctrlPr>
                      <w:rPr>
                        <w:rFonts w:hint="eastAsia" w:ascii="Cambria Math" w:hAnsi="Cambria Math" w:eastAsia="仿宋" w:cs="仿宋"/>
                        <w:kern w:val="0"/>
                        <w:sz w:val="21"/>
                        <w:szCs w:val="21"/>
                      </w:rPr>
                    </m:ctrlPr>
                  </m:sSupPr>
                  <m:e>
                    <m:r>
                      <m:rPr/>
                      <w:rPr>
                        <w:rFonts w:hint="default" w:ascii="Cambria Math" w:hAnsi="Cambria Math" w:eastAsia="仿宋" w:cs="仿宋"/>
                        <w:kern w:val="0"/>
                        <w:sz w:val="21"/>
                        <w:szCs w:val="21"/>
                      </w:rPr>
                      <m:t>R</m:t>
                    </m:r>
                    <m:ctrlPr>
                      <w:rPr>
                        <w:rFonts w:hint="eastAsia" w:ascii="Cambria Math" w:hAnsi="Cambria Math" w:eastAsia="仿宋" w:cs="仿宋"/>
                        <w:kern w:val="0"/>
                        <w:sz w:val="21"/>
                        <w:szCs w:val="21"/>
                      </w:rPr>
                    </m:ctrlPr>
                  </m:e>
                  <m:sup>
                    <m:r>
                      <m:rPr/>
                      <w:rPr>
                        <w:rFonts w:hint="eastAsia" w:ascii="Cambria Math" w:hAnsi="Cambria Math" w:eastAsia="仿宋" w:cs="仿宋"/>
                        <w:kern w:val="0"/>
                        <w:sz w:val="21"/>
                        <w:szCs w:val="21"/>
                      </w:rPr>
                      <m:t>2</m:t>
                    </m:r>
                    <m:ctrlPr>
                      <w:rPr>
                        <w:rFonts w:hint="eastAsia" w:ascii="Cambria Math" w:hAnsi="Cambria Math" w:eastAsia="仿宋" w:cs="仿宋"/>
                        <w:kern w:val="0"/>
                        <w:sz w:val="21"/>
                        <w:szCs w:val="21"/>
                      </w:rPr>
                    </m:ctrlPr>
                  </m:sup>
                </m:sSup>
              </m:oMath>
            </m:oMathPara>
          </w:p>
        </w:tc>
        <w:tc>
          <w:tcPr>
            <w:tcW w:w="938" w:type="dxa"/>
            <w:tcBorders>
              <w:top w:val="nil"/>
              <w:left w:val="single" w:color="auto" w:sz="4" w:space="0"/>
              <w:bottom w:val="nil"/>
              <w:right w:val="nil"/>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0.1501</w:t>
            </w:r>
          </w:p>
        </w:tc>
        <w:tc>
          <w:tcPr>
            <w:tcW w:w="938" w:type="dxa"/>
            <w:tcBorders>
              <w:top w:val="nil"/>
              <w:left w:val="nil"/>
              <w:bottom w:val="nil"/>
              <w:right w:val="single" w:color="auto" w:sz="4" w:space="0"/>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0.1629</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0.1489</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0.1636</w:t>
            </w: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0.1491</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0.1627</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0.1493</w:t>
            </w: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0.1641</w:t>
            </w: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8" w:type="dxa"/>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(9)</w:t>
            </w:r>
          </w:p>
        </w:tc>
        <w:tc>
          <w:tcPr>
            <w:tcW w:w="938" w:type="dxa"/>
            <w:tcBorders>
              <w:top w:val="single" w:color="000000"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934" w:type="dxa"/>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(11)</w:t>
            </w:r>
          </w:p>
        </w:tc>
        <w:tc>
          <w:tcPr>
            <w:tcW w:w="934" w:type="dxa"/>
            <w:tcBorders>
              <w:top w:val="single" w:color="000000"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988" w:type="dxa"/>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(13)</w:t>
            </w:r>
          </w:p>
        </w:tc>
        <w:tc>
          <w:tcPr>
            <w:tcW w:w="938" w:type="dxa"/>
            <w:tcBorders>
              <w:top w:val="single" w:color="000000"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(14)</w:t>
            </w:r>
          </w:p>
        </w:tc>
        <w:tc>
          <w:tcPr>
            <w:tcW w:w="934" w:type="dxa"/>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(15)</w:t>
            </w:r>
          </w:p>
        </w:tc>
        <w:tc>
          <w:tcPr>
            <w:tcW w:w="934" w:type="dxa"/>
            <w:tcBorders>
              <w:top w:val="single" w:color="000000" w:sz="4" w:space="0"/>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(16)</w:t>
            </w: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变量</w:t>
            </w: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r>
      <w:tr>
        <w:tblPrEx>
          <w:tblCellMar>
            <w:top w:w="0" w:type="dxa"/>
            <w:left w:w="108" w:type="dxa"/>
            <w:bottom w:w="0" w:type="dxa"/>
            <w:right w:w="108" w:type="dxa"/>
          </w:tblCellMar>
        </w:tblPrEx>
        <w:trPr>
          <w:trHeight w:val="310" w:hRule="atLeast"/>
        </w:trPr>
        <w:tc>
          <w:tcPr>
            <w:tcW w:w="1814" w:type="dxa"/>
            <w:tcBorders>
              <w:top w:val="single" w:color="000000"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876" w:type="dxa"/>
            <w:gridSpan w:val="2"/>
            <w:tcBorders>
              <w:top w:val="single" w:color="000000" w:sz="4" w:space="0"/>
              <w:left w:val="single" w:color="auto" w:sz="4" w:space="0"/>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居住拥挤</w:t>
            </w:r>
          </w:p>
        </w:tc>
        <w:tc>
          <w:tcPr>
            <w:tcW w:w="1868" w:type="dxa"/>
            <w:gridSpan w:val="2"/>
            <w:tcBorders>
              <w:top w:val="single" w:color="000000" w:sz="4" w:space="0"/>
              <w:left w:val="single" w:color="auto" w:sz="4" w:space="0"/>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欠债</w:t>
            </w:r>
          </w:p>
        </w:tc>
        <w:tc>
          <w:tcPr>
            <w:tcW w:w="1926" w:type="dxa"/>
            <w:gridSpan w:val="2"/>
            <w:tcBorders>
              <w:top w:val="single" w:color="000000" w:sz="4" w:space="0"/>
              <w:left w:val="single" w:color="auto" w:sz="4" w:space="0"/>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建房成本或房价</w:t>
            </w:r>
          </w:p>
        </w:tc>
        <w:tc>
          <w:tcPr>
            <w:tcW w:w="1868" w:type="dxa"/>
            <w:gridSpan w:val="2"/>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妻子自评健康</w:t>
            </w: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i/>
                <w:iCs/>
                <w:kern w:val="0"/>
                <w:sz w:val="21"/>
                <w:szCs w:val="21"/>
              </w:rPr>
              <w:t>treat</w:t>
            </w:r>
            <w:r>
              <w:rPr>
                <w:rFonts w:hint="eastAsia" w:ascii="仿宋" w:hAnsi="仿宋" w:eastAsia="仿宋" w:cs="仿宋"/>
                <w:kern w:val="0"/>
                <w:sz w:val="21"/>
                <w:szCs w:val="21"/>
              </w:rPr>
              <w:sym w:font="Symbol" w:char="F0B4"/>
            </w:r>
            <w:r>
              <w:rPr>
                <w:rFonts w:hint="eastAsia" w:ascii="仿宋" w:hAnsi="仿宋" w:eastAsia="仿宋" w:cs="仿宋"/>
                <w:i/>
                <w:iCs/>
                <w:kern w:val="0"/>
                <w:sz w:val="21"/>
                <w:szCs w:val="21"/>
              </w:rPr>
              <w:t>post</w:t>
            </w:r>
            <w:r>
              <w:rPr>
                <w:rFonts w:hint="eastAsia" w:ascii="仿宋" w:hAnsi="仿宋" w:eastAsia="仿宋" w:cs="仿宋"/>
                <w:kern w:val="0"/>
                <w:sz w:val="21"/>
                <w:szCs w:val="21"/>
              </w:rPr>
              <w:sym w:font="Symbol" w:char="F0B4"/>
            </w:r>
            <w:r>
              <w:rPr>
                <w:rFonts w:hint="eastAsia" w:ascii="仿宋" w:hAnsi="仿宋" w:eastAsia="仿宋" w:cs="仿宋"/>
                <w:i/>
                <w:iCs/>
                <w:kern w:val="0"/>
                <w:sz w:val="21"/>
                <w:szCs w:val="21"/>
              </w:rPr>
              <w:t>var</w:t>
            </w: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-0.0060</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-0.0063</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0.0081</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0.0052</w:t>
            </w:r>
          </w:p>
        </w:tc>
        <w:tc>
          <w:tcPr>
            <w:tcW w:w="988" w:type="dxa"/>
            <w:tcBorders>
              <w:top w:val="nil"/>
              <w:left w:val="single" w:color="auto" w:sz="4" w:space="0"/>
              <w:bottom w:val="nil"/>
              <w:right w:val="nil"/>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0.4036**</w:t>
            </w:r>
          </w:p>
        </w:tc>
        <w:tc>
          <w:tcPr>
            <w:tcW w:w="938" w:type="dxa"/>
            <w:tcBorders>
              <w:top w:val="nil"/>
              <w:left w:val="nil"/>
              <w:bottom w:val="nil"/>
              <w:right w:val="single" w:color="auto" w:sz="4" w:space="0"/>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0.3723</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0.0086</w:t>
            </w: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0.0120</w:t>
            </w: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(0.0071)</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(0.0074)</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(0.0184)</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(0.0192)</w:t>
            </w:r>
          </w:p>
        </w:tc>
        <w:tc>
          <w:tcPr>
            <w:tcW w:w="988" w:type="dxa"/>
            <w:tcBorders>
              <w:top w:val="nil"/>
              <w:left w:val="single" w:color="auto" w:sz="4" w:space="0"/>
              <w:bottom w:val="nil"/>
              <w:right w:val="nil"/>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(0.1960)</w:t>
            </w:r>
          </w:p>
        </w:tc>
        <w:tc>
          <w:tcPr>
            <w:tcW w:w="938" w:type="dxa"/>
            <w:tcBorders>
              <w:top w:val="nil"/>
              <w:left w:val="nil"/>
              <w:bottom w:val="nil"/>
              <w:right w:val="single" w:color="auto" w:sz="4" w:space="0"/>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(0.2309)</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(0.0190)</w:t>
            </w: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(0.0192)</w:t>
            </w: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88" w:type="dxa"/>
            <w:tcBorders>
              <w:top w:val="nil"/>
              <w:left w:val="single" w:color="auto" w:sz="4" w:space="0"/>
              <w:bottom w:val="nil"/>
              <w:right w:val="nil"/>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8" w:type="dxa"/>
            <w:tcBorders>
              <w:top w:val="nil"/>
              <w:left w:val="nil"/>
              <w:bottom w:val="nil"/>
              <w:right w:val="single" w:color="auto" w:sz="4" w:space="0"/>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样本量</w:t>
            </w: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14,145</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14,145</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16,262</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16,262</w:t>
            </w:r>
          </w:p>
        </w:tc>
        <w:tc>
          <w:tcPr>
            <w:tcW w:w="988" w:type="dxa"/>
            <w:tcBorders>
              <w:top w:val="nil"/>
              <w:left w:val="single" w:color="auto" w:sz="4" w:space="0"/>
              <w:bottom w:val="nil"/>
              <w:right w:val="nil"/>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12,681</w:t>
            </w:r>
          </w:p>
        </w:tc>
        <w:tc>
          <w:tcPr>
            <w:tcW w:w="938" w:type="dxa"/>
            <w:tcBorders>
              <w:top w:val="nil"/>
              <w:left w:val="nil"/>
              <w:bottom w:val="nil"/>
              <w:right w:val="single" w:color="auto" w:sz="4" w:space="0"/>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12,681</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15,304</w:t>
            </w: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15,304</w:t>
            </w:r>
          </w:p>
        </w:tc>
      </w:tr>
      <w:tr>
        <w:tblPrEx>
          <w:tblCellMar>
            <w:top w:w="0" w:type="dxa"/>
            <w:left w:w="108" w:type="dxa"/>
            <w:bottom w:w="0" w:type="dxa"/>
            <w:right w:w="108" w:type="dxa"/>
          </w:tblCellMar>
        </w:tblPrEx>
        <w:trPr>
          <w:trHeight w:val="310" w:hRule="atLeast"/>
        </w:trPr>
        <w:tc>
          <w:tcPr>
            <w:tcW w:w="1814"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m:oMathPara>
              <m:oMathParaPr>
                <m:jc m:val="left"/>
              </m:oMathParaPr>
              <m:oMath>
                <m:sSup>
                  <m:sSupPr>
                    <m:ctrlPr>
                      <w:rPr>
                        <w:rFonts w:hint="eastAsia" w:ascii="Cambria Math" w:hAnsi="Cambria Math" w:eastAsia="仿宋" w:cs="仿宋"/>
                        <w:kern w:val="0"/>
                        <w:sz w:val="21"/>
                        <w:szCs w:val="21"/>
                      </w:rPr>
                    </m:ctrlPr>
                  </m:sSupPr>
                  <m:e>
                    <m:r>
                      <m:rPr/>
                      <w:rPr>
                        <w:rFonts w:hint="default" w:ascii="Cambria Math" w:hAnsi="Cambria Math" w:eastAsia="仿宋" w:cs="仿宋"/>
                        <w:kern w:val="0"/>
                        <w:sz w:val="21"/>
                        <w:szCs w:val="21"/>
                      </w:rPr>
                      <m:t>R</m:t>
                    </m:r>
                    <m:ctrlPr>
                      <w:rPr>
                        <w:rFonts w:hint="eastAsia" w:ascii="Cambria Math" w:hAnsi="Cambria Math" w:eastAsia="仿宋" w:cs="仿宋"/>
                        <w:kern w:val="0"/>
                        <w:sz w:val="21"/>
                        <w:szCs w:val="21"/>
                      </w:rPr>
                    </m:ctrlPr>
                  </m:e>
                  <m:sup>
                    <m:r>
                      <m:rPr/>
                      <w:rPr>
                        <w:rFonts w:hint="eastAsia" w:ascii="Cambria Math" w:hAnsi="Cambria Math" w:eastAsia="仿宋" w:cs="仿宋"/>
                        <w:kern w:val="0"/>
                        <w:sz w:val="21"/>
                        <w:szCs w:val="21"/>
                      </w:rPr>
                      <m:t>2</m:t>
                    </m:r>
                    <m:ctrlPr>
                      <w:rPr>
                        <w:rFonts w:hint="eastAsia" w:ascii="Cambria Math" w:hAnsi="Cambria Math" w:eastAsia="仿宋" w:cs="仿宋"/>
                        <w:kern w:val="0"/>
                        <w:sz w:val="21"/>
                        <w:szCs w:val="21"/>
                      </w:rPr>
                    </m:ctrlPr>
                  </m:sup>
                </m:sSup>
              </m:oMath>
            </m:oMathPara>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0.1525</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0.1636</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0.1496</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0.1631</w:t>
            </w:r>
          </w:p>
        </w:tc>
        <w:tc>
          <w:tcPr>
            <w:tcW w:w="988" w:type="dxa"/>
            <w:tcBorders>
              <w:top w:val="nil"/>
              <w:left w:val="single" w:color="auto" w:sz="4" w:space="0"/>
              <w:bottom w:val="nil"/>
              <w:right w:val="nil"/>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0.1534</w:t>
            </w:r>
          </w:p>
        </w:tc>
        <w:tc>
          <w:tcPr>
            <w:tcW w:w="938" w:type="dxa"/>
            <w:tcBorders>
              <w:top w:val="nil"/>
              <w:left w:val="nil"/>
              <w:bottom w:val="nil"/>
              <w:right w:val="single" w:color="auto" w:sz="4" w:space="0"/>
            </w:tcBorders>
            <w:shd w:val="clear" w:color="auto" w:fill="auto"/>
            <w:noWrap/>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0.1643</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0.1483</w:t>
            </w: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0.1623</w:t>
            </w: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8" w:type="dxa"/>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(17)</w:t>
            </w:r>
          </w:p>
        </w:tc>
        <w:tc>
          <w:tcPr>
            <w:tcW w:w="938" w:type="dxa"/>
            <w:tcBorders>
              <w:top w:val="single" w:color="000000"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(18)</w:t>
            </w:r>
          </w:p>
        </w:tc>
        <w:tc>
          <w:tcPr>
            <w:tcW w:w="934" w:type="dxa"/>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(19)</w:t>
            </w:r>
          </w:p>
        </w:tc>
        <w:tc>
          <w:tcPr>
            <w:tcW w:w="934" w:type="dxa"/>
            <w:tcBorders>
              <w:top w:val="single" w:color="000000"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(20)</w:t>
            </w:r>
          </w:p>
        </w:tc>
        <w:tc>
          <w:tcPr>
            <w:tcW w:w="988" w:type="dxa"/>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(21)</w:t>
            </w:r>
          </w:p>
        </w:tc>
        <w:tc>
          <w:tcPr>
            <w:tcW w:w="938" w:type="dxa"/>
            <w:tcBorders>
              <w:top w:val="single" w:color="000000"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(22)</w:t>
            </w:r>
          </w:p>
        </w:tc>
        <w:tc>
          <w:tcPr>
            <w:tcW w:w="934" w:type="dxa"/>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(23)</w:t>
            </w:r>
          </w:p>
        </w:tc>
        <w:tc>
          <w:tcPr>
            <w:tcW w:w="934" w:type="dxa"/>
            <w:tcBorders>
              <w:top w:val="single" w:color="000000" w:sz="4" w:space="0"/>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(24)</w:t>
            </w: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变量</w:t>
            </w: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r>
      <w:tr>
        <w:tblPrEx>
          <w:tblCellMar>
            <w:top w:w="0" w:type="dxa"/>
            <w:left w:w="108" w:type="dxa"/>
            <w:bottom w:w="0" w:type="dxa"/>
            <w:right w:w="108" w:type="dxa"/>
          </w:tblCellMar>
        </w:tblPrEx>
        <w:trPr>
          <w:trHeight w:val="310" w:hRule="atLeast"/>
        </w:trPr>
        <w:tc>
          <w:tcPr>
            <w:tcW w:w="1814" w:type="dxa"/>
            <w:tcBorders>
              <w:top w:val="single" w:color="000000"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876" w:type="dxa"/>
            <w:gridSpan w:val="2"/>
            <w:tcBorders>
              <w:top w:val="single" w:color="000000" w:sz="4" w:space="0"/>
              <w:left w:val="single" w:color="auto" w:sz="4" w:space="0"/>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丈夫自评健康</w:t>
            </w:r>
          </w:p>
        </w:tc>
        <w:tc>
          <w:tcPr>
            <w:tcW w:w="1868" w:type="dxa"/>
            <w:gridSpan w:val="2"/>
            <w:tcBorders>
              <w:top w:val="single" w:color="000000" w:sz="4" w:space="0"/>
              <w:left w:val="single" w:color="auto" w:sz="4" w:space="0"/>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附近有小学初中</w:t>
            </w:r>
          </w:p>
        </w:tc>
        <w:tc>
          <w:tcPr>
            <w:tcW w:w="1926" w:type="dxa"/>
            <w:gridSpan w:val="2"/>
            <w:tcBorders>
              <w:top w:val="single" w:color="000000" w:sz="4" w:space="0"/>
              <w:left w:val="single" w:color="auto" w:sz="4" w:space="0"/>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附近经济状况</w:t>
            </w:r>
          </w:p>
        </w:tc>
        <w:tc>
          <w:tcPr>
            <w:tcW w:w="1868" w:type="dxa"/>
            <w:gridSpan w:val="2"/>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夫妻周工作时长</w:t>
            </w: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i/>
                <w:iCs/>
                <w:kern w:val="0"/>
                <w:sz w:val="21"/>
                <w:szCs w:val="21"/>
              </w:rPr>
              <w:t>treat</w:t>
            </w:r>
            <w:r>
              <w:rPr>
                <w:rFonts w:hint="eastAsia" w:ascii="仿宋" w:hAnsi="仿宋" w:eastAsia="仿宋" w:cs="仿宋"/>
                <w:kern w:val="0"/>
                <w:sz w:val="21"/>
                <w:szCs w:val="21"/>
              </w:rPr>
              <w:sym w:font="Symbol" w:char="F0B4"/>
            </w:r>
            <w:r>
              <w:rPr>
                <w:rFonts w:hint="eastAsia" w:ascii="仿宋" w:hAnsi="仿宋" w:eastAsia="仿宋" w:cs="仿宋"/>
                <w:i/>
                <w:iCs/>
                <w:kern w:val="0"/>
                <w:sz w:val="21"/>
                <w:szCs w:val="21"/>
              </w:rPr>
              <w:t>post</w:t>
            </w:r>
            <w:r>
              <w:rPr>
                <w:rFonts w:hint="eastAsia" w:ascii="仿宋" w:hAnsi="仿宋" w:eastAsia="仿宋" w:cs="仿宋"/>
                <w:kern w:val="0"/>
                <w:sz w:val="21"/>
                <w:szCs w:val="21"/>
              </w:rPr>
              <w:sym w:font="Symbol" w:char="F0B4"/>
            </w:r>
            <w:r>
              <w:rPr>
                <w:rFonts w:hint="eastAsia" w:ascii="仿宋" w:hAnsi="仿宋" w:eastAsia="仿宋" w:cs="仿宋"/>
                <w:i/>
                <w:iCs/>
                <w:kern w:val="0"/>
                <w:sz w:val="21"/>
                <w:szCs w:val="21"/>
              </w:rPr>
              <w:t>var</w:t>
            </w: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0.0083</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0.0052</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-0.0202</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-0.0117</w:t>
            </w: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0.0036</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0.0030</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0.0001</w:t>
            </w: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0.0001</w:t>
            </w: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(0.0262)</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(0.0286)</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(0.0184)</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(0.0209)</w:t>
            </w: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(0.0075)</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(0.0077)</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(0.0002)</w:t>
            </w: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(0.0002)</w:t>
            </w: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样本量</w:t>
            </w: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14,966</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14,966</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14,171</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14,171</w:t>
            </w: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14,152</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14,152</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15,990</w:t>
            </w:r>
          </w:p>
        </w:tc>
        <w:tc>
          <w:tcPr>
            <w:tcW w:w="934" w:type="dxa"/>
            <w:tcBorders>
              <w:top w:val="nil"/>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15,990</w:t>
            </w:r>
          </w:p>
        </w:tc>
      </w:tr>
      <w:tr>
        <w:tblPrEx>
          <w:tblCellMar>
            <w:top w:w="0" w:type="dxa"/>
            <w:left w:w="108" w:type="dxa"/>
            <w:bottom w:w="0" w:type="dxa"/>
            <w:right w:w="108" w:type="dxa"/>
          </w:tblCellMar>
        </w:tblPrEx>
        <w:trPr>
          <w:trHeight w:val="310" w:hRule="atLeast"/>
        </w:trPr>
        <w:tc>
          <w:tcPr>
            <w:tcW w:w="1814"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m:oMathPara>
              <m:oMathParaPr>
                <m:jc m:val="left"/>
              </m:oMathParaPr>
              <m:oMath>
                <m:sSup>
                  <m:sSupPr>
                    <m:ctrlPr>
                      <w:rPr>
                        <w:rFonts w:hint="eastAsia" w:ascii="Cambria Math" w:hAnsi="Cambria Math" w:eastAsia="仿宋" w:cs="仿宋"/>
                        <w:kern w:val="0"/>
                        <w:sz w:val="21"/>
                        <w:szCs w:val="21"/>
                      </w:rPr>
                    </m:ctrlPr>
                  </m:sSupPr>
                  <m:e>
                    <m:r>
                      <m:rPr/>
                      <w:rPr>
                        <w:rFonts w:hint="default" w:ascii="Cambria Math" w:hAnsi="Cambria Math" w:eastAsia="仿宋" w:cs="仿宋"/>
                        <w:kern w:val="0"/>
                        <w:sz w:val="21"/>
                        <w:szCs w:val="21"/>
                      </w:rPr>
                      <m:t>R</m:t>
                    </m:r>
                    <m:ctrlPr>
                      <w:rPr>
                        <w:rFonts w:hint="eastAsia" w:ascii="Cambria Math" w:hAnsi="Cambria Math" w:eastAsia="仿宋" w:cs="仿宋"/>
                        <w:kern w:val="0"/>
                        <w:sz w:val="21"/>
                        <w:szCs w:val="21"/>
                      </w:rPr>
                    </m:ctrlPr>
                  </m:e>
                  <m:sup>
                    <m:r>
                      <m:rPr/>
                      <w:rPr>
                        <w:rFonts w:hint="eastAsia" w:ascii="Cambria Math" w:hAnsi="Cambria Math" w:eastAsia="仿宋" w:cs="仿宋"/>
                        <w:kern w:val="0"/>
                        <w:sz w:val="21"/>
                        <w:szCs w:val="21"/>
                      </w:rPr>
                      <m:t>2</m:t>
                    </m:r>
                    <m:ctrlPr>
                      <w:rPr>
                        <w:rFonts w:hint="eastAsia" w:ascii="Cambria Math" w:hAnsi="Cambria Math" w:eastAsia="仿宋" w:cs="仿宋"/>
                        <w:kern w:val="0"/>
                        <w:sz w:val="21"/>
                        <w:szCs w:val="21"/>
                      </w:rPr>
                    </m:ctrlPr>
                  </m:sup>
                </m:sSup>
              </m:oMath>
            </m:oMathPara>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0.1518</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0.1666</w:t>
            </w:r>
          </w:p>
        </w:tc>
        <w:tc>
          <w:tcPr>
            <w:tcW w:w="934" w:type="dxa"/>
            <w:tcBorders>
              <w:top w:val="nil"/>
              <w:left w:val="single" w:color="auto" w:sz="4" w:space="0"/>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0.1527</w:t>
            </w:r>
          </w:p>
        </w:tc>
        <w:tc>
          <w:tcPr>
            <w:tcW w:w="934"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0.1638</w:t>
            </w:r>
          </w:p>
        </w:tc>
        <w:tc>
          <w:tcPr>
            <w:tcW w:w="988" w:type="dxa"/>
            <w:tcBorders>
              <w:top w:val="nil"/>
              <w:left w:val="single" w:color="auto" w:sz="4" w:space="0"/>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0.1526</w:t>
            </w:r>
          </w:p>
        </w:tc>
        <w:tc>
          <w:tcPr>
            <w:tcW w:w="938"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0.1636</w:t>
            </w:r>
          </w:p>
        </w:tc>
        <w:tc>
          <w:tcPr>
            <w:tcW w:w="934" w:type="dxa"/>
            <w:tcBorders>
              <w:top w:val="nil"/>
              <w:left w:val="single" w:color="auto" w:sz="4" w:space="0"/>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0.1520</w:t>
            </w:r>
          </w:p>
        </w:tc>
        <w:tc>
          <w:tcPr>
            <w:tcW w:w="934" w:type="dxa"/>
            <w:tcBorders>
              <w:top w:val="nil"/>
              <w:left w:val="nil"/>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0.1654</w:t>
            </w: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8" w:type="dxa"/>
            <w:tcBorders>
              <w:top w:val="single" w:color="000000"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(25)</w:t>
            </w:r>
          </w:p>
        </w:tc>
        <w:tc>
          <w:tcPr>
            <w:tcW w:w="938" w:type="dxa"/>
            <w:tcBorders>
              <w:top w:val="single" w:color="000000"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(26)</w:t>
            </w:r>
          </w:p>
        </w:tc>
        <w:tc>
          <w:tcPr>
            <w:tcW w:w="934" w:type="dxa"/>
            <w:tcBorders>
              <w:top w:val="nil"/>
              <w:left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(27)</w:t>
            </w:r>
          </w:p>
        </w:tc>
        <w:tc>
          <w:tcPr>
            <w:tcW w:w="934" w:type="dxa"/>
            <w:tcBorders>
              <w:top w:val="nil"/>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(28)</w:t>
            </w:r>
          </w:p>
        </w:tc>
        <w:tc>
          <w:tcPr>
            <w:tcW w:w="988" w:type="dxa"/>
            <w:tcBorders>
              <w:top w:val="nil"/>
              <w:left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(29)</w:t>
            </w:r>
          </w:p>
        </w:tc>
        <w:tc>
          <w:tcPr>
            <w:tcW w:w="938" w:type="dxa"/>
            <w:tcBorders>
              <w:top w:val="nil"/>
              <w:left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(30)</w:t>
            </w:r>
          </w:p>
        </w:tc>
        <w:tc>
          <w:tcPr>
            <w:tcW w:w="934"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34"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变量</w:t>
            </w: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4" w:type="dxa"/>
            <w:tcBorders>
              <w:top w:val="nil"/>
              <w:left w:val="single" w:color="auto" w:sz="4" w:space="0"/>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88" w:type="dxa"/>
            <w:tcBorders>
              <w:top w:val="nil"/>
              <w:left w:val="single" w:color="auto" w:sz="4" w:space="0"/>
              <w:bottom w:val="single" w:color="auto" w:sz="4" w:space="0"/>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生育</w:t>
            </w:r>
          </w:p>
        </w:tc>
        <w:tc>
          <w:tcPr>
            <w:tcW w:w="934"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34"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10" w:hRule="atLeast"/>
        </w:trPr>
        <w:tc>
          <w:tcPr>
            <w:tcW w:w="1814" w:type="dxa"/>
            <w:tcBorders>
              <w:top w:val="single" w:color="000000"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　</w:t>
            </w:r>
          </w:p>
        </w:tc>
        <w:tc>
          <w:tcPr>
            <w:tcW w:w="1876" w:type="dxa"/>
            <w:gridSpan w:val="2"/>
            <w:tcBorders>
              <w:top w:val="single" w:color="000000" w:sz="4" w:space="0"/>
              <w:left w:val="single" w:color="auto" w:sz="4" w:space="0"/>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教育问题严重</w:t>
            </w:r>
          </w:p>
        </w:tc>
        <w:tc>
          <w:tcPr>
            <w:tcW w:w="1868" w:type="dxa"/>
            <w:gridSpan w:val="2"/>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妻子大学学历</w:t>
            </w:r>
          </w:p>
        </w:tc>
        <w:tc>
          <w:tcPr>
            <w:tcW w:w="1926" w:type="dxa"/>
            <w:gridSpan w:val="2"/>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夫妻教育年数差</w:t>
            </w:r>
          </w:p>
        </w:tc>
        <w:tc>
          <w:tcPr>
            <w:tcW w:w="934"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34"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i/>
                <w:iCs/>
                <w:kern w:val="0"/>
                <w:sz w:val="21"/>
                <w:szCs w:val="21"/>
              </w:rPr>
              <w:t>treat</w:t>
            </w:r>
            <w:r>
              <w:rPr>
                <w:rFonts w:hint="eastAsia" w:ascii="仿宋" w:hAnsi="仿宋" w:eastAsia="仿宋" w:cs="仿宋"/>
                <w:kern w:val="0"/>
                <w:sz w:val="21"/>
                <w:szCs w:val="21"/>
              </w:rPr>
              <w:sym w:font="Symbol" w:char="F0B4"/>
            </w:r>
            <w:r>
              <w:rPr>
                <w:rFonts w:hint="eastAsia" w:ascii="仿宋" w:hAnsi="仿宋" w:eastAsia="仿宋" w:cs="仿宋"/>
                <w:i/>
                <w:iCs/>
                <w:kern w:val="0"/>
                <w:sz w:val="21"/>
                <w:szCs w:val="21"/>
              </w:rPr>
              <w:t>post</w:t>
            </w:r>
            <w:r>
              <w:rPr>
                <w:rFonts w:hint="eastAsia" w:ascii="仿宋" w:hAnsi="仿宋" w:eastAsia="仿宋" w:cs="仿宋"/>
                <w:kern w:val="0"/>
                <w:sz w:val="21"/>
                <w:szCs w:val="21"/>
              </w:rPr>
              <w:sym w:font="Symbol" w:char="F0B4"/>
            </w:r>
            <w:r>
              <w:rPr>
                <w:rFonts w:hint="eastAsia" w:ascii="仿宋" w:hAnsi="仿宋" w:eastAsia="仿宋" w:cs="仿宋"/>
                <w:i/>
                <w:iCs/>
                <w:kern w:val="0"/>
                <w:sz w:val="21"/>
                <w:szCs w:val="21"/>
              </w:rPr>
              <w:t>var</w:t>
            </w: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-0.0015</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0.0007</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0.0324</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sz w:val="21"/>
                <w:szCs w:val="21"/>
              </w:rPr>
              <w:t>0.0263</w:t>
            </w: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0.0002</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0.0008</w:t>
            </w:r>
          </w:p>
        </w:tc>
        <w:tc>
          <w:tcPr>
            <w:tcW w:w="934"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34"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(0.0040)</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(0.0045)</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(0.0222)</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sz w:val="21"/>
                <w:szCs w:val="21"/>
              </w:rPr>
              <w:t>(0.0236)</w:t>
            </w: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(0.0023)</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(0.0023)</w:t>
            </w:r>
          </w:p>
        </w:tc>
        <w:tc>
          <w:tcPr>
            <w:tcW w:w="934"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34"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p>
        </w:tc>
        <w:tc>
          <w:tcPr>
            <w:tcW w:w="934"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34"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样本量</w:t>
            </w:r>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15,107</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15,107</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15,059</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sz w:val="21"/>
                <w:szCs w:val="21"/>
              </w:rPr>
              <w:t>15,059</w:t>
            </w: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14,031</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14,031</w:t>
            </w:r>
          </w:p>
        </w:tc>
        <w:tc>
          <w:tcPr>
            <w:tcW w:w="934"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34"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10" w:hRule="atLeast"/>
        </w:trPr>
        <w:tc>
          <w:tcPr>
            <w:tcW w:w="181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m:oMathPara>
              <m:oMathParaPr>
                <m:jc m:val="left"/>
              </m:oMathParaPr>
              <m:oMath>
                <m:sSup>
                  <m:sSupPr>
                    <m:ctrlPr>
                      <w:rPr>
                        <w:rFonts w:hint="eastAsia" w:ascii="Cambria Math" w:hAnsi="Cambria Math" w:eastAsia="仿宋" w:cs="仿宋"/>
                        <w:kern w:val="0"/>
                        <w:sz w:val="21"/>
                        <w:szCs w:val="21"/>
                      </w:rPr>
                    </m:ctrlPr>
                  </m:sSupPr>
                  <m:e>
                    <m:r>
                      <m:rPr/>
                      <w:rPr>
                        <w:rFonts w:hint="default" w:ascii="Cambria Math" w:hAnsi="Cambria Math" w:eastAsia="仿宋" w:cs="仿宋"/>
                        <w:kern w:val="0"/>
                        <w:sz w:val="21"/>
                        <w:szCs w:val="21"/>
                      </w:rPr>
                      <m:t>R</m:t>
                    </m:r>
                    <m:ctrlPr>
                      <w:rPr>
                        <w:rFonts w:hint="eastAsia" w:ascii="Cambria Math" w:hAnsi="Cambria Math" w:eastAsia="仿宋" w:cs="仿宋"/>
                        <w:kern w:val="0"/>
                        <w:sz w:val="21"/>
                        <w:szCs w:val="21"/>
                      </w:rPr>
                    </m:ctrlPr>
                  </m:e>
                  <m:sup>
                    <m:r>
                      <m:rPr/>
                      <w:rPr>
                        <w:rFonts w:hint="eastAsia" w:ascii="Cambria Math" w:hAnsi="Cambria Math" w:eastAsia="仿宋" w:cs="仿宋"/>
                        <w:kern w:val="0"/>
                        <w:sz w:val="21"/>
                        <w:szCs w:val="21"/>
                      </w:rPr>
                      <m:t>2</m:t>
                    </m:r>
                    <m:ctrlPr>
                      <w:rPr>
                        <w:rFonts w:hint="eastAsia" w:ascii="Cambria Math" w:hAnsi="Cambria Math" w:eastAsia="仿宋" w:cs="仿宋"/>
                        <w:kern w:val="0"/>
                        <w:sz w:val="21"/>
                        <w:szCs w:val="21"/>
                      </w:rPr>
                    </m:ctrlPr>
                  </m:sup>
                </m:sSup>
              </m:oMath>
            </m:oMathPara>
          </w:p>
        </w:tc>
        <w:tc>
          <w:tcPr>
            <w:tcW w:w="93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0.1490</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0.1637</w:t>
            </w:r>
          </w:p>
        </w:tc>
        <w:tc>
          <w:tcPr>
            <w:tcW w:w="934"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0.1476</w:t>
            </w:r>
          </w:p>
        </w:tc>
        <w:tc>
          <w:tcPr>
            <w:tcW w:w="93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sz w:val="21"/>
                <w:szCs w:val="21"/>
              </w:rPr>
              <w:t>0.1614</w:t>
            </w:r>
          </w:p>
        </w:tc>
        <w:tc>
          <w:tcPr>
            <w:tcW w:w="988"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0.1471</w:t>
            </w:r>
          </w:p>
        </w:tc>
        <w:tc>
          <w:tcPr>
            <w:tcW w:w="938"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sz w:val="21"/>
                <w:szCs w:val="21"/>
              </w:rPr>
              <w:t>0.1621</w:t>
            </w:r>
          </w:p>
        </w:tc>
        <w:tc>
          <w:tcPr>
            <w:tcW w:w="934" w:type="dxa"/>
            <w:tcBorders>
              <w:top w:val="nil"/>
              <w:left w:val="single" w:color="auto" w:sz="4" w:space="0"/>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c>
          <w:tcPr>
            <w:tcW w:w="934"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310" w:hRule="atLeast"/>
        </w:trPr>
        <w:tc>
          <w:tcPr>
            <w:tcW w:w="1814" w:type="dxa"/>
            <w:tcBorders>
              <w:top w:val="nil"/>
              <w:left w:val="nil"/>
              <w:bottom w:val="single" w:color="000000"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县</w:t>
            </w:r>
            <w:r>
              <w:rPr>
                <w:rFonts w:hint="eastAsia" w:ascii="仿宋" w:hAnsi="仿宋" w:eastAsia="仿宋" w:cs="仿宋"/>
                <w:kern w:val="0"/>
                <w:sz w:val="21"/>
                <w:szCs w:val="21"/>
              </w:rPr>
              <w:sym w:font="Symbol" w:char="F0B4"/>
            </w:r>
            <w:r>
              <w:rPr>
                <w:rFonts w:hint="eastAsia" w:ascii="仿宋" w:hAnsi="仿宋" w:eastAsia="仿宋" w:cs="仿宋"/>
                <w:kern w:val="0"/>
                <w:sz w:val="21"/>
                <w:szCs w:val="21"/>
              </w:rPr>
              <w:t>年份线性趋势</w:t>
            </w:r>
          </w:p>
        </w:tc>
        <w:tc>
          <w:tcPr>
            <w:tcW w:w="938" w:type="dxa"/>
            <w:tcBorders>
              <w:top w:val="nil"/>
              <w:left w:val="single" w:color="auto" w:sz="4" w:space="0"/>
              <w:bottom w:val="single" w:color="000000"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否</w:t>
            </w:r>
          </w:p>
        </w:tc>
        <w:tc>
          <w:tcPr>
            <w:tcW w:w="938" w:type="dxa"/>
            <w:tcBorders>
              <w:top w:val="nil"/>
              <w:left w:val="nil"/>
              <w:bottom w:val="single" w:color="000000"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是</w:t>
            </w:r>
          </w:p>
        </w:tc>
        <w:tc>
          <w:tcPr>
            <w:tcW w:w="934" w:type="dxa"/>
            <w:tcBorders>
              <w:top w:val="nil"/>
              <w:left w:val="single" w:color="auto" w:sz="4" w:space="0"/>
              <w:bottom w:val="single" w:color="000000"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否</w:t>
            </w:r>
          </w:p>
        </w:tc>
        <w:tc>
          <w:tcPr>
            <w:tcW w:w="934" w:type="dxa"/>
            <w:tcBorders>
              <w:top w:val="nil"/>
              <w:left w:val="nil"/>
              <w:bottom w:val="single" w:color="000000"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是</w:t>
            </w:r>
          </w:p>
        </w:tc>
        <w:tc>
          <w:tcPr>
            <w:tcW w:w="988" w:type="dxa"/>
            <w:tcBorders>
              <w:top w:val="nil"/>
              <w:left w:val="single" w:color="auto" w:sz="4" w:space="0"/>
              <w:bottom w:val="single" w:color="000000"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否</w:t>
            </w:r>
          </w:p>
        </w:tc>
        <w:tc>
          <w:tcPr>
            <w:tcW w:w="938" w:type="dxa"/>
            <w:tcBorders>
              <w:top w:val="nil"/>
              <w:left w:val="nil"/>
              <w:bottom w:val="single" w:color="000000"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是</w:t>
            </w:r>
          </w:p>
        </w:tc>
        <w:tc>
          <w:tcPr>
            <w:tcW w:w="934" w:type="dxa"/>
            <w:tcBorders>
              <w:top w:val="nil"/>
              <w:left w:val="single" w:color="auto" w:sz="4" w:space="0"/>
              <w:bottom w:val="single" w:color="000000"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否</w:t>
            </w:r>
          </w:p>
        </w:tc>
        <w:tc>
          <w:tcPr>
            <w:tcW w:w="934" w:type="dxa"/>
            <w:tcBorders>
              <w:top w:val="nil"/>
              <w:left w:val="nil"/>
              <w:bottom w:val="single" w:color="000000"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是</w:t>
            </w:r>
          </w:p>
        </w:tc>
      </w:tr>
    </w:tbl>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18"/>
          <w:szCs w:val="18"/>
        </w:rPr>
      </w:pPr>
      <w:r>
        <w:rPr>
          <w:rFonts w:hint="eastAsia" w:ascii="仿宋" w:hAnsi="仿宋" w:eastAsia="仿宋" w:cs="仿宋"/>
          <w:kern w:val="0"/>
          <w:sz w:val="18"/>
          <w:szCs w:val="18"/>
        </w:rPr>
        <w:t xml:space="preserve">注：回归中控制了家庭固定效应、年份固定效应、丈夫和妻子的年龄；* </w:t>
      </w:r>
      <w:r>
        <w:rPr>
          <w:rFonts w:hint="eastAsia" w:ascii="仿宋" w:hAnsi="仿宋" w:eastAsia="仿宋" w:cs="仿宋"/>
          <w:sz w:val="18"/>
          <w:szCs w:val="18"/>
        </w:rPr>
        <w:t>10%水平上显著，** 5%水平上显著，*** 1%水平上显著，</w:t>
      </w:r>
      <w:r>
        <w:rPr>
          <w:rFonts w:hint="eastAsia" w:ascii="仿宋" w:hAnsi="仿宋" w:eastAsia="仿宋" w:cs="仿宋"/>
          <w:kern w:val="0"/>
          <w:sz w:val="18"/>
          <w:szCs w:val="18"/>
        </w:rPr>
        <w:t>括号中汇报的是聚类在区县层面的标准误。</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b/>
          <w:bCs/>
          <w:sz w:val="21"/>
          <w:szCs w:val="21"/>
        </w:rPr>
      </w:pPr>
      <w:r>
        <w:rPr>
          <w:rFonts w:hint="eastAsia" w:ascii="仿宋" w:hAnsi="仿宋" w:eastAsia="仿宋" w:cs="仿宋"/>
          <w:b/>
          <w:bCs/>
          <w:sz w:val="21"/>
          <w:szCs w:val="21"/>
        </w:rPr>
        <w:t>附录A参考文献</w:t>
      </w:r>
    </w:p>
    <w:p>
      <w:pPr>
        <w:keepNext w:val="0"/>
        <w:keepLines w:val="0"/>
        <w:pageBreakBefore w:val="0"/>
        <w:kinsoku/>
        <w:wordWrap/>
        <w:overflowPunct/>
        <w:topLinePunct w:val="0"/>
        <w:autoSpaceDE/>
        <w:autoSpaceDN/>
        <w:bidi w:val="0"/>
        <w:spacing w:line="360" w:lineRule="auto"/>
        <w:ind w:firstLine="424" w:firstLineChars="202"/>
        <w:textAlignment w:val="auto"/>
        <w:rPr>
          <w:rFonts w:hint="eastAsia" w:ascii="仿宋" w:hAnsi="仿宋" w:eastAsia="仿宋" w:cs="仿宋"/>
          <w:sz w:val="21"/>
          <w:szCs w:val="21"/>
        </w:rPr>
      </w:pPr>
      <w:r>
        <w:rPr>
          <w:rFonts w:hint="eastAsia" w:ascii="仿宋" w:hAnsi="仿宋" w:eastAsia="仿宋" w:cs="仿宋"/>
          <w:sz w:val="21"/>
          <w:szCs w:val="21"/>
        </w:rPr>
        <w:t>[1] 封进、艾静怡、刘芳，“退休年龄制度的代际影响——基于子代生育时间选择的研究”，《经济研究》，2020年第09期，第106-121页。</w:t>
      </w:r>
    </w:p>
    <w:p>
      <w:pPr>
        <w:keepNext w:val="0"/>
        <w:keepLines w:val="0"/>
        <w:pageBreakBefore w:val="0"/>
        <w:kinsoku/>
        <w:wordWrap/>
        <w:overflowPunct/>
        <w:topLinePunct w:val="0"/>
        <w:autoSpaceDE/>
        <w:autoSpaceDN/>
        <w:bidi w:val="0"/>
        <w:spacing w:line="360" w:lineRule="auto"/>
        <w:ind w:firstLine="424" w:firstLineChars="202"/>
        <w:textAlignment w:val="auto"/>
        <w:rPr>
          <w:rFonts w:hint="eastAsia" w:ascii="仿宋" w:hAnsi="仿宋" w:eastAsia="仿宋" w:cs="仿宋"/>
          <w:sz w:val="21"/>
          <w:szCs w:val="21"/>
        </w:rPr>
      </w:pPr>
      <w:r>
        <w:rPr>
          <w:rFonts w:hint="eastAsia" w:ascii="仿宋" w:hAnsi="仿宋" w:eastAsia="仿宋" w:cs="仿宋"/>
          <w:sz w:val="21"/>
          <w:szCs w:val="21"/>
        </w:rPr>
        <w:t>[2] 江涛，“幼儿园供给扩张能提高生育吗？——来自社会力量兴办幼儿园准自然实验的证据”，《财经研究》，2021年第08期，第94-108页。</w:t>
      </w:r>
    </w:p>
    <w:p>
      <w:pPr>
        <w:keepNext w:val="0"/>
        <w:keepLines w:val="0"/>
        <w:pageBreakBefore w:val="0"/>
        <w:kinsoku/>
        <w:wordWrap/>
        <w:overflowPunct/>
        <w:topLinePunct w:val="0"/>
        <w:autoSpaceDE/>
        <w:autoSpaceDN/>
        <w:bidi w:val="0"/>
        <w:spacing w:line="360" w:lineRule="auto"/>
        <w:ind w:firstLine="424" w:firstLineChars="202"/>
        <w:textAlignment w:val="auto"/>
        <w:rPr>
          <w:rFonts w:hint="eastAsia" w:ascii="仿宋" w:hAnsi="仿宋" w:eastAsia="仿宋" w:cs="仿宋"/>
          <w:sz w:val="21"/>
          <w:szCs w:val="21"/>
        </w:rPr>
      </w:pPr>
      <w:r>
        <w:rPr>
          <w:rFonts w:hint="eastAsia" w:ascii="仿宋" w:hAnsi="仿宋" w:eastAsia="仿宋" w:cs="仿宋"/>
          <w:sz w:val="21"/>
          <w:szCs w:val="21"/>
        </w:rPr>
        <w:t>[3] 靳永爱、宋健、陈卫，“全面二孩政策背景下中国城市女性的生育偏好与生育计划”，《人口研究》，2016年第06期，第22-37页。</w:t>
      </w:r>
    </w:p>
    <w:p>
      <w:pPr>
        <w:keepNext w:val="0"/>
        <w:keepLines w:val="0"/>
        <w:pageBreakBefore w:val="0"/>
        <w:kinsoku/>
        <w:wordWrap/>
        <w:overflowPunct/>
        <w:topLinePunct w:val="0"/>
        <w:autoSpaceDE/>
        <w:autoSpaceDN/>
        <w:bidi w:val="0"/>
        <w:spacing w:line="360" w:lineRule="auto"/>
        <w:ind w:firstLine="424" w:firstLineChars="202"/>
        <w:textAlignment w:val="auto"/>
        <w:rPr>
          <w:rFonts w:hint="eastAsia" w:ascii="仿宋" w:hAnsi="仿宋" w:eastAsia="仿宋" w:cs="仿宋"/>
          <w:sz w:val="21"/>
          <w:szCs w:val="21"/>
        </w:rPr>
      </w:pPr>
      <w:r>
        <w:rPr>
          <w:rFonts w:hint="eastAsia" w:ascii="仿宋" w:hAnsi="仿宋" w:eastAsia="仿宋" w:cs="仿宋"/>
          <w:sz w:val="21"/>
          <w:szCs w:val="21"/>
        </w:rPr>
        <w:t>[4] Kleven, H., C. Landais, and J. E. Søgaard, “Children and Gender Inequality: Evidence from Denmark”,</w:t>
      </w:r>
      <w:r>
        <w:rPr>
          <w:rFonts w:hint="eastAsia" w:ascii="仿宋" w:hAnsi="仿宋" w:eastAsia="仿宋" w:cs="仿宋"/>
          <w:i/>
          <w:iCs/>
          <w:sz w:val="21"/>
          <w:szCs w:val="21"/>
        </w:rPr>
        <w:t xml:space="preserve"> American Economic Journal: Applied Economics</w:t>
      </w:r>
      <w:r>
        <w:rPr>
          <w:rFonts w:hint="eastAsia" w:ascii="仿宋" w:hAnsi="仿宋" w:eastAsia="仿宋" w:cs="仿宋"/>
          <w:sz w:val="21"/>
          <w:szCs w:val="21"/>
        </w:rPr>
        <w:t>, 2019, 11(4), 181-209.</w:t>
      </w:r>
    </w:p>
    <w:p>
      <w:pPr>
        <w:keepNext w:val="0"/>
        <w:keepLines w:val="0"/>
        <w:pageBreakBefore w:val="0"/>
        <w:kinsoku/>
        <w:wordWrap/>
        <w:overflowPunct/>
        <w:topLinePunct w:val="0"/>
        <w:autoSpaceDE/>
        <w:autoSpaceDN/>
        <w:bidi w:val="0"/>
        <w:spacing w:line="360" w:lineRule="auto"/>
        <w:ind w:firstLine="424" w:firstLineChars="202"/>
        <w:textAlignment w:val="auto"/>
        <w:rPr>
          <w:rFonts w:hint="eastAsia" w:ascii="仿宋" w:hAnsi="仿宋" w:eastAsia="仿宋" w:cs="仿宋"/>
          <w:sz w:val="21"/>
          <w:szCs w:val="21"/>
        </w:rPr>
      </w:pPr>
      <w:r>
        <w:rPr>
          <w:rFonts w:hint="eastAsia" w:ascii="仿宋" w:hAnsi="仿宋" w:eastAsia="仿宋" w:cs="仿宋"/>
          <w:sz w:val="21"/>
          <w:szCs w:val="21"/>
        </w:rPr>
        <w:t>[5] Lundborg, P.,</w:t>
      </w:r>
      <w:r>
        <w:rPr>
          <w:rFonts w:hint="eastAsia" w:ascii="仿宋" w:hAnsi="仿宋" w:eastAsia="仿宋" w:cs="仿宋"/>
          <w:sz w:val="21"/>
          <w:szCs w:val="21"/>
        </w:rPr>
        <w:t>E.</w:t>
      </w:r>
      <w:r>
        <w:rPr>
          <w:rFonts w:hint="eastAsia" w:ascii="仿宋" w:hAnsi="仿宋" w:eastAsia="仿宋" w:cs="仿宋"/>
          <w:sz w:val="21"/>
          <w:szCs w:val="21"/>
        </w:rPr>
        <w:t xml:space="preserve"> Plug, and </w:t>
      </w:r>
      <w:r>
        <w:rPr>
          <w:rFonts w:hint="eastAsia" w:ascii="仿宋" w:hAnsi="仿宋" w:eastAsia="仿宋" w:cs="仿宋"/>
          <w:sz w:val="21"/>
          <w:szCs w:val="21"/>
        </w:rPr>
        <w:t>A. W.</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Rasmussen,“Can Women Have Children </w:t>
      </w:r>
      <w:r>
        <w:rPr>
          <w:rFonts w:hint="eastAsia" w:ascii="仿宋" w:hAnsi="仿宋" w:eastAsia="仿宋" w:cs="仿宋"/>
          <w:sz w:val="21"/>
          <w:szCs w:val="21"/>
          <w:lang w:val="en-US" w:eastAsia="zh-CN"/>
        </w:rPr>
        <w:t>a</w:t>
      </w:r>
      <w:r>
        <w:rPr>
          <w:rFonts w:hint="eastAsia" w:ascii="仿宋" w:hAnsi="仿宋" w:eastAsia="仿宋" w:cs="仿宋"/>
          <w:sz w:val="21"/>
          <w:szCs w:val="21"/>
        </w:rPr>
        <w:t xml:space="preserve">nd a Career? IV </w:t>
      </w:r>
      <w:r>
        <w:rPr>
          <w:rFonts w:hint="eastAsia" w:ascii="仿宋" w:hAnsi="仿宋" w:eastAsia="仿宋" w:cs="仿宋"/>
          <w:sz w:val="21"/>
          <w:szCs w:val="21"/>
          <w:lang w:val="en-US" w:eastAsia="zh-CN"/>
        </w:rPr>
        <w:t>E</w:t>
      </w:r>
      <w:r>
        <w:rPr>
          <w:rFonts w:hint="eastAsia" w:ascii="仿宋" w:hAnsi="仿宋" w:eastAsia="仿宋" w:cs="仿宋"/>
          <w:sz w:val="21"/>
          <w:szCs w:val="21"/>
        </w:rPr>
        <w:t xml:space="preserve">vidence from IVF </w:t>
      </w:r>
      <w:r>
        <w:rPr>
          <w:rFonts w:hint="eastAsia" w:ascii="仿宋" w:hAnsi="仿宋" w:eastAsia="仿宋" w:cs="仿宋"/>
          <w:sz w:val="21"/>
          <w:szCs w:val="21"/>
          <w:lang w:val="en-US" w:eastAsia="zh-CN"/>
        </w:rPr>
        <w:t>T</w:t>
      </w:r>
      <w:r>
        <w:rPr>
          <w:rFonts w:hint="eastAsia" w:ascii="仿宋" w:hAnsi="仿宋" w:eastAsia="仿宋" w:cs="仿宋"/>
          <w:sz w:val="21"/>
          <w:szCs w:val="21"/>
        </w:rPr>
        <w:t xml:space="preserve">reatments”, </w:t>
      </w:r>
      <w:r>
        <w:rPr>
          <w:rFonts w:hint="eastAsia" w:ascii="仿宋" w:hAnsi="仿宋" w:eastAsia="仿宋" w:cs="仿宋"/>
          <w:i/>
          <w:iCs/>
          <w:sz w:val="21"/>
          <w:szCs w:val="21"/>
        </w:rPr>
        <w:t>American Economic Review</w:t>
      </w:r>
      <w:r>
        <w:rPr>
          <w:rFonts w:hint="eastAsia" w:ascii="仿宋" w:hAnsi="仿宋" w:eastAsia="仿宋" w:cs="仿宋"/>
          <w:sz w:val="21"/>
          <w:szCs w:val="21"/>
        </w:rPr>
        <w:t>, 2017, 107(6), 1611-37.</w:t>
      </w:r>
    </w:p>
    <w:p>
      <w:pPr>
        <w:keepNext w:val="0"/>
        <w:keepLines w:val="0"/>
        <w:pageBreakBefore w:val="0"/>
        <w:kinsoku/>
        <w:wordWrap/>
        <w:overflowPunct/>
        <w:topLinePunct w:val="0"/>
        <w:autoSpaceDE/>
        <w:autoSpaceDN/>
        <w:bidi w:val="0"/>
        <w:spacing w:line="360" w:lineRule="auto"/>
        <w:ind w:firstLine="424" w:firstLineChars="202"/>
        <w:textAlignment w:val="auto"/>
        <w:rPr>
          <w:rFonts w:hint="eastAsia" w:ascii="仿宋" w:hAnsi="仿宋" w:eastAsia="仿宋" w:cs="仿宋"/>
          <w:sz w:val="21"/>
          <w:szCs w:val="21"/>
        </w:rPr>
      </w:pPr>
      <w:r>
        <w:rPr>
          <w:rFonts w:hint="eastAsia" w:ascii="仿宋" w:hAnsi="仿宋" w:eastAsia="仿宋" w:cs="仿宋"/>
          <w:sz w:val="21"/>
          <w:szCs w:val="21"/>
        </w:rPr>
        <w:t>[6] 田艳芳、卢诗语、张苹，“儿童照料与二孩生育意愿——来自上海的证据”，《人口学刊》，2020年第3期，第18-29页。</w:t>
      </w:r>
    </w:p>
    <w:p>
      <w:pPr>
        <w:keepNext w:val="0"/>
        <w:keepLines w:val="0"/>
        <w:pageBreakBefore w:val="0"/>
        <w:kinsoku/>
        <w:wordWrap/>
        <w:overflowPunct/>
        <w:topLinePunct w:val="0"/>
        <w:autoSpaceDE/>
        <w:autoSpaceDN/>
        <w:bidi w:val="0"/>
        <w:spacing w:line="360" w:lineRule="auto"/>
        <w:ind w:firstLine="424" w:firstLineChars="202"/>
        <w:textAlignment w:val="auto"/>
        <w:rPr>
          <w:rFonts w:hint="eastAsia" w:ascii="仿宋" w:hAnsi="仿宋" w:eastAsia="仿宋" w:cs="仿宋"/>
          <w:sz w:val="21"/>
          <w:szCs w:val="21"/>
        </w:rPr>
      </w:pPr>
      <w:r>
        <w:rPr>
          <w:rFonts w:hint="eastAsia" w:ascii="仿宋" w:hAnsi="仿宋" w:eastAsia="仿宋" w:cs="仿宋"/>
          <w:sz w:val="21"/>
          <w:szCs w:val="21"/>
        </w:rPr>
        <w:t xml:space="preserve">[7] Zhang, Y., and </w:t>
      </w:r>
      <w:r>
        <w:rPr>
          <w:rFonts w:hint="eastAsia" w:ascii="仿宋" w:hAnsi="仿宋" w:eastAsia="仿宋" w:cs="仿宋"/>
          <w:sz w:val="21"/>
          <w:szCs w:val="21"/>
        </w:rPr>
        <w:t>Y. H.</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xml:space="preserve">Luh,“Grandparents’ Health </w:t>
      </w:r>
      <w:r>
        <w:rPr>
          <w:rFonts w:hint="eastAsia" w:ascii="仿宋" w:hAnsi="仿宋" w:eastAsia="仿宋" w:cs="仿宋"/>
          <w:sz w:val="21"/>
          <w:szCs w:val="21"/>
          <w:lang w:val="en-US" w:eastAsia="zh-CN"/>
        </w:rPr>
        <w:t>a</w:t>
      </w:r>
      <w:r>
        <w:rPr>
          <w:rFonts w:hint="eastAsia" w:ascii="仿宋" w:hAnsi="仿宋" w:eastAsia="仿宋" w:cs="仿宋"/>
          <w:sz w:val="21"/>
          <w:szCs w:val="21"/>
        </w:rPr>
        <w:t xml:space="preserve">nd Family Fertility Choice: Evidence from Taiwan”, </w:t>
      </w:r>
      <w:r>
        <w:rPr>
          <w:rFonts w:hint="eastAsia" w:ascii="仿宋" w:hAnsi="仿宋" w:eastAsia="仿宋" w:cs="仿宋"/>
          <w:i/>
          <w:iCs/>
          <w:sz w:val="21"/>
          <w:szCs w:val="21"/>
        </w:rPr>
        <w:t>China Economic Review</w:t>
      </w:r>
      <w:r>
        <w:rPr>
          <w:rFonts w:hint="eastAsia" w:ascii="仿宋" w:hAnsi="仿宋" w:eastAsia="仿宋" w:cs="仿宋"/>
          <w:sz w:val="21"/>
          <w:szCs w:val="21"/>
        </w:rPr>
        <w:t>, 2018, 51, 294-308.</w:t>
      </w:r>
    </w:p>
    <w:p>
      <w:pPr>
        <w:keepNext w:val="0"/>
        <w:keepLines w:val="0"/>
        <w:pageBreakBefore w:val="0"/>
        <w:kinsoku/>
        <w:wordWrap/>
        <w:overflowPunct/>
        <w:topLinePunct w:val="0"/>
        <w:autoSpaceDE/>
        <w:autoSpaceDN/>
        <w:bidi w:val="0"/>
        <w:spacing w:line="360" w:lineRule="auto"/>
        <w:ind w:firstLine="424" w:firstLineChars="202"/>
        <w:textAlignment w:val="auto"/>
        <w:rPr>
          <w:rFonts w:hint="eastAsia" w:ascii="仿宋" w:hAnsi="仿宋" w:eastAsia="仿宋" w:cs="仿宋"/>
          <w:sz w:val="21"/>
          <w:szCs w:val="21"/>
        </w:rPr>
      </w:pPr>
      <w:r>
        <w:rPr>
          <w:rFonts w:hint="eastAsia" w:ascii="仿宋" w:hAnsi="仿宋" w:eastAsia="仿宋" w:cs="仿宋"/>
          <w:sz w:val="21"/>
          <w:szCs w:val="21"/>
        </w:rPr>
        <w:t>[8] 张川川，“子女数量对已婚女性劳动供给和工资的影响”，《人口与经济》，2011年第5期，第29-35页。</w:t>
      </w: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附录B 城镇和汉族样本回归结果</w:t>
      </w: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kern w:val="0"/>
          <w:sz w:val="24"/>
          <w:szCs w:val="24"/>
        </w:rPr>
      </w:pPr>
      <w:r>
        <w:rPr>
          <w:rFonts w:hint="eastAsia" w:ascii="仿宋" w:hAnsi="仿宋" w:eastAsia="仿宋" w:cs="仿宋"/>
          <w:kern w:val="0"/>
          <w:sz w:val="24"/>
          <w:szCs w:val="24"/>
        </w:rPr>
        <w:t>在全面二孩政策实施之前，我国很多农村居民和少数民族家庭已经可以生育第二个孩子，因此这些群体实际上是不受到全面二孩政策影响的。本文在基准回归的样本中没有将这两类家庭删除，是因为包含这些家庭可以使我们的回归样本更具有代表性，这样得到的结论也更容易对照现实数据进行分析和解读。为了验证基准回归结论的可信性，在附录B中，我们分别只保留城镇居民和汉族家庭，回归结果报告在表B1中。表B1的</w:t>
      </w:r>
      <w:r>
        <w:rPr>
          <w:rFonts w:hint="eastAsia" w:ascii="仿宋" w:hAnsi="仿宋" w:eastAsia="仿宋" w:cs="仿宋"/>
          <w:kern w:val="0"/>
          <w:sz w:val="24"/>
          <w:szCs w:val="24"/>
          <w:lang w:val="en-US" w:eastAsia="zh-CN"/>
        </w:rPr>
        <w:t>第</w:t>
      </w:r>
      <w:r>
        <w:rPr>
          <w:rFonts w:hint="eastAsia" w:ascii="仿宋" w:hAnsi="仿宋" w:eastAsia="仿宋" w:cs="仿宋"/>
          <w:kern w:val="0"/>
          <w:sz w:val="24"/>
          <w:szCs w:val="24"/>
        </w:rPr>
        <w:t>（1）</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（2）列报告了夫妻均为城镇户口的回归结果，</w:t>
      </w:r>
      <w:r>
        <w:rPr>
          <w:rFonts w:hint="eastAsia" w:ascii="仿宋" w:hAnsi="仿宋" w:eastAsia="仿宋" w:cs="仿宋"/>
          <w:kern w:val="0"/>
          <w:sz w:val="24"/>
          <w:szCs w:val="24"/>
          <w:lang w:val="en-US" w:eastAsia="zh-CN"/>
        </w:rPr>
        <w:t>第</w:t>
      </w:r>
      <w:r>
        <w:rPr>
          <w:rFonts w:hint="eastAsia" w:ascii="仿宋" w:hAnsi="仿宋" w:eastAsia="仿宋" w:cs="仿宋"/>
          <w:kern w:val="0"/>
          <w:sz w:val="24"/>
          <w:szCs w:val="24"/>
        </w:rPr>
        <w:t>（</w:t>
      </w:r>
      <w:r>
        <w:rPr>
          <w:rFonts w:hint="eastAsia" w:ascii="仿宋" w:hAnsi="仿宋" w:eastAsia="仿宋" w:cs="仿宋"/>
          <w:kern w:val="0"/>
          <w:sz w:val="24"/>
          <w:szCs w:val="24"/>
        </w:rPr>
        <w:t>3</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w:t>
      </w:r>
      <w:r>
        <w:rPr>
          <w:rFonts w:hint="eastAsia" w:ascii="仿宋" w:hAnsi="仿宋" w:eastAsia="仿宋" w:cs="仿宋"/>
          <w:kern w:val="0"/>
          <w:sz w:val="24"/>
          <w:szCs w:val="24"/>
        </w:rPr>
        <w:t>4</w:t>
      </w:r>
      <w:r>
        <w:rPr>
          <w:rFonts w:hint="eastAsia" w:ascii="仿宋" w:hAnsi="仿宋" w:eastAsia="仿宋" w:cs="仿宋"/>
          <w:kern w:val="0"/>
          <w:sz w:val="24"/>
          <w:szCs w:val="24"/>
        </w:rPr>
        <w:t>）列报告了夫妻均为汉族的回归结果，</w:t>
      </w:r>
      <w:r>
        <w:rPr>
          <w:rFonts w:hint="eastAsia" w:ascii="仿宋" w:hAnsi="仿宋" w:eastAsia="仿宋" w:cs="仿宋"/>
          <w:kern w:val="0"/>
          <w:sz w:val="24"/>
          <w:szCs w:val="24"/>
          <w:lang w:val="en-US" w:eastAsia="zh-CN"/>
        </w:rPr>
        <w:t>第</w:t>
      </w:r>
      <w:r>
        <w:rPr>
          <w:rFonts w:hint="eastAsia" w:ascii="仿宋" w:hAnsi="仿宋" w:eastAsia="仿宋" w:cs="仿宋"/>
          <w:kern w:val="0"/>
          <w:sz w:val="24"/>
          <w:szCs w:val="24"/>
        </w:rPr>
        <w:t>（</w:t>
      </w:r>
      <w:r>
        <w:rPr>
          <w:rFonts w:hint="eastAsia" w:ascii="仿宋" w:hAnsi="仿宋" w:eastAsia="仿宋" w:cs="仿宋"/>
          <w:kern w:val="0"/>
          <w:sz w:val="24"/>
          <w:szCs w:val="24"/>
        </w:rPr>
        <w:t>5</w:t>
      </w:r>
      <w:r>
        <w:rPr>
          <w:rFonts w:hint="eastAsia" w:ascii="仿宋" w:hAnsi="仿宋" w:eastAsia="仿宋" w:cs="仿宋"/>
          <w:kern w:val="0"/>
          <w:sz w:val="24"/>
          <w:szCs w:val="24"/>
        </w:rPr>
        <w:t>）</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w:t>
      </w:r>
      <w:r>
        <w:rPr>
          <w:rFonts w:hint="eastAsia" w:ascii="仿宋" w:hAnsi="仿宋" w:eastAsia="仿宋" w:cs="仿宋"/>
          <w:kern w:val="0"/>
          <w:sz w:val="24"/>
          <w:szCs w:val="24"/>
        </w:rPr>
        <w:t>6</w:t>
      </w:r>
      <w:r>
        <w:rPr>
          <w:rFonts w:hint="eastAsia" w:ascii="仿宋" w:hAnsi="仿宋" w:eastAsia="仿宋" w:cs="仿宋"/>
          <w:kern w:val="0"/>
          <w:sz w:val="24"/>
          <w:szCs w:val="24"/>
        </w:rPr>
        <w:t>）列报告了夫妻既是城镇户口又是汉族的回归结果。表B1的奇数列汇报的是没有控制县与年份线性趋势交叉项的结果，偶数列是控制了县与年份线性趋势交叉项的结果，可以看出，不论是否控制这一交叉项，回归结果较为类似。表B1的回归结果验证了本文基准回归结果的可信性。</w:t>
      </w: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kern w:val="0"/>
          <w:sz w:val="24"/>
          <w:szCs w:val="24"/>
        </w:r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sz w:val="22"/>
          <w:szCs w:val="22"/>
        </w:rPr>
      </w:pPr>
      <w:r>
        <w:rPr>
          <w:rFonts w:hint="eastAsia" w:ascii="仿宋" w:hAnsi="仿宋" w:eastAsia="仿宋" w:cs="仿宋"/>
          <w:b/>
          <w:bCs/>
          <w:sz w:val="22"/>
          <w:szCs w:val="22"/>
        </w:rPr>
        <w:t>表B1  城镇和汉族样本回归结果</w:t>
      </w:r>
    </w:p>
    <w:tbl>
      <w:tblPr>
        <w:tblStyle w:val="5"/>
        <w:tblW w:w="8522" w:type="dxa"/>
        <w:jc w:val="center"/>
        <w:tblLayout w:type="fixed"/>
        <w:tblCellMar>
          <w:top w:w="0" w:type="dxa"/>
          <w:left w:w="108" w:type="dxa"/>
          <w:bottom w:w="0" w:type="dxa"/>
          <w:right w:w="108" w:type="dxa"/>
        </w:tblCellMar>
      </w:tblPr>
      <w:tblGrid>
        <w:gridCol w:w="1744"/>
        <w:gridCol w:w="1159"/>
        <w:gridCol w:w="1083"/>
        <w:gridCol w:w="1134"/>
        <w:gridCol w:w="1134"/>
        <w:gridCol w:w="1134"/>
        <w:gridCol w:w="1134"/>
      </w:tblGrid>
      <w:tr>
        <w:tblPrEx>
          <w:tblCellMar>
            <w:top w:w="0" w:type="dxa"/>
            <w:left w:w="108" w:type="dxa"/>
            <w:bottom w:w="0" w:type="dxa"/>
            <w:right w:w="108" w:type="dxa"/>
          </w:tblCellMar>
        </w:tblPrEx>
        <w:trPr>
          <w:trHeight w:val="290" w:hRule="atLeast"/>
          <w:jc w:val="center"/>
        </w:trPr>
        <w:tc>
          <w:tcPr>
            <w:tcW w:w="1744" w:type="dxa"/>
            <w:tcBorders>
              <w:top w:val="single" w:color="auto"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1159" w:type="dxa"/>
            <w:tcBorders>
              <w:top w:val="single" w:color="auto" w:sz="4" w:space="0"/>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(1)</w:t>
            </w:r>
          </w:p>
        </w:tc>
        <w:tc>
          <w:tcPr>
            <w:tcW w:w="1083" w:type="dxa"/>
            <w:tcBorders>
              <w:top w:val="single" w:color="auto" w:sz="4" w:space="0"/>
              <w:left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(2)</w:t>
            </w:r>
          </w:p>
        </w:tc>
        <w:tc>
          <w:tcPr>
            <w:tcW w:w="1134" w:type="dxa"/>
            <w:tcBorders>
              <w:top w:val="single" w:color="auto" w:sz="4" w:space="0"/>
              <w:lef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(3)</w:t>
            </w:r>
          </w:p>
        </w:tc>
        <w:tc>
          <w:tcPr>
            <w:tcW w:w="1134" w:type="dxa"/>
            <w:tcBorders>
              <w:top w:val="single" w:color="auto" w:sz="4" w:space="0"/>
              <w:left w:val="nil"/>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(4)</w:t>
            </w:r>
          </w:p>
        </w:tc>
        <w:tc>
          <w:tcPr>
            <w:tcW w:w="1134" w:type="dxa"/>
            <w:tcBorders>
              <w:top w:val="single" w:color="auto" w:sz="4" w:space="0"/>
              <w:lef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(5)</w:t>
            </w:r>
          </w:p>
        </w:tc>
        <w:tc>
          <w:tcPr>
            <w:tcW w:w="1134" w:type="dxa"/>
            <w:tcBorders>
              <w:top w:val="single" w:color="auto" w:sz="4" w:space="0"/>
              <w:left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(6)</w:t>
            </w:r>
          </w:p>
        </w:tc>
      </w:tr>
      <w:tr>
        <w:tblPrEx>
          <w:tblCellMar>
            <w:top w:w="0" w:type="dxa"/>
            <w:left w:w="108" w:type="dxa"/>
            <w:bottom w:w="0" w:type="dxa"/>
            <w:right w:w="108" w:type="dxa"/>
          </w:tblCellMar>
        </w:tblPrEx>
        <w:trPr>
          <w:trHeight w:val="290" w:hRule="atLeast"/>
          <w:jc w:val="center"/>
        </w:trPr>
        <w:tc>
          <w:tcPr>
            <w:tcW w:w="174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0"/>
                <w:szCs w:val="20"/>
              </w:rPr>
            </w:pPr>
            <w:r>
              <w:rPr>
                <w:rFonts w:hint="eastAsia" w:ascii="仿宋" w:hAnsi="仿宋" w:eastAsia="仿宋" w:cs="仿宋"/>
                <w:kern w:val="0"/>
                <w:sz w:val="20"/>
                <w:szCs w:val="20"/>
              </w:rPr>
              <w:t>变量</w:t>
            </w:r>
          </w:p>
        </w:tc>
        <w:tc>
          <w:tcPr>
            <w:tcW w:w="1159" w:type="dxa"/>
            <w:tcBorders>
              <w:top w:val="nil"/>
              <w:left w:val="single" w:color="auto" w:sz="4" w:space="0"/>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生育</w:t>
            </w:r>
          </w:p>
        </w:tc>
        <w:tc>
          <w:tcPr>
            <w:tcW w:w="1083"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生育</w:t>
            </w:r>
          </w:p>
        </w:tc>
        <w:tc>
          <w:tcPr>
            <w:tcW w:w="1134" w:type="dxa"/>
            <w:tcBorders>
              <w:top w:val="nil"/>
              <w:left w:val="single" w:color="auto" w:sz="4" w:space="0"/>
              <w:bottom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生育</w:t>
            </w:r>
          </w:p>
        </w:tc>
        <w:tc>
          <w:tcPr>
            <w:tcW w:w="1134"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生育</w:t>
            </w:r>
          </w:p>
        </w:tc>
        <w:tc>
          <w:tcPr>
            <w:tcW w:w="1134" w:type="dxa"/>
            <w:tcBorders>
              <w:top w:val="nil"/>
              <w:left w:val="single" w:color="auto" w:sz="4" w:space="0"/>
              <w:bottom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生育</w:t>
            </w:r>
          </w:p>
        </w:tc>
        <w:tc>
          <w:tcPr>
            <w:tcW w:w="1134" w:type="dxa"/>
            <w:tcBorders>
              <w:top w:val="nil"/>
              <w:left w:val="nil"/>
              <w:bottom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生育</w:t>
            </w:r>
          </w:p>
        </w:tc>
      </w:tr>
      <w:tr>
        <w:tblPrEx>
          <w:tblCellMar>
            <w:top w:w="0" w:type="dxa"/>
            <w:left w:w="108" w:type="dxa"/>
            <w:bottom w:w="0" w:type="dxa"/>
            <w:right w:w="108" w:type="dxa"/>
          </w:tblCellMar>
        </w:tblPrEx>
        <w:trPr>
          <w:trHeight w:val="290" w:hRule="atLeast"/>
          <w:jc w:val="center"/>
        </w:trPr>
        <w:tc>
          <w:tcPr>
            <w:tcW w:w="1744" w:type="dxa"/>
            <w:tcBorders>
              <w:top w:val="single" w:color="auto" w:sz="4" w:space="0"/>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0"/>
                <w:szCs w:val="20"/>
              </w:rPr>
            </w:pPr>
            <w:r>
              <w:rPr>
                <w:rFonts w:hint="eastAsia" w:ascii="仿宋" w:hAnsi="仿宋" w:eastAsia="仿宋" w:cs="仿宋"/>
                <w:kern w:val="0"/>
                <w:sz w:val="20"/>
                <w:szCs w:val="20"/>
              </w:rPr>
              <w:t>　</w:t>
            </w:r>
          </w:p>
        </w:tc>
        <w:tc>
          <w:tcPr>
            <w:tcW w:w="2242" w:type="dxa"/>
            <w:gridSpan w:val="2"/>
            <w:tcBorders>
              <w:top w:val="single" w:color="auto" w:sz="4" w:space="0"/>
              <w:left w:val="single" w:color="auto" w:sz="4" w:space="0"/>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城镇</w:t>
            </w:r>
          </w:p>
        </w:tc>
        <w:tc>
          <w:tcPr>
            <w:tcW w:w="2268" w:type="dxa"/>
            <w:gridSpan w:val="2"/>
            <w:tcBorders>
              <w:top w:val="single" w:color="auto" w:sz="4" w:space="0"/>
              <w:left w:val="single" w:color="auto" w:sz="4" w:space="0"/>
              <w:bottom w:val="nil"/>
              <w:right w:val="single" w:color="auto" w:sz="4" w:space="0"/>
            </w:tcBorders>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汉族</w:t>
            </w:r>
          </w:p>
        </w:tc>
        <w:tc>
          <w:tcPr>
            <w:tcW w:w="2268" w:type="dxa"/>
            <w:gridSpan w:val="2"/>
            <w:tcBorders>
              <w:top w:val="single" w:color="auto" w:sz="4" w:space="0"/>
              <w:left w:val="single" w:color="auto" w:sz="4" w:space="0"/>
              <w:bottom w:val="nil"/>
            </w:tcBorders>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城镇且汉族</w:t>
            </w:r>
          </w:p>
        </w:tc>
      </w:tr>
      <w:tr>
        <w:tblPrEx>
          <w:tblCellMar>
            <w:top w:w="0" w:type="dxa"/>
            <w:left w:w="108" w:type="dxa"/>
            <w:bottom w:w="0" w:type="dxa"/>
            <w:right w:w="108" w:type="dxa"/>
          </w:tblCellMar>
        </w:tblPrEx>
        <w:trPr>
          <w:trHeight w:val="290" w:hRule="atLeast"/>
          <w:jc w:val="center"/>
        </w:trPr>
        <w:tc>
          <w:tcPr>
            <w:tcW w:w="174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0"/>
                <w:szCs w:val="20"/>
              </w:rPr>
            </w:pPr>
            <w:r>
              <w:rPr>
                <w:rFonts w:hint="eastAsia" w:ascii="仿宋" w:hAnsi="仿宋" w:eastAsia="仿宋" w:cs="仿宋"/>
                <w:kern w:val="0"/>
                <w:sz w:val="20"/>
                <w:szCs w:val="20"/>
              </w:rPr>
              <w:t>treat</w:t>
            </w:r>
            <w:r>
              <w:rPr>
                <w:rFonts w:hint="eastAsia" w:ascii="仿宋" w:hAnsi="仿宋" w:eastAsia="仿宋" w:cs="仿宋"/>
                <w:kern w:val="0"/>
                <w:sz w:val="20"/>
                <w:szCs w:val="20"/>
              </w:rPr>
              <w:sym w:font="Symbol" w:char="F0B4"/>
            </w:r>
            <w:r>
              <w:rPr>
                <w:rFonts w:hint="eastAsia" w:ascii="仿宋" w:hAnsi="仿宋" w:eastAsia="仿宋" w:cs="仿宋"/>
                <w:kern w:val="0"/>
                <w:sz w:val="20"/>
                <w:szCs w:val="20"/>
              </w:rPr>
              <w:t>post</w:t>
            </w:r>
          </w:p>
        </w:tc>
        <w:tc>
          <w:tcPr>
            <w:tcW w:w="1159"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sz w:val="20"/>
                <w:szCs w:val="20"/>
              </w:rPr>
              <w:t>0.0413***</w:t>
            </w:r>
          </w:p>
        </w:tc>
        <w:tc>
          <w:tcPr>
            <w:tcW w:w="1083"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sz w:val="20"/>
                <w:szCs w:val="20"/>
              </w:rPr>
              <w:t>0.0320**</w:t>
            </w:r>
          </w:p>
        </w:tc>
        <w:tc>
          <w:tcPr>
            <w:tcW w:w="1134"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0.0483***</w:t>
            </w:r>
          </w:p>
        </w:tc>
        <w:tc>
          <w:tcPr>
            <w:tcW w:w="1134" w:type="dxa"/>
            <w:tcBorders>
              <w:top w:val="nil"/>
              <w:left w:val="nil"/>
              <w:bottom w:val="nil"/>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0.0467***</w:t>
            </w:r>
          </w:p>
        </w:tc>
        <w:tc>
          <w:tcPr>
            <w:tcW w:w="1134"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0.0711***</w:t>
            </w:r>
          </w:p>
        </w:tc>
        <w:tc>
          <w:tcPr>
            <w:tcW w:w="1134" w:type="dxa"/>
            <w:tcBorders>
              <w:top w:val="nil"/>
              <w:left w:val="nil"/>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0.0598***</w:t>
            </w:r>
          </w:p>
        </w:tc>
      </w:tr>
      <w:tr>
        <w:tblPrEx>
          <w:tblCellMar>
            <w:top w:w="0" w:type="dxa"/>
            <w:left w:w="108" w:type="dxa"/>
            <w:bottom w:w="0" w:type="dxa"/>
            <w:right w:w="108" w:type="dxa"/>
          </w:tblCellMar>
        </w:tblPrEx>
        <w:trPr>
          <w:trHeight w:val="290" w:hRule="atLeast"/>
          <w:jc w:val="center"/>
        </w:trPr>
        <w:tc>
          <w:tcPr>
            <w:tcW w:w="174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p>
        </w:tc>
        <w:tc>
          <w:tcPr>
            <w:tcW w:w="1159"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sz w:val="20"/>
                <w:szCs w:val="20"/>
              </w:rPr>
              <w:t>(0.0121)</w:t>
            </w:r>
          </w:p>
        </w:tc>
        <w:tc>
          <w:tcPr>
            <w:tcW w:w="1083"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sz w:val="20"/>
                <w:szCs w:val="20"/>
              </w:rPr>
              <w:t>(0.0139)</w:t>
            </w:r>
          </w:p>
        </w:tc>
        <w:tc>
          <w:tcPr>
            <w:tcW w:w="1134"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(0.0108)</w:t>
            </w:r>
          </w:p>
        </w:tc>
        <w:tc>
          <w:tcPr>
            <w:tcW w:w="1134" w:type="dxa"/>
            <w:tcBorders>
              <w:top w:val="nil"/>
              <w:left w:val="nil"/>
              <w:bottom w:val="nil"/>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(0.0126)</w:t>
            </w:r>
          </w:p>
        </w:tc>
        <w:tc>
          <w:tcPr>
            <w:tcW w:w="1134"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(0.0159)</w:t>
            </w:r>
          </w:p>
        </w:tc>
        <w:tc>
          <w:tcPr>
            <w:tcW w:w="1134" w:type="dxa"/>
            <w:tcBorders>
              <w:top w:val="nil"/>
              <w:left w:val="nil"/>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(0.0175)</w:t>
            </w:r>
          </w:p>
        </w:tc>
      </w:tr>
      <w:tr>
        <w:tblPrEx>
          <w:tblCellMar>
            <w:top w:w="0" w:type="dxa"/>
            <w:left w:w="108" w:type="dxa"/>
            <w:bottom w:w="0" w:type="dxa"/>
            <w:right w:w="108" w:type="dxa"/>
          </w:tblCellMar>
        </w:tblPrEx>
        <w:trPr>
          <w:trHeight w:val="290" w:hRule="atLeast"/>
          <w:jc w:val="center"/>
        </w:trPr>
        <w:tc>
          <w:tcPr>
            <w:tcW w:w="174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p>
        </w:tc>
        <w:tc>
          <w:tcPr>
            <w:tcW w:w="1159"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0"/>
                <w:szCs w:val="20"/>
              </w:rPr>
            </w:pPr>
          </w:p>
        </w:tc>
        <w:tc>
          <w:tcPr>
            <w:tcW w:w="1083"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p>
        </w:tc>
        <w:tc>
          <w:tcPr>
            <w:tcW w:w="1134"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p>
        </w:tc>
        <w:tc>
          <w:tcPr>
            <w:tcW w:w="1134" w:type="dxa"/>
            <w:tcBorders>
              <w:top w:val="nil"/>
              <w:left w:val="nil"/>
              <w:bottom w:val="nil"/>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p>
        </w:tc>
        <w:tc>
          <w:tcPr>
            <w:tcW w:w="1134"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p>
        </w:tc>
        <w:tc>
          <w:tcPr>
            <w:tcW w:w="1134" w:type="dxa"/>
            <w:tcBorders>
              <w:top w:val="nil"/>
              <w:left w:val="nil"/>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p>
        </w:tc>
      </w:tr>
      <w:tr>
        <w:tblPrEx>
          <w:tblCellMar>
            <w:top w:w="0" w:type="dxa"/>
            <w:left w:w="108" w:type="dxa"/>
            <w:bottom w:w="0" w:type="dxa"/>
            <w:right w:w="108" w:type="dxa"/>
          </w:tblCellMar>
        </w:tblPrEx>
        <w:trPr>
          <w:trHeight w:val="280" w:hRule="atLeast"/>
          <w:jc w:val="center"/>
        </w:trPr>
        <w:tc>
          <w:tcPr>
            <w:tcW w:w="174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0"/>
                <w:szCs w:val="20"/>
              </w:rPr>
            </w:pPr>
            <w:r>
              <w:rPr>
                <w:rFonts w:hint="eastAsia" w:ascii="仿宋" w:hAnsi="仿宋" w:eastAsia="仿宋" w:cs="仿宋"/>
                <w:kern w:val="0"/>
                <w:sz w:val="20"/>
                <w:szCs w:val="20"/>
              </w:rPr>
              <w:t>样本量</w:t>
            </w:r>
          </w:p>
        </w:tc>
        <w:tc>
          <w:tcPr>
            <w:tcW w:w="1159"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sz w:val="20"/>
                <w:szCs w:val="20"/>
              </w:rPr>
              <w:t>7,043</w:t>
            </w:r>
          </w:p>
        </w:tc>
        <w:tc>
          <w:tcPr>
            <w:tcW w:w="1083"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sz w:val="20"/>
                <w:szCs w:val="20"/>
              </w:rPr>
              <w:t>7,043</w:t>
            </w:r>
          </w:p>
        </w:tc>
        <w:tc>
          <w:tcPr>
            <w:tcW w:w="1134"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12,229</w:t>
            </w:r>
          </w:p>
        </w:tc>
        <w:tc>
          <w:tcPr>
            <w:tcW w:w="1134" w:type="dxa"/>
            <w:tcBorders>
              <w:top w:val="nil"/>
              <w:left w:val="nil"/>
              <w:bottom w:val="nil"/>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12,229</w:t>
            </w:r>
          </w:p>
        </w:tc>
        <w:tc>
          <w:tcPr>
            <w:tcW w:w="1134"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4,718</w:t>
            </w:r>
          </w:p>
        </w:tc>
        <w:tc>
          <w:tcPr>
            <w:tcW w:w="1134" w:type="dxa"/>
            <w:tcBorders>
              <w:top w:val="nil"/>
              <w:left w:val="nil"/>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4,718</w:t>
            </w:r>
          </w:p>
        </w:tc>
      </w:tr>
      <w:tr>
        <w:tblPrEx>
          <w:tblCellMar>
            <w:top w:w="0" w:type="dxa"/>
            <w:left w:w="108" w:type="dxa"/>
            <w:bottom w:w="0" w:type="dxa"/>
            <w:right w:w="108" w:type="dxa"/>
          </w:tblCellMar>
        </w:tblPrEx>
        <w:trPr>
          <w:trHeight w:val="290" w:hRule="atLeast"/>
          <w:jc w:val="center"/>
        </w:trPr>
        <w:tc>
          <w:tcPr>
            <w:tcW w:w="1744"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0"/>
                <w:szCs w:val="20"/>
              </w:rPr>
            </w:pPr>
            <m:oMathPara>
              <m:oMathParaPr>
                <m:jc m:val="left"/>
              </m:oMathParaPr>
              <m:oMath>
                <m:sSup>
                  <m:sSupPr>
                    <m:ctrlPr>
                      <w:rPr>
                        <w:rFonts w:hint="eastAsia" w:ascii="Cambria Math" w:hAnsi="Cambria Math" w:eastAsia="仿宋" w:cs="仿宋"/>
                        <w:kern w:val="0"/>
                        <w:sz w:val="20"/>
                        <w:szCs w:val="20"/>
                      </w:rPr>
                    </m:ctrlPr>
                  </m:sSupPr>
                  <m:e>
                    <m:r>
                      <m:rPr/>
                      <w:rPr>
                        <w:rFonts w:hint="default" w:ascii="Cambria Math" w:hAnsi="Cambria Math" w:eastAsia="仿宋" w:cs="仿宋"/>
                        <w:kern w:val="0"/>
                        <w:sz w:val="20"/>
                        <w:szCs w:val="20"/>
                      </w:rPr>
                      <m:t>R</m:t>
                    </m:r>
                    <m:ctrlPr>
                      <w:rPr>
                        <w:rFonts w:hint="eastAsia" w:ascii="Cambria Math" w:hAnsi="Cambria Math" w:eastAsia="仿宋" w:cs="仿宋"/>
                        <w:kern w:val="0"/>
                        <w:sz w:val="20"/>
                        <w:szCs w:val="20"/>
                      </w:rPr>
                    </m:ctrlPr>
                  </m:e>
                  <m:sup>
                    <m:r>
                      <m:rPr/>
                      <w:rPr>
                        <w:rFonts w:hint="eastAsia" w:ascii="Cambria Math" w:hAnsi="Cambria Math" w:eastAsia="仿宋" w:cs="仿宋"/>
                        <w:kern w:val="0"/>
                        <w:sz w:val="20"/>
                        <w:szCs w:val="20"/>
                      </w:rPr>
                      <m:t>2</m:t>
                    </m:r>
                    <m:ctrlPr>
                      <w:rPr>
                        <w:rFonts w:hint="eastAsia" w:ascii="Cambria Math" w:hAnsi="Cambria Math" w:eastAsia="仿宋" w:cs="仿宋"/>
                        <w:kern w:val="0"/>
                        <w:sz w:val="20"/>
                        <w:szCs w:val="20"/>
                      </w:rPr>
                    </m:ctrlPr>
                  </m:sup>
                </m:sSup>
              </m:oMath>
            </m:oMathPara>
          </w:p>
        </w:tc>
        <w:tc>
          <w:tcPr>
            <w:tcW w:w="1159" w:type="dxa"/>
            <w:tcBorders>
              <w:top w:val="nil"/>
              <w:left w:val="single" w:color="auto" w:sz="4" w:space="0"/>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sz w:val="20"/>
                <w:szCs w:val="20"/>
              </w:rPr>
              <w:t>0.1341</w:t>
            </w:r>
          </w:p>
        </w:tc>
        <w:tc>
          <w:tcPr>
            <w:tcW w:w="1083" w:type="dxa"/>
            <w:tcBorders>
              <w:top w:val="nil"/>
              <w:left w:val="nil"/>
              <w:bottom w:val="nil"/>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sz w:val="20"/>
                <w:szCs w:val="20"/>
              </w:rPr>
              <w:t>0.1620</w:t>
            </w:r>
          </w:p>
        </w:tc>
        <w:tc>
          <w:tcPr>
            <w:tcW w:w="1134"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0.1997</w:t>
            </w:r>
          </w:p>
        </w:tc>
        <w:tc>
          <w:tcPr>
            <w:tcW w:w="1134" w:type="dxa"/>
            <w:tcBorders>
              <w:top w:val="nil"/>
              <w:left w:val="nil"/>
              <w:bottom w:val="nil"/>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0.2202</w:t>
            </w:r>
          </w:p>
        </w:tc>
        <w:tc>
          <w:tcPr>
            <w:tcW w:w="1134" w:type="dxa"/>
            <w:tcBorders>
              <w:top w:val="nil"/>
              <w:left w:val="single" w:color="auto" w:sz="4" w:space="0"/>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0.1960</w:t>
            </w:r>
          </w:p>
        </w:tc>
        <w:tc>
          <w:tcPr>
            <w:tcW w:w="1134" w:type="dxa"/>
            <w:tcBorders>
              <w:top w:val="nil"/>
              <w:left w:val="nil"/>
              <w:bottom w:val="nil"/>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sz w:val="20"/>
                <w:szCs w:val="20"/>
              </w:rPr>
            </w:pPr>
            <w:r>
              <w:rPr>
                <w:rFonts w:hint="eastAsia" w:ascii="仿宋" w:hAnsi="仿宋" w:eastAsia="仿宋" w:cs="仿宋"/>
                <w:sz w:val="20"/>
                <w:szCs w:val="20"/>
              </w:rPr>
              <w:t>0.2358</w:t>
            </w:r>
          </w:p>
        </w:tc>
      </w:tr>
      <w:tr>
        <w:tblPrEx>
          <w:tblCellMar>
            <w:top w:w="0" w:type="dxa"/>
            <w:left w:w="108" w:type="dxa"/>
            <w:bottom w:w="0" w:type="dxa"/>
            <w:right w:w="108" w:type="dxa"/>
          </w:tblCellMar>
        </w:tblPrEx>
        <w:trPr>
          <w:trHeight w:val="280" w:hRule="atLeast"/>
          <w:jc w:val="center"/>
        </w:trPr>
        <w:tc>
          <w:tcPr>
            <w:tcW w:w="1744"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left"/>
              <w:textAlignment w:val="auto"/>
              <w:rPr>
                <w:rFonts w:hint="eastAsia" w:ascii="仿宋" w:hAnsi="仿宋" w:eastAsia="仿宋" w:cs="仿宋"/>
                <w:kern w:val="0"/>
                <w:sz w:val="20"/>
                <w:szCs w:val="20"/>
              </w:rPr>
            </w:pPr>
            <w:r>
              <w:rPr>
                <w:rFonts w:hint="eastAsia" w:ascii="仿宋" w:hAnsi="仿宋" w:eastAsia="仿宋" w:cs="仿宋"/>
                <w:kern w:val="0"/>
                <w:sz w:val="20"/>
                <w:szCs w:val="20"/>
              </w:rPr>
              <w:t>县</w:t>
            </w:r>
            <w:r>
              <w:rPr>
                <w:rFonts w:hint="eastAsia" w:ascii="仿宋" w:hAnsi="仿宋" w:eastAsia="仿宋" w:cs="仿宋"/>
                <w:kern w:val="0"/>
                <w:sz w:val="20"/>
                <w:szCs w:val="20"/>
              </w:rPr>
              <w:sym w:font="Symbol" w:char="F0B4"/>
            </w:r>
            <w:r>
              <w:rPr>
                <w:rFonts w:hint="eastAsia" w:ascii="仿宋" w:hAnsi="仿宋" w:eastAsia="仿宋" w:cs="仿宋"/>
                <w:kern w:val="0"/>
                <w:sz w:val="20"/>
                <w:szCs w:val="20"/>
              </w:rPr>
              <w:t>年份线性趋势</w:t>
            </w:r>
          </w:p>
        </w:tc>
        <w:tc>
          <w:tcPr>
            <w:tcW w:w="1159" w:type="dxa"/>
            <w:tcBorders>
              <w:top w:val="nil"/>
              <w:left w:val="single" w:color="auto" w:sz="4" w:space="0"/>
              <w:bottom w:val="single" w:color="auto" w:sz="4" w:space="0"/>
              <w:right w:val="nil"/>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否</w:t>
            </w:r>
          </w:p>
        </w:tc>
        <w:tc>
          <w:tcPr>
            <w:tcW w:w="1083" w:type="dxa"/>
            <w:tcBorders>
              <w:top w:val="nil"/>
              <w:left w:val="nil"/>
              <w:bottom w:val="single" w:color="auto" w:sz="4" w:space="0"/>
              <w:right w:val="single" w:color="auto" w:sz="4" w:space="0"/>
            </w:tcBorders>
            <w:shd w:val="clear" w:color="auto" w:fill="auto"/>
            <w:noWrap/>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是</w:t>
            </w:r>
          </w:p>
        </w:tc>
        <w:tc>
          <w:tcPr>
            <w:tcW w:w="1134" w:type="dxa"/>
            <w:tcBorders>
              <w:top w:val="nil"/>
              <w:left w:val="single" w:color="auto" w:sz="4" w:space="0"/>
              <w:bottom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否</w:t>
            </w:r>
          </w:p>
        </w:tc>
        <w:tc>
          <w:tcPr>
            <w:tcW w:w="1134" w:type="dxa"/>
            <w:tcBorders>
              <w:top w:val="nil"/>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是</w:t>
            </w:r>
          </w:p>
        </w:tc>
        <w:tc>
          <w:tcPr>
            <w:tcW w:w="1134" w:type="dxa"/>
            <w:tcBorders>
              <w:top w:val="nil"/>
              <w:left w:val="single" w:color="auto" w:sz="4" w:space="0"/>
              <w:bottom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否</w:t>
            </w:r>
          </w:p>
        </w:tc>
        <w:tc>
          <w:tcPr>
            <w:tcW w:w="1134" w:type="dxa"/>
            <w:tcBorders>
              <w:top w:val="nil"/>
              <w:left w:val="nil"/>
              <w:bottom w:val="single" w:color="auto" w:sz="4" w:space="0"/>
            </w:tcBorders>
            <w:vAlign w:val="bottom"/>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仿宋" w:hAnsi="仿宋" w:eastAsia="仿宋" w:cs="仿宋"/>
                <w:kern w:val="0"/>
                <w:sz w:val="20"/>
                <w:szCs w:val="20"/>
              </w:rPr>
            </w:pPr>
            <w:r>
              <w:rPr>
                <w:rFonts w:hint="eastAsia" w:ascii="仿宋" w:hAnsi="仿宋" w:eastAsia="仿宋" w:cs="仿宋"/>
                <w:kern w:val="0"/>
                <w:sz w:val="20"/>
                <w:szCs w:val="20"/>
              </w:rPr>
              <w:t>是</w:t>
            </w:r>
          </w:p>
        </w:tc>
      </w:tr>
    </w:tbl>
    <w:p>
      <w:pPr>
        <w:keepNext w:val="0"/>
        <w:keepLines w:val="0"/>
        <w:pageBreakBefore w:val="0"/>
        <w:kinsoku/>
        <w:wordWrap/>
        <w:overflowPunct/>
        <w:topLinePunct w:val="0"/>
        <w:autoSpaceDE/>
        <w:autoSpaceDN/>
        <w:bidi w:val="0"/>
        <w:spacing w:line="360" w:lineRule="auto"/>
        <w:ind w:firstLine="363" w:firstLineChars="202"/>
        <w:textAlignment w:val="auto"/>
        <w:rPr>
          <w:rFonts w:hint="eastAsia" w:ascii="仿宋" w:hAnsi="仿宋" w:eastAsia="仿宋" w:cs="仿宋"/>
          <w:kern w:val="0"/>
          <w:sz w:val="18"/>
          <w:szCs w:val="18"/>
        </w:rPr>
      </w:pPr>
      <w:r>
        <w:rPr>
          <w:rFonts w:hint="eastAsia" w:ascii="仿宋" w:hAnsi="仿宋" w:eastAsia="仿宋" w:cs="仿宋"/>
          <w:kern w:val="0"/>
          <w:sz w:val="18"/>
          <w:szCs w:val="18"/>
        </w:rPr>
        <w:t xml:space="preserve">注：回归中控制了家庭固定效应、年份固定效应、丈夫和妻子的年龄；* </w:t>
      </w:r>
      <w:r>
        <w:rPr>
          <w:rFonts w:hint="eastAsia" w:ascii="仿宋" w:hAnsi="仿宋" w:eastAsia="仿宋" w:cs="仿宋"/>
          <w:sz w:val="18"/>
          <w:szCs w:val="18"/>
        </w:rPr>
        <w:t>10%水平上显著，** 5%水平上显著，*** 1%水平上显著，</w:t>
      </w:r>
      <w:r>
        <w:rPr>
          <w:rFonts w:hint="eastAsia" w:ascii="仿宋" w:hAnsi="仿宋" w:eastAsia="仿宋" w:cs="仿宋"/>
          <w:kern w:val="0"/>
          <w:sz w:val="18"/>
          <w:szCs w:val="18"/>
        </w:rPr>
        <w:t>括号中汇报的是聚类在区县层面的标准误。</w:t>
      </w:r>
    </w:p>
    <w:p>
      <w:pPr>
        <w:keepNext w:val="0"/>
        <w:keepLines w:val="0"/>
        <w:pageBreakBefore w:val="0"/>
        <w:kinsoku/>
        <w:wordWrap/>
        <w:overflowPunct/>
        <w:topLinePunct w:val="0"/>
        <w:autoSpaceDE/>
        <w:autoSpaceDN/>
        <w:bidi w:val="0"/>
        <w:spacing w:line="360" w:lineRule="auto"/>
        <w:ind w:firstLine="363" w:firstLineChars="202"/>
        <w:textAlignment w:val="auto"/>
        <w:rPr>
          <w:rFonts w:hint="eastAsia" w:ascii="仿宋" w:hAnsi="仿宋" w:eastAsia="仿宋" w:cs="仿宋"/>
          <w:kern w:val="0"/>
          <w:sz w:val="18"/>
          <w:szCs w:val="18"/>
        </w:rPr>
      </w:pP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附录C 表3前四列回归的样本构造说明</w:t>
      </w: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kern w:val="0"/>
          <w:sz w:val="24"/>
          <w:szCs w:val="24"/>
        </w:rPr>
      </w:pPr>
      <w:r>
        <w:rPr>
          <w:rFonts w:hint="eastAsia" w:ascii="仿宋" w:hAnsi="仿宋" w:eastAsia="仿宋" w:cs="仿宋"/>
          <w:kern w:val="0"/>
          <w:sz w:val="24"/>
          <w:szCs w:val="24"/>
        </w:rPr>
        <w:t>各个省份（自治区</w:t>
      </w:r>
      <w:r>
        <w:rPr>
          <w:rFonts w:hint="eastAsia" w:ascii="仿宋" w:hAnsi="仿宋" w:eastAsia="仿宋" w:cs="仿宋"/>
          <w:kern w:val="0"/>
          <w:sz w:val="24"/>
          <w:szCs w:val="24"/>
        </w:rPr>
        <w:t>/直辖市）在实施一胎政策时，对农村居民生育第二个孩子的规定可以按照如下方式归类：第一，夫妻双方均为农村居民，并且第一个孩子是女孩的家庭可以生育第二个孩子，包括的省份和自治区有河北省、山西省、内蒙古自治区、吉林省、黑龙江省、浙江省、安徽省、福建省、江西省、河南省、湖北省、湖南省、广东省、贵州省、陕西省、甘肃省、青海省；第二，妻子是农村居民，并且第一个孩子是女孩的家庭可以生育第二个孩子，包括的省份和自治区有辽宁省、山东省、广西壮族自治区；第三，云南省规定夫妻双方或一方为农村居民就可以生育第二个子</w:t>
      </w:r>
      <w:r>
        <w:rPr>
          <w:rFonts w:hint="eastAsia" w:ascii="仿宋" w:hAnsi="仿宋" w:eastAsia="仿宋" w:cs="仿宋"/>
          <w:kern w:val="0"/>
          <w:sz w:val="24"/>
          <w:szCs w:val="24"/>
        </w:rPr>
        <w:t>女；第四，宁夏回族自治区和新疆维吾尔族自治区规定夫妻双方均为农村居民就可以生育第二个子女。上述省份和自治区的相关农村家庭在全面二孩政策实施之前就可以生育第二个孩子，因此我们构造样本来验证他们不受全面二孩政策的影响。除了上述省份和自治区外，北京市、天津市、上海市、江苏省、海南省、重庆市、四川省、西藏自治区或者是因为不允许农村居民生育第二个孩子、或者是因为对农村居民生育第二个子女的条件规定过于复杂、或者是因为缺失了相关的政策文件，我们没有将这几个省（自治区</w:t>
      </w:r>
      <w:r>
        <w:rPr>
          <w:rFonts w:hint="eastAsia" w:ascii="仿宋" w:hAnsi="仿宋" w:eastAsia="仿宋" w:cs="仿宋"/>
          <w:kern w:val="0"/>
          <w:sz w:val="24"/>
          <w:szCs w:val="24"/>
        </w:rPr>
        <w:t>/直辖市）的样本纳入到</w:t>
      </w:r>
      <w:r>
        <w:rPr>
          <w:rFonts w:hint="eastAsia" w:ascii="仿宋" w:hAnsi="仿宋" w:eastAsia="仿宋" w:cs="仿宋"/>
          <w:kern w:val="0"/>
          <w:sz w:val="24"/>
          <w:szCs w:val="24"/>
        </w:rPr>
        <w:t>表3前两列的</w:t>
      </w:r>
      <w:r>
        <w:rPr>
          <w:rFonts w:hint="eastAsia" w:ascii="仿宋" w:hAnsi="仿宋" w:eastAsia="仿宋" w:cs="仿宋"/>
          <w:kern w:val="0"/>
          <w:sz w:val="24"/>
          <w:szCs w:val="24"/>
        </w:rPr>
        <w:t>回归中。</w:t>
      </w: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pPr>
      <w:r>
        <w:rPr>
          <w:rFonts w:hint="eastAsia" w:ascii="仿宋" w:hAnsi="仿宋" w:eastAsia="仿宋" w:cs="仿宋"/>
          <w:sz w:val="24"/>
          <w:szCs w:val="24"/>
        </w:rPr>
        <w:t>各个省份（自治区</w:t>
      </w:r>
      <w:r>
        <w:rPr>
          <w:rFonts w:hint="eastAsia" w:ascii="仿宋" w:hAnsi="仿宋" w:eastAsia="仿宋" w:cs="仿宋"/>
          <w:sz w:val="24"/>
          <w:szCs w:val="24"/>
        </w:rPr>
        <w:t>/直辖市）在实施一胎政策时，对少数民族家庭生育第二个孩子的规定可以按照如下方式归类：第一，夫妻双方均为少数民族即可生育第二个孩子，包括的省份和自治区有山西省、浙江省、安徽省、山东省、新疆维吾尔自治区；第二，夫妻双方均为全国一千万以下人口的少数民族（即除壮族和满族外），即可生育第二个孩子，包括的省份和自治区有河北省、内蒙古自治区、吉林省、黑龙江省、广西壮族自治区、陕西省；第三，夫妻双方均为少数民族并且都是农村居民，即可生育第二个孩子，包括的省份有河南省、湖北省、重庆市、云南省；第四，夫妻双方至</w:t>
      </w:r>
      <w:r>
        <w:rPr>
          <w:rFonts w:hint="eastAsia" w:ascii="仿宋" w:hAnsi="仿宋" w:eastAsia="仿宋" w:cs="仿宋"/>
          <w:sz w:val="24"/>
          <w:szCs w:val="24"/>
        </w:rPr>
        <w:t>少有一个是少数民族，并且都是农村居民的，可以生育两个孩子，包括的省份有贵州省、甘肃省；第五，夫妻双方至少有一方是少数民族的，可以生育两个孩子，包括的省份有青海省和宁夏省；最后，辽宁省规定“只有一个子女，且女方年龄已满</w:t>
      </w:r>
      <w:r>
        <w:rPr>
          <w:rFonts w:hint="eastAsia" w:ascii="仿宋" w:hAnsi="仿宋" w:eastAsia="仿宋" w:cs="仿宋"/>
          <w:sz w:val="24"/>
          <w:szCs w:val="24"/>
        </w:rPr>
        <w:t>26周岁，双方均为少数民族，且女方是农业户口的农村村民的；双方均为农业户口的农村村民，其中一方是国家确定的人口稀少的少数民族的；可以生两个子女”，福建省规定“夫妻双方均为少数民族（除壮族外），且夫妻双方均为农村人口可以生育两个子女”，湖南省规定“夫妻均系少数民族，一方是农村居民的，可以要求生育第</w:t>
      </w:r>
      <w:r>
        <w:rPr>
          <w:rFonts w:hint="eastAsia" w:ascii="仿宋" w:hAnsi="仿宋" w:eastAsia="仿宋" w:cs="仿宋"/>
          <w:sz w:val="24"/>
          <w:szCs w:val="24"/>
        </w:rPr>
        <w:t>二个子女；夫妻均系农村居民，双方或者一方是少数民族的，可以要求生育第二个子女”。上述省份、自治区和直辖市的相关少数民族家庭在全面二孩政策实施之前就可以生育第二个孩子，因此我们构造样本来验证他们不受全面二孩政策的影响。除了上述省份、自治区和直辖市外，北京市、天津市、上海市、江苏省、广东省、海南省、四川省、西藏自治区或者是因为不允许少数民族家庭生育第二个孩子、或者是因为对少数民族家庭生育第二个子女的条件规定过于复杂、或者是因为缺失了相关的政策文件，我们没有将这几个省（自治区</w:t>
      </w:r>
      <w:r>
        <w:rPr>
          <w:rFonts w:hint="eastAsia" w:ascii="仿宋" w:hAnsi="仿宋" w:eastAsia="仿宋" w:cs="仿宋"/>
          <w:sz w:val="24"/>
          <w:szCs w:val="24"/>
        </w:rPr>
        <w:t>/直辖市）的样本纳入到</w:t>
      </w:r>
      <w:r>
        <w:rPr>
          <w:rFonts w:hint="eastAsia" w:ascii="仿宋" w:hAnsi="仿宋" w:eastAsia="仿宋" w:cs="仿宋"/>
          <w:kern w:val="0"/>
          <w:sz w:val="24"/>
          <w:szCs w:val="24"/>
        </w:rPr>
        <w:t>表3第（3）-（4）列的</w:t>
      </w:r>
      <w:r>
        <w:rPr>
          <w:rFonts w:hint="eastAsia" w:ascii="仿宋" w:hAnsi="仿宋" w:eastAsia="仿宋" w:cs="仿宋"/>
          <w:sz w:val="24"/>
          <w:szCs w:val="24"/>
        </w:rPr>
        <w:t>回归中。</w:t>
      </w: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pPr>
      <w:bookmarkStart w:id="0" w:name="_GoBack"/>
      <w:bookmarkEnd w:id="0"/>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hint="eastAsia" w:ascii="宋体" w:hAnsi="宋体" w:eastAsia="宋体" w:cs="宋体"/>
          <w:b/>
          <w:bCs/>
          <w:color w:val="auto"/>
          <w:kern w:val="0"/>
          <w:szCs w:val="21"/>
        </w:rPr>
      </w:pPr>
      <w:r>
        <w:rPr>
          <w:rFonts w:hint="eastAsia" w:ascii="宋体" w:hAnsi="宋体" w:eastAsia="宋体" w:cs="宋体"/>
          <w:b/>
          <w:color w:val="auto"/>
          <w:szCs w:val="22"/>
        </w:rPr>
        <w:t>注：该附录是期刊所发表论文的组成部分，同样视为作者公开发表的内容。如研究中使用该附录中的内容，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p>
      <w:pPr>
        <w:keepNext w:val="0"/>
        <w:keepLines w:val="0"/>
        <w:pageBreakBefore w:val="0"/>
        <w:kinsoku/>
        <w:wordWrap/>
        <w:overflowPunct/>
        <w:topLinePunct w:val="0"/>
        <w:autoSpaceDE/>
        <w:autoSpaceDN/>
        <w:bidi w:val="0"/>
        <w:spacing w:line="360" w:lineRule="auto"/>
        <w:ind w:firstLine="484" w:firstLineChars="202"/>
        <w:textAlignment w:val="auto"/>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S Mincho">
    <w:altName w:val="Segoe Print"/>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8417083"/>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spacing w:line="300" w:lineRule="auto"/>
        <w:jc w:val="both"/>
        <w:rPr>
          <w:rFonts w:ascii="Times New Roman" w:hAnsi="Times New Roman" w:eastAsia="宋体" w:cs="Times New Roman"/>
        </w:rPr>
      </w:pPr>
      <w:r>
        <w:rPr>
          <w:rStyle w:val="8"/>
          <w:rFonts w:ascii="Times New Roman" w:hAnsi="Times New Roman" w:eastAsia="宋体" w:cs="Times New Roman"/>
        </w:rPr>
        <w:footnoteRef/>
      </w:r>
      <w:r>
        <w:rPr>
          <w:rFonts w:ascii="Times New Roman" w:hAnsi="Times New Roman" w:eastAsia="宋体" w:cs="Times New Roman"/>
        </w:rPr>
        <w:t xml:space="preserve"> 详见网页：https://baijiahao.baidu.com/s?id=1701326850489219984&amp;wfr=spider&amp;for=pc。</w:t>
      </w:r>
      <w:r>
        <w:rPr>
          <w:rFonts w:hint="eastAsia" w:ascii="Times New Roman" w:hAnsi="Times New Roman" w:eastAsia="宋体" w:cs="Times New Roman"/>
        </w:rPr>
        <w:t>访问时间：2</w:t>
      </w:r>
      <w:r>
        <w:rPr>
          <w:rFonts w:ascii="Times New Roman" w:hAnsi="Times New Roman" w:eastAsia="宋体" w:cs="Times New Roman"/>
        </w:rPr>
        <w:t>023</w:t>
      </w:r>
      <w:r>
        <w:rPr>
          <w:rFonts w:hint="eastAsia" w:ascii="Times New Roman" w:hAnsi="Times New Roman" w:eastAsia="宋体" w:cs="Times New Roman"/>
        </w:rPr>
        <w:t>年7月1</w:t>
      </w:r>
      <w:r>
        <w:rPr>
          <w:rFonts w:ascii="Times New Roman" w:hAnsi="Times New Roman" w:eastAsia="宋体" w:cs="Times New Roman"/>
        </w:rPr>
        <w:t>7</w:t>
      </w:r>
      <w:r>
        <w:rPr>
          <w:rFonts w:hint="eastAsia" w:ascii="Times New Roman" w:hAnsi="Times New Roman" w:eastAsia="宋体" w:cs="Times New Roman"/>
        </w:rPr>
        <w:t>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0"/>
      </w:pBdr>
      <w:rPr>
        <w:rFonts w:hint="default" w:ascii="宋体" w:hAnsi="宋体" w:eastAsia="宋体" w:cs="宋体"/>
        <w:lang w:val="en-US" w:eastAsia="zh-CN"/>
      </w:rPr>
    </w:pPr>
    <w:r>
      <w:rPr>
        <w:rFonts w:hint="eastAsia" w:ascii="宋体" w:hAnsi="宋体" w:eastAsia="宋体" w:cs="宋体"/>
        <w:lang w:eastAsia="zh-CN"/>
      </w:rPr>
      <w:t>《</w:t>
    </w:r>
    <w:r>
      <w:rPr>
        <w:rFonts w:hint="eastAsia" w:ascii="宋体" w:hAnsi="宋体" w:eastAsia="宋体" w:cs="宋体"/>
        <w:lang w:val="en-US" w:eastAsia="zh-CN"/>
      </w:rPr>
      <w:t xml:space="preserve">经济学》（季刊）              </w:t>
    </w:r>
    <w:r>
      <w:rPr>
        <w:rFonts w:hint="eastAsia" w:ascii="宋体" w:hAnsi="宋体" w:eastAsia="宋体" w:cs="宋体"/>
      </w:rPr>
      <w:t>全面二孩政策如何影响家庭生育决策？</w:t>
    </w:r>
    <w:r>
      <w:rPr>
        <w:rFonts w:hint="eastAsia" w:ascii="宋体" w:hAnsi="宋体" w:eastAsia="宋体" w:cs="宋体"/>
        <w:lang w:val="en-US" w:eastAsia="zh-CN"/>
      </w:rPr>
      <w:t xml:space="preserve">             第23卷第4期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5YTY5MzAxODJhZDAxMGMwZGQwZTA0ZDg0NjA2ZDkifQ=="/>
  </w:docVars>
  <w:rsids>
    <w:rsidRoot w:val="00872780"/>
    <w:rsid w:val="00032B5D"/>
    <w:rsid w:val="00104113"/>
    <w:rsid w:val="001233E4"/>
    <w:rsid w:val="00141A89"/>
    <w:rsid w:val="001609CD"/>
    <w:rsid w:val="001F2282"/>
    <w:rsid w:val="002E15A1"/>
    <w:rsid w:val="00335F15"/>
    <w:rsid w:val="00387C93"/>
    <w:rsid w:val="00492268"/>
    <w:rsid w:val="00567CC5"/>
    <w:rsid w:val="005F599A"/>
    <w:rsid w:val="00656591"/>
    <w:rsid w:val="00687155"/>
    <w:rsid w:val="006B0387"/>
    <w:rsid w:val="00723C54"/>
    <w:rsid w:val="007962E2"/>
    <w:rsid w:val="007B2823"/>
    <w:rsid w:val="007C5FF9"/>
    <w:rsid w:val="00872780"/>
    <w:rsid w:val="008C1DE6"/>
    <w:rsid w:val="008C60F4"/>
    <w:rsid w:val="008D36C0"/>
    <w:rsid w:val="008E2B3A"/>
    <w:rsid w:val="008F13C7"/>
    <w:rsid w:val="0091668C"/>
    <w:rsid w:val="009409B2"/>
    <w:rsid w:val="00960D45"/>
    <w:rsid w:val="009E2C19"/>
    <w:rsid w:val="009E7B0F"/>
    <w:rsid w:val="00B542AF"/>
    <w:rsid w:val="00BA1BDD"/>
    <w:rsid w:val="00BD1745"/>
    <w:rsid w:val="00C0479B"/>
    <w:rsid w:val="00C844FF"/>
    <w:rsid w:val="00CB1C50"/>
    <w:rsid w:val="00CB5274"/>
    <w:rsid w:val="00CD2CDF"/>
    <w:rsid w:val="00DF2ECC"/>
    <w:rsid w:val="00DF6C18"/>
    <w:rsid w:val="00E00BD5"/>
    <w:rsid w:val="00E431F8"/>
    <w:rsid w:val="00E569CD"/>
    <w:rsid w:val="00EA6280"/>
    <w:rsid w:val="00EB5B64"/>
    <w:rsid w:val="00EC6879"/>
    <w:rsid w:val="00ED6064"/>
    <w:rsid w:val="00EF43B5"/>
    <w:rsid w:val="00F14970"/>
    <w:rsid w:val="00F27783"/>
    <w:rsid w:val="00F610C4"/>
    <w:rsid w:val="00FF2270"/>
    <w:rsid w:val="0B5740B8"/>
    <w:rsid w:val="131D034D"/>
    <w:rsid w:val="182D0953"/>
    <w:rsid w:val="36D30B9F"/>
    <w:rsid w:val="3AF561AE"/>
    <w:rsid w:val="44926DEB"/>
    <w:rsid w:val="4ED11A10"/>
    <w:rsid w:val="502D0EC8"/>
    <w:rsid w:val="62383904"/>
    <w:rsid w:val="69F35F40"/>
    <w:rsid w:val="6DFD6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tabs>
        <w:tab w:val="center" w:pos="4153"/>
        <w:tab w:val="right" w:pos="8306"/>
      </w:tabs>
      <w:snapToGrid w:val="0"/>
      <w:jc w:val="center"/>
    </w:pPr>
    <w:rPr>
      <w:sz w:val="18"/>
      <w:szCs w:val="18"/>
    </w:rPr>
  </w:style>
  <w:style w:type="paragraph" w:styleId="4">
    <w:name w:val="footnote text"/>
    <w:basedOn w:val="1"/>
    <w:link w:val="11"/>
    <w:semiHidden/>
    <w:unhideWhenUsed/>
    <w:uiPriority w:val="99"/>
    <w:pPr>
      <w:snapToGrid w:val="0"/>
      <w:jc w:val="left"/>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styleId="8">
    <w:name w:val="footnote reference"/>
    <w:basedOn w:val="6"/>
    <w:semiHidden/>
    <w:unhideWhenUsed/>
    <w:qFormat/>
    <w:uiPriority w:val="99"/>
    <w:rPr>
      <w:vertAlign w:val="superscript"/>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character" w:customStyle="1" w:styleId="11">
    <w:name w:val="脚注文本 字符"/>
    <w:basedOn w:val="6"/>
    <w:link w:val="4"/>
    <w:semiHidden/>
    <w:qFormat/>
    <w:uiPriority w:val="99"/>
    <w:rPr>
      <w:sz w:val="18"/>
      <w:szCs w:val="18"/>
    </w:rPr>
  </w:style>
  <w:style w:type="character" w:customStyle="1" w:styleId="12">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2156</Words>
  <Characters>12290</Characters>
  <Lines>102</Lines>
  <Paragraphs>28</Paragraphs>
  <TotalTime>0</TotalTime>
  <ScaleCrop>false</ScaleCrop>
  <LinksUpToDate>false</LinksUpToDate>
  <CharactersWithSpaces>14418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2023-07-17T00:46:00Z</dcterms:created>
  <dc:creator>葛 润</dc:creator>
  <cp:lastModifiedBy>刘京</cp:lastModifiedBy>
  <dcterms:modified xsi:type="dcterms:W3CDTF">2023-07-30T15:26:32Z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ADCE13F12DF04CFF8188DFDF181F2BBD_12</vt:lpwstr>
  </property>
</Properties>
</file>