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ind w:firstLine="221" w:firstLineChars="100"/>
        <w:jc w:val="center"/>
        <w:rPr>
          <w:rFonts w:ascii="Times New Roman" w:hAnsi="Times New Roman" w:eastAsia="宋体" w:cs="Times New Roman"/>
          <w:b/>
          <w:bCs/>
          <w:sz w:val="22"/>
          <w:szCs w:val="22"/>
        </w:rPr>
      </w:pPr>
      <w:r>
        <w:rPr>
          <w:rFonts w:ascii="Times New Roman" w:hAnsi="Times New Roman" w:eastAsia="仿宋" w:cs="Times New Roman"/>
          <w:b/>
          <w:bCs/>
          <w:sz w:val="22"/>
          <w:szCs w:val="22"/>
        </w:rPr>
        <w:t>附表</w:t>
      </w:r>
      <w:r>
        <w:rPr>
          <w:rFonts w:hint="eastAsia" w:ascii="Times New Roman" w:hAnsi="Times New Roman" w:eastAsia="仿宋" w:cs="Times New Roman"/>
          <w:b/>
          <w:bCs/>
          <w:sz w:val="22"/>
          <w:szCs w:val="22"/>
          <w:lang w:val="en-US" w:eastAsia="zh-CN"/>
        </w:rPr>
        <w:t xml:space="preserve">1 </w:t>
      </w:r>
      <w:r>
        <w:rPr>
          <w:rFonts w:ascii="Times New Roman" w:hAnsi="Times New Roman" w:eastAsia="仿宋" w:cs="Times New Roman"/>
          <w:b/>
          <w:bCs/>
          <w:sz w:val="22"/>
          <w:szCs w:val="22"/>
        </w:rPr>
        <w:t>出现税率调整的商品及其税率变化情况</w:t>
      </w:r>
    </w:p>
    <w:tbl>
      <w:tblPr>
        <w:tblStyle w:val="4"/>
        <w:tblW w:w="865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3"/>
        <w:gridCol w:w="2163"/>
        <w:gridCol w:w="2163"/>
        <w:gridCol w:w="21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1"/>
                <w:szCs w:val="21"/>
              </w:rPr>
              <w:t>商品名</w:t>
            </w:r>
          </w:p>
        </w:tc>
        <w:tc>
          <w:tcPr>
            <w:tcW w:w="21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1"/>
                <w:szCs w:val="21"/>
              </w:rPr>
              <w:t>第一期税率（%）</w:t>
            </w:r>
          </w:p>
        </w:tc>
        <w:tc>
          <w:tcPr>
            <w:tcW w:w="21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1"/>
                <w:szCs w:val="21"/>
              </w:rPr>
              <w:t>第二期税率（%）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1"/>
                <w:szCs w:val="21"/>
              </w:rPr>
              <w:t>第三期税率（%）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细夏布</w:t>
            </w:r>
          </w:p>
        </w:tc>
        <w:tc>
          <w:tcPr>
            <w:tcW w:w="216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15</w:t>
            </w:r>
          </w:p>
        </w:tc>
        <w:tc>
          <w:tcPr>
            <w:tcW w:w="216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-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绸缎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25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桕油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-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树蜡（漆油）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-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樟脑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-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桂皮桂子桂枝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-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肉桂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25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-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茯苓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-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陈皮，柚皮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-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大黄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-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爆竹、烟火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15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-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火腿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金针菜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-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香菌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25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-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白木耳，竹苼等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25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-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瓜子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-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黄铜制品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-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金银制品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25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-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皮货及其制品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25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15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纸箔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25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20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-</w:t>
            </w:r>
          </w:p>
        </w:tc>
      </w:tr>
      <w:tr>
        <w:trPr>
          <w:trHeight w:val="280" w:hRule="atLeast"/>
          <w:jc w:val="center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未列明药材及香料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12.5-10-12.5-15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骨（虎骨豹骨等）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12.5-10-12.5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-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鹹鱼、干鱼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7.5-10-7.5-15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-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-</w:t>
            </w:r>
          </w:p>
        </w:tc>
      </w:tr>
    </w:tbl>
    <w:p>
      <w:pPr>
        <w:ind w:firstLine="360" w:firstLineChars="200"/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注：第一期为1942年5月至1942年12月，第二期为1943年1月至1943年4月，第三期为1943年5月至1944年12月。未列明药材及香料、骨（虎骨豹骨等）、鹹鱼干鱼三种商品在第一期内不同月份进行过税率调整。</w:t>
      </w:r>
    </w:p>
    <w:p>
      <w:pPr>
        <w:rPr>
          <w:rFonts w:hint="eastAsia" w:ascii="仿宋" w:hAnsi="仿宋" w:eastAsia="仿宋" w:cs="仿宋"/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spacing w:before="156" w:beforeLines="50" w:after="156" w:afterLines="50"/>
        <w:ind w:firstLine="210" w:firstLineChars="100"/>
        <w:jc w:val="left"/>
        <w:rPr>
          <w:rFonts w:ascii="Times New Roman" w:hAnsi="Times New Roman" w:eastAsia="仿宋" w:cs="Times New Roman"/>
          <w:sz w:val="21"/>
          <w:szCs w:val="21"/>
        </w:rPr>
      </w:pPr>
    </w:p>
    <w:p>
      <w:pPr>
        <w:spacing w:before="156" w:beforeLines="50" w:after="156" w:afterLines="50"/>
        <w:ind w:firstLine="210" w:firstLineChars="100"/>
        <w:jc w:val="left"/>
        <w:rPr>
          <w:rFonts w:ascii="Times New Roman" w:hAnsi="Times New Roman" w:eastAsia="仿宋" w:cs="Times New Roman"/>
          <w:sz w:val="21"/>
          <w:szCs w:val="21"/>
        </w:rPr>
      </w:pPr>
    </w:p>
    <w:p>
      <w:pPr>
        <w:spacing w:before="156" w:beforeLines="50" w:after="156" w:afterLines="50"/>
        <w:ind w:firstLine="210" w:firstLineChars="100"/>
        <w:jc w:val="left"/>
        <w:rPr>
          <w:rFonts w:ascii="Times New Roman" w:hAnsi="Times New Roman" w:eastAsia="仿宋" w:cs="Times New Roman"/>
          <w:sz w:val="21"/>
          <w:szCs w:val="21"/>
        </w:rPr>
      </w:pPr>
    </w:p>
    <w:p>
      <w:pPr>
        <w:spacing w:before="156" w:beforeLines="50" w:after="156" w:afterLines="50"/>
        <w:ind w:firstLine="210" w:firstLineChars="100"/>
        <w:jc w:val="left"/>
        <w:rPr>
          <w:rFonts w:ascii="Times New Roman" w:hAnsi="Times New Roman" w:eastAsia="仿宋" w:cs="Times New Roman"/>
          <w:sz w:val="21"/>
          <w:szCs w:val="21"/>
        </w:rPr>
      </w:pPr>
    </w:p>
    <w:p>
      <w:pPr>
        <w:spacing w:before="156" w:beforeLines="50" w:after="156" w:afterLines="50"/>
        <w:ind w:firstLine="210" w:firstLineChars="100"/>
        <w:jc w:val="left"/>
        <w:rPr>
          <w:rFonts w:ascii="Times New Roman" w:hAnsi="Times New Roman" w:eastAsia="仿宋" w:cs="Times New Roman"/>
          <w:sz w:val="21"/>
          <w:szCs w:val="21"/>
        </w:rPr>
      </w:pPr>
    </w:p>
    <w:p>
      <w:pPr>
        <w:spacing w:before="156" w:beforeLines="50" w:after="156" w:afterLines="50"/>
        <w:ind w:firstLine="210" w:firstLineChars="100"/>
        <w:jc w:val="left"/>
        <w:rPr>
          <w:rFonts w:ascii="Times New Roman" w:hAnsi="Times New Roman" w:eastAsia="仿宋" w:cs="Times New Roman"/>
          <w:sz w:val="21"/>
          <w:szCs w:val="21"/>
        </w:rPr>
      </w:pPr>
    </w:p>
    <w:p>
      <w:pPr>
        <w:spacing w:before="156" w:beforeLines="50" w:after="156" w:afterLines="50"/>
        <w:ind w:firstLine="210" w:firstLineChars="100"/>
        <w:jc w:val="left"/>
        <w:rPr>
          <w:rFonts w:ascii="Times New Roman" w:hAnsi="Times New Roman" w:eastAsia="仿宋" w:cs="Times New Roman"/>
          <w:sz w:val="21"/>
          <w:szCs w:val="21"/>
        </w:rPr>
      </w:pPr>
    </w:p>
    <w:p>
      <w:pPr>
        <w:spacing w:before="156" w:beforeLines="50" w:after="156" w:afterLines="50"/>
        <w:ind w:firstLine="210" w:firstLineChars="100"/>
        <w:jc w:val="left"/>
        <w:rPr>
          <w:rFonts w:ascii="Times New Roman" w:hAnsi="Times New Roman" w:eastAsia="仿宋" w:cs="Times New Roman"/>
          <w:sz w:val="21"/>
          <w:szCs w:val="21"/>
        </w:rPr>
      </w:pPr>
    </w:p>
    <w:p>
      <w:pPr>
        <w:spacing w:before="156" w:beforeLines="50" w:after="156" w:afterLines="50"/>
        <w:ind w:firstLine="221" w:firstLineChars="100"/>
        <w:jc w:val="center"/>
        <w:rPr>
          <w:rFonts w:ascii="Times New Roman" w:hAnsi="Times New Roman" w:eastAsia="宋体" w:cs="Times New Roman"/>
          <w:b/>
          <w:bCs/>
          <w:sz w:val="22"/>
          <w:szCs w:val="22"/>
        </w:rPr>
      </w:pPr>
      <w:r>
        <w:rPr>
          <w:rFonts w:ascii="Times New Roman" w:hAnsi="Times New Roman" w:eastAsia="仿宋" w:cs="Times New Roman"/>
          <w:b/>
          <w:bCs/>
          <w:sz w:val="22"/>
          <w:szCs w:val="22"/>
        </w:rPr>
        <w:t>附表</w:t>
      </w:r>
      <w:r>
        <w:rPr>
          <w:rFonts w:hint="eastAsia" w:ascii="Times New Roman" w:hAnsi="Times New Roman" w:eastAsia="仿宋" w:cs="Times New Roman"/>
          <w:b/>
          <w:bCs/>
          <w:sz w:val="22"/>
          <w:szCs w:val="22"/>
          <w:lang w:val="en-US" w:eastAsia="zh-CN"/>
        </w:rPr>
        <w:t xml:space="preserve">2 </w:t>
      </w:r>
      <w:r>
        <w:rPr>
          <w:rFonts w:hint="eastAsia" w:ascii="Times New Roman" w:hAnsi="Times New Roman" w:eastAsia="仿宋" w:cs="Times New Roman"/>
          <w:b/>
          <w:bCs/>
          <w:sz w:val="22"/>
          <w:szCs w:val="22"/>
        </w:rPr>
        <w:t>各关别实际税率与应纳税率差值分布</w:t>
      </w:r>
    </w:p>
    <w:tbl>
      <w:tblPr>
        <w:tblStyle w:val="4"/>
        <w:tblW w:w="8369" w:type="dxa"/>
        <w:jc w:val="center"/>
        <w:tblBorders>
          <w:top w:val="none" w:color="auto" w:sz="4" w:space="0"/>
          <w:left w:val="none" w:color="auto" w:sz="4" w:space="0"/>
          <w:bottom w:val="none" w:color="auto" w:sz="4" w:space="0"/>
          <w:right w:val="none" w:color="auto" w:sz="4" w:space="0"/>
          <w:insideH w:val="non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320"/>
        <w:gridCol w:w="1470"/>
        <w:gridCol w:w="1490"/>
        <w:gridCol w:w="1490"/>
        <w:gridCol w:w="1329"/>
      </w:tblGrid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1"/>
                <w:szCs w:val="21"/>
              </w:rPr>
              <w:t>占比</w:t>
            </w:r>
          </w:p>
        </w:tc>
        <w:tc>
          <w:tcPr>
            <w:tcW w:w="132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bidi="ar"/>
              </w:rPr>
              <w:t>观察值</w:t>
            </w:r>
          </w:p>
        </w:tc>
        <w:tc>
          <w:tcPr>
            <w:tcW w:w="14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bidi="ar"/>
              </w:rPr>
              <w:t>＜0.1%</w:t>
            </w:r>
          </w:p>
        </w:tc>
        <w:tc>
          <w:tcPr>
            <w:tcW w:w="149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bidi="ar"/>
              </w:rPr>
              <w:t>0.1%～1%</w:t>
            </w:r>
          </w:p>
        </w:tc>
        <w:tc>
          <w:tcPr>
            <w:tcW w:w="149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bidi="ar"/>
              </w:rPr>
              <w:t>1%～10%</w:t>
            </w:r>
          </w:p>
        </w:tc>
        <w:tc>
          <w:tcPr>
            <w:tcW w:w="1329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bidi="ar"/>
              </w:rPr>
              <w:t>≥10%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成都</w:t>
            </w:r>
          </w:p>
        </w:tc>
        <w:tc>
          <w:tcPr>
            <w:tcW w:w="1320" w:type="dxa"/>
            <w:tcBorders>
              <w:top w:val="single" w:color="auto" w:sz="4" w:space="0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154</w:t>
            </w:r>
          </w:p>
        </w:tc>
        <w:tc>
          <w:tcPr>
            <w:tcW w:w="1470" w:type="dxa"/>
            <w:tcBorders>
              <w:top w:val="single" w:color="auto" w:sz="4" w:space="0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89.61%</w:t>
            </w:r>
          </w:p>
        </w:tc>
        <w:tc>
          <w:tcPr>
            <w:tcW w:w="1490" w:type="dxa"/>
            <w:tcBorders>
              <w:top w:val="single" w:color="auto" w:sz="4" w:space="0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1.30%</w:t>
            </w:r>
          </w:p>
        </w:tc>
        <w:tc>
          <w:tcPr>
            <w:tcW w:w="1490" w:type="dxa"/>
            <w:tcBorders>
              <w:top w:val="single" w:color="auto" w:sz="4" w:space="0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7.79%</w:t>
            </w:r>
          </w:p>
        </w:tc>
        <w:tc>
          <w:tcPr>
            <w:tcW w:w="1329" w:type="dxa"/>
            <w:tcBorders>
              <w:top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1.30%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昆明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431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98.84%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0.70%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0.23%</w:t>
            </w:r>
          </w:p>
        </w:tc>
        <w:tc>
          <w:tcPr>
            <w:tcW w:w="132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0.23%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兰州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325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98.77%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0.92%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0.31%</w:t>
            </w:r>
          </w:p>
        </w:tc>
        <w:tc>
          <w:tcPr>
            <w:tcW w:w="132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0.00%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雷州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269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100.00%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0.00%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0.00%</w:t>
            </w:r>
          </w:p>
        </w:tc>
        <w:tc>
          <w:tcPr>
            <w:tcW w:w="132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0.00%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龙溪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38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100.00%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0.00%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0.00%</w:t>
            </w:r>
          </w:p>
        </w:tc>
        <w:tc>
          <w:tcPr>
            <w:tcW w:w="132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0.00%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龙州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56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100.00%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0.00%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0.00%</w:t>
            </w:r>
          </w:p>
        </w:tc>
        <w:tc>
          <w:tcPr>
            <w:tcW w:w="132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0.00%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洛阳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200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98.50%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1.00%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0.00%</w:t>
            </w:r>
          </w:p>
        </w:tc>
        <w:tc>
          <w:tcPr>
            <w:tcW w:w="132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0.50%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闽海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451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100.00%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0.00%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0.00%</w:t>
            </w:r>
          </w:p>
        </w:tc>
        <w:tc>
          <w:tcPr>
            <w:tcW w:w="132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0.00%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南宁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346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100.00%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0.00%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0.00%</w:t>
            </w:r>
          </w:p>
        </w:tc>
        <w:tc>
          <w:tcPr>
            <w:tcW w:w="132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0.00%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瓯海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304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99.67%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0.33%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0.00%</w:t>
            </w:r>
          </w:p>
        </w:tc>
        <w:tc>
          <w:tcPr>
            <w:tcW w:w="132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0.00%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曲江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326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99.69%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0.31%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0.00%</w:t>
            </w:r>
          </w:p>
        </w:tc>
        <w:tc>
          <w:tcPr>
            <w:tcW w:w="132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0.00%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沙市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318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97.48%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0.94%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0.63%</w:t>
            </w:r>
          </w:p>
        </w:tc>
        <w:tc>
          <w:tcPr>
            <w:tcW w:w="132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0.94%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上饶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409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97.31%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0.49%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1.96%</w:t>
            </w:r>
          </w:p>
        </w:tc>
        <w:tc>
          <w:tcPr>
            <w:tcW w:w="132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0.24%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思茅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100.00%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0.00%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0.00%</w:t>
            </w:r>
          </w:p>
        </w:tc>
        <w:tc>
          <w:tcPr>
            <w:tcW w:w="132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0.00%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绥远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73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97.26%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0.00%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2.74%</w:t>
            </w:r>
          </w:p>
        </w:tc>
        <w:tc>
          <w:tcPr>
            <w:tcW w:w="132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0.00%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屯溪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47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100.00%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0.00%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0.00%</w:t>
            </w:r>
          </w:p>
        </w:tc>
        <w:tc>
          <w:tcPr>
            <w:tcW w:w="132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0.00%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万县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336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99.40%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0.00%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0.00%</w:t>
            </w:r>
          </w:p>
        </w:tc>
        <w:tc>
          <w:tcPr>
            <w:tcW w:w="132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0.60%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梧州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352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98.86%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0.28%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0.85%</w:t>
            </w:r>
          </w:p>
        </w:tc>
        <w:tc>
          <w:tcPr>
            <w:tcW w:w="132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0.00%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西安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436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98.85%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0.46%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0.23%</w:t>
            </w:r>
          </w:p>
        </w:tc>
        <w:tc>
          <w:tcPr>
            <w:tcW w:w="132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0.46%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新疆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100.00%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0.00%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0.00%</w:t>
            </w:r>
          </w:p>
        </w:tc>
        <w:tc>
          <w:tcPr>
            <w:tcW w:w="132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0.00%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长沙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309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96.44%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0.00%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1.94%</w:t>
            </w:r>
          </w:p>
        </w:tc>
        <w:tc>
          <w:tcPr>
            <w:tcW w:w="132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1.62%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重庆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524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97.14%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1.53%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1.34%</w:t>
            </w:r>
          </w:p>
        </w:tc>
        <w:tc>
          <w:tcPr>
            <w:tcW w:w="132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0.00%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合计</w:t>
            </w:r>
          </w:p>
        </w:tc>
        <w:tc>
          <w:tcPr>
            <w:tcW w:w="1320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5727</w:t>
            </w:r>
          </w:p>
        </w:tc>
        <w:tc>
          <w:tcPr>
            <w:tcW w:w="1470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98.46%</w:t>
            </w:r>
          </w:p>
        </w:tc>
        <w:tc>
          <w:tcPr>
            <w:tcW w:w="1490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0.49%</w:t>
            </w:r>
          </w:p>
        </w:tc>
        <w:tc>
          <w:tcPr>
            <w:tcW w:w="1490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0.75%</w:t>
            </w:r>
          </w:p>
        </w:tc>
        <w:tc>
          <w:tcPr>
            <w:tcW w:w="1329" w:type="dxa"/>
            <w:tcBorders>
              <w:top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0.30%</w:t>
            </w:r>
          </w:p>
        </w:tc>
      </w:tr>
    </w:tbl>
    <w:p>
      <w:pPr>
        <w:spacing w:before="156" w:beforeLines="50" w:line="240" w:lineRule="exact"/>
        <w:ind w:firstLine="360" w:firstLineChars="200"/>
        <w:rPr>
          <w:rFonts w:ascii="Times New Roman" w:hAnsi="Times New Roman" w:eastAsia="仿宋" w:cs="Times New Roman"/>
          <w:sz w:val="18"/>
          <w:szCs w:val="18"/>
        </w:rPr>
      </w:pPr>
      <w:r>
        <w:rPr>
          <w:rFonts w:ascii="Times New Roman" w:hAnsi="Times New Roman" w:eastAsia="仿宋" w:cs="Times New Roman"/>
          <w:sz w:val="18"/>
          <w:szCs w:val="18"/>
        </w:rPr>
        <w:t>数据来源：重庆海关总贸易司署统计科</w:t>
      </w:r>
      <w:r>
        <w:rPr>
          <w:rFonts w:hint="eastAsia" w:ascii="Times New Roman" w:hAnsi="Times New Roman" w:eastAsia="仿宋" w:cs="Times New Roman"/>
          <w:sz w:val="18"/>
          <w:szCs w:val="18"/>
          <w:lang w:eastAsia="zh-CN"/>
        </w:rPr>
        <w:t>，</w:t>
      </w:r>
      <w:r>
        <w:rPr>
          <w:rFonts w:ascii="Times New Roman" w:hAnsi="Times New Roman" w:eastAsia="仿宋" w:cs="Times New Roman"/>
          <w:sz w:val="18"/>
          <w:szCs w:val="18"/>
        </w:rPr>
        <w:t>《战时消费税国货类别</w:t>
      </w:r>
      <w:r>
        <w:rPr>
          <w:rFonts w:ascii="Times New Roman" w:hAnsi="Times New Roman" w:eastAsia="仿宋" w:cs="Times New Roman"/>
          <w:color w:val="FF0000"/>
          <w:sz w:val="18"/>
          <w:szCs w:val="18"/>
        </w:rPr>
        <w:t>税收</w:t>
      </w:r>
      <w:r>
        <w:rPr>
          <w:rFonts w:ascii="Times New Roman" w:hAnsi="Times New Roman" w:eastAsia="仿宋" w:cs="Times New Roman"/>
          <w:sz w:val="18"/>
          <w:szCs w:val="18"/>
        </w:rPr>
        <w:t>统计表》，国家图书馆出版社，2011年。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spacing w:before="156" w:beforeLines="50" w:after="156" w:afterLines="50"/>
        <w:ind w:firstLine="221" w:firstLineChars="100"/>
        <w:jc w:val="center"/>
        <w:rPr>
          <w:rFonts w:hint="default" w:ascii="Times New Roman" w:hAnsi="Times New Roman" w:eastAsia="仿宋" w:cs="Times New Roman"/>
          <w:b/>
          <w:bCs/>
          <w:sz w:val="22"/>
          <w:szCs w:val="22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sz w:val="22"/>
          <w:szCs w:val="22"/>
        </w:rPr>
        <w:t>附表</w:t>
      </w:r>
      <w:r>
        <w:rPr>
          <w:rFonts w:hint="eastAsia" w:ascii="Times New Roman" w:hAnsi="Times New Roman" w:eastAsia="仿宋" w:cs="Times New Roman"/>
          <w:b/>
          <w:bCs/>
          <w:sz w:val="22"/>
          <w:szCs w:val="22"/>
          <w:lang w:val="en-US" w:eastAsia="zh-CN"/>
        </w:rPr>
        <w:t xml:space="preserve">3 </w:t>
      </w:r>
      <w:r>
        <w:rPr>
          <w:rFonts w:hint="eastAsia" w:ascii="Times New Roman" w:hAnsi="Times New Roman" w:eastAsia="仿宋" w:cs="Times New Roman"/>
          <w:b/>
          <w:bCs/>
          <w:sz w:val="22"/>
          <w:szCs w:val="22"/>
        </w:rPr>
        <w:t>排除长沙、宜昌、沙市关别样本</w:t>
      </w:r>
      <w:r>
        <w:rPr>
          <w:rFonts w:hint="eastAsia" w:ascii="Times New Roman" w:hAnsi="Times New Roman" w:eastAsia="仿宋" w:cs="Times New Roman"/>
          <w:b/>
          <w:bCs/>
          <w:sz w:val="22"/>
          <w:szCs w:val="22"/>
          <w:lang w:val="en-US" w:eastAsia="zh-CN"/>
        </w:rPr>
        <w:t>的稳健性检验</w:t>
      </w:r>
    </w:p>
    <w:tbl>
      <w:tblPr>
        <w:tblStyle w:val="4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0"/>
        <w:gridCol w:w="1169"/>
        <w:gridCol w:w="971"/>
        <w:gridCol w:w="973"/>
        <w:gridCol w:w="971"/>
        <w:gridCol w:w="971"/>
        <w:gridCol w:w="9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381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869" w:type="pct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ln</w:t>
            </w:r>
            <w:r>
              <w:rPr>
                <w:rStyle w:val="7"/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（名义消费税额）</w:t>
            </w:r>
          </w:p>
        </w:tc>
        <w:tc>
          <w:tcPr>
            <w:tcW w:w="1749" w:type="pct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ln</w:t>
            </w:r>
            <w:r>
              <w:rPr>
                <w:rStyle w:val="7"/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（实际消费税额）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38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(1)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(2)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(3)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(4)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(5)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(6)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381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消费</w:t>
            </w:r>
            <w:r>
              <w:rPr>
                <w:rFonts w:ascii="Times New Roman" w:hAnsi="Times New Roman" w:eastAsia="仿宋" w:cs="Times New Roman"/>
                <w:sz w:val="21"/>
                <w:szCs w:val="21"/>
              </w:rPr>
              <w:t>税率</w:t>
            </w:r>
          </w:p>
        </w:tc>
        <w:tc>
          <w:tcPr>
            <w:tcW w:w="702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2.349***</w:t>
            </w: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7.098***</w:t>
            </w: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6.121***</w:t>
            </w: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2.349***</w:t>
            </w: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6.042***</w:t>
            </w: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4.916***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  <w:jc w:val="center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(0.662)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(1.189)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(1.241)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(0.662)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(1.307)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(1.372)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名义需求价格弹性</w:t>
            </w: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×</w:t>
            </w:r>
            <w:r>
              <w:rPr>
                <w:rStyle w:val="8"/>
                <w:rFonts w:eastAsia="仿宋"/>
                <w:color w:val="auto"/>
                <w:sz w:val="21"/>
                <w:szCs w:val="21"/>
              </w:rPr>
              <w:t>消费</w:t>
            </w:r>
            <w:r>
              <w:rPr>
                <w:rStyle w:val="7"/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税率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-13.074***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-11.511***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(2.798)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(2.907)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名义需求价格弹性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1.108***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0.923***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(0.335)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(0.348)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实际需求价格弹性</w:t>
            </w: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×</w:t>
            </w:r>
            <w:r>
              <w:rPr>
                <w:rStyle w:val="8"/>
                <w:rFonts w:eastAsia="仿宋"/>
                <w:color w:val="auto"/>
                <w:sz w:val="21"/>
                <w:szCs w:val="21"/>
              </w:rPr>
              <w:t>消费</w:t>
            </w:r>
            <w:r>
              <w:rPr>
                <w:rStyle w:val="7"/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税率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-5.580**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-4.132*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(2.240)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(2.334)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实际需求价格弹性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1.334***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1.160***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(0.278)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(0.290)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常数项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7.468***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7.052***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6.637***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2.406***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1.516***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1.121*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(0.220)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(0.255)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(0.619)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(0.220)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(0.273)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(0.628)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月份固定效应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Yes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Yes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Yes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Yes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Yes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Yes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关别固定效应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Yes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Yes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Yes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Yes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Yes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Yes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月份固定效应×关别固定效应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No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No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Yes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No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No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Yes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观察值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3,213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3,213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3,213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3,213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3,213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3,213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38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Times New Roman"/>
                <w:sz w:val="21"/>
                <w:szCs w:val="21"/>
                <w:vertAlign w:val="superscript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1"/>
                <w:szCs w:val="21"/>
              </w:rPr>
              <w:t>R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1"/>
                <w:szCs w:val="21"/>
                <w:vertAlign w:val="superscript"/>
                <w:lang w:val="en-US" w:eastAsia="zh-CN"/>
              </w:rPr>
              <w:t>2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0.242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0.248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0.314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0.134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0.146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0.220</w:t>
            </w:r>
          </w:p>
        </w:tc>
      </w:tr>
    </w:tbl>
    <w:p>
      <w:pPr>
        <w:ind w:firstLine="360" w:firstLineChars="200"/>
        <w:rPr>
          <w:rFonts w:ascii="Times New Roman" w:hAnsi="Times New Roman" w:eastAsia="仿宋" w:cs="Times New Roman"/>
          <w:sz w:val="18"/>
          <w:szCs w:val="18"/>
        </w:rPr>
      </w:pPr>
      <w:r>
        <w:rPr>
          <w:rFonts w:ascii="Times New Roman" w:hAnsi="Times New Roman" w:eastAsia="仿宋" w:cs="Times New Roman"/>
          <w:sz w:val="18"/>
          <w:szCs w:val="18"/>
        </w:rPr>
        <w:t>注：需求价格弹性取绝对值。***代表</w:t>
      </w:r>
      <w:r>
        <w:rPr>
          <w:rFonts w:ascii="Times New Roman" w:hAnsi="Times New Roman" w:eastAsia="仿宋" w:cs="Times New Roman"/>
          <w:i/>
          <w:iCs/>
          <w:sz w:val="18"/>
          <w:szCs w:val="18"/>
        </w:rPr>
        <w:t>p</w:t>
      </w:r>
      <w:r>
        <w:rPr>
          <w:rFonts w:ascii="Times New Roman" w:hAnsi="Times New Roman" w:eastAsia="仿宋" w:cs="Times New Roman"/>
          <w:sz w:val="18"/>
          <w:szCs w:val="18"/>
        </w:rPr>
        <w:t>&lt;0.01, **代表</w:t>
      </w:r>
      <w:r>
        <w:rPr>
          <w:rFonts w:ascii="Times New Roman" w:hAnsi="Times New Roman" w:eastAsia="仿宋" w:cs="Times New Roman"/>
          <w:i/>
          <w:iCs/>
          <w:sz w:val="18"/>
          <w:szCs w:val="18"/>
        </w:rPr>
        <w:t>p</w:t>
      </w:r>
      <w:r>
        <w:rPr>
          <w:rFonts w:ascii="Times New Roman" w:hAnsi="Times New Roman" w:eastAsia="仿宋" w:cs="Times New Roman"/>
          <w:sz w:val="18"/>
          <w:szCs w:val="18"/>
        </w:rPr>
        <w:t>&lt;0.05, *代表</w:t>
      </w:r>
      <w:r>
        <w:rPr>
          <w:rFonts w:ascii="Times New Roman" w:hAnsi="Times New Roman" w:eastAsia="仿宋" w:cs="Times New Roman"/>
          <w:i/>
          <w:iCs/>
          <w:sz w:val="18"/>
          <w:szCs w:val="18"/>
        </w:rPr>
        <w:t>p</w:t>
      </w:r>
      <w:r>
        <w:rPr>
          <w:rFonts w:ascii="Times New Roman" w:hAnsi="Times New Roman" w:eastAsia="仿宋" w:cs="Times New Roman"/>
          <w:sz w:val="18"/>
          <w:szCs w:val="18"/>
        </w:rPr>
        <w:t>&lt;0.1。</w:t>
      </w:r>
    </w:p>
    <w:p>
      <w:pPr>
        <w:ind w:firstLine="420" w:firstLineChars="200"/>
        <w:rPr>
          <w:rFonts w:ascii="Times New Roman" w:hAnsi="Times New Roman" w:eastAsia="仿宋" w:cs="Times New Roman"/>
          <w:sz w:val="21"/>
          <w:szCs w:val="21"/>
        </w:rPr>
      </w:pPr>
    </w:p>
    <w:p>
      <w:pPr>
        <w:ind w:firstLine="420" w:firstLineChars="200"/>
        <w:rPr>
          <w:rFonts w:ascii="Times New Roman" w:hAnsi="Times New Roman" w:eastAsia="仿宋" w:cs="Times New Roman"/>
          <w:sz w:val="21"/>
          <w:szCs w:val="21"/>
        </w:rPr>
      </w:pPr>
    </w:p>
    <w:p>
      <w:pPr>
        <w:ind w:firstLine="420" w:firstLineChars="200"/>
        <w:rPr>
          <w:rFonts w:ascii="Times New Roman" w:hAnsi="Times New Roman" w:eastAsia="仿宋" w:cs="Times New Roman"/>
          <w:sz w:val="21"/>
          <w:szCs w:val="21"/>
        </w:rPr>
      </w:pPr>
    </w:p>
    <w:p>
      <w:pPr>
        <w:ind w:firstLine="420" w:firstLineChars="200"/>
        <w:rPr>
          <w:rFonts w:ascii="Times New Roman" w:hAnsi="Times New Roman" w:eastAsia="仿宋" w:cs="Times New Roman"/>
          <w:sz w:val="21"/>
          <w:szCs w:val="21"/>
        </w:rPr>
      </w:pPr>
    </w:p>
    <w:p>
      <w:pPr>
        <w:ind w:firstLine="420" w:firstLineChars="200"/>
        <w:rPr>
          <w:rFonts w:ascii="Times New Roman" w:hAnsi="Times New Roman" w:eastAsia="仿宋" w:cs="Times New Roman"/>
          <w:sz w:val="21"/>
          <w:szCs w:val="21"/>
        </w:rPr>
      </w:pPr>
    </w:p>
    <w:p>
      <w:pPr>
        <w:ind w:firstLine="420" w:firstLineChars="200"/>
        <w:rPr>
          <w:rFonts w:ascii="Times New Roman" w:hAnsi="Times New Roman" w:eastAsia="仿宋" w:cs="Times New Roman"/>
          <w:sz w:val="21"/>
          <w:szCs w:val="21"/>
        </w:rPr>
      </w:pPr>
    </w:p>
    <w:p>
      <w:pPr>
        <w:ind w:firstLine="420" w:firstLineChars="200"/>
        <w:rPr>
          <w:rFonts w:ascii="Times New Roman" w:hAnsi="Times New Roman" w:eastAsia="仿宋" w:cs="Times New Roman"/>
          <w:sz w:val="21"/>
          <w:szCs w:val="21"/>
        </w:rPr>
      </w:pPr>
    </w:p>
    <w:p>
      <w:pPr>
        <w:ind w:firstLine="420" w:firstLineChars="200"/>
        <w:rPr>
          <w:rFonts w:ascii="Times New Roman" w:hAnsi="Times New Roman" w:eastAsia="仿宋" w:cs="Times New Roman"/>
          <w:sz w:val="21"/>
          <w:szCs w:val="21"/>
        </w:rPr>
      </w:pPr>
    </w:p>
    <w:p>
      <w:pPr>
        <w:ind w:firstLine="420" w:firstLineChars="200"/>
        <w:rPr>
          <w:rFonts w:ascii="Times New Roman" w:hAnsi="Times New Roman" w:eastAsia="仿宋" w:cs="Times New Roman"/>
          <w:sz w:val="21"/>
          <w:szCs w:val="21"/>
        </w:rPr>
      </w:pPr>
    </w:p>
    <w:p>
      <w:pPr>
        <w:ind w:firstLine="420" w:firstLineChars="200"/>
        <w:rPr>
          <w:rFonts w:ascii="Times New Roman" w:hAnsi="Times New Roman" w:eastAsia="仿宋" w:cs="Times New Roman"/>
          <w:sz w:val="21"/>
          <w:szCs w:val="21"/>
        </w:rPr>
      </w:pPr>
    </w:p>
    <w:p>
      <w:pPr>
        <w:ind w:firstLine="420" w:firstLineChars="200"/>
        <w:rPr>
          <w:rFonts w:ascii="Times New Roman" w:hAnsi="Times New Roman" w:eastAsia="仿宋" w:cs="Times New Roman"/>
          <w:sz w:val="21"/>
          <w:szCs w:val="21"/>
        </w:rPr>
      </w:pPr>
    </w:p>
    <w:p>
      <w:pPr>
        <w:ind w:firstLine="420" w:firstLineChars="200"/>
        <w:rPr>
          <w:rFonts w:ascii="Times New Roman" w:hAnsi="Times New Roman" w:eastAsia="仿宋" w:cs="Times New Roman"/>
          <w:sz w:val="21"/>
          <w:szCs w:val="21"/>
        </w:rPr>
      </w:pPr>
    </w:p>
    <w:p>
      <w:pPr>
        <w:ind w:firstLine="420" w:firstLineChars="200"/>
        <w:rPr>
          <w:rFonts w:ascii="Times New Roman" w:hAnsi="Times New Roman" w:eastAsia="仿宋" w:cs="Times New Roman"/>
          <w:sz w:val="21"/>
          <w:szCs w:val="21"/>
        </w:rPr>
      </w:pPr>
    </w:p>
    <w:p>
      <w:pPr>
        <w:ind w:firstLine="420" w:firstLineChars="200"/>
        <w:rPr>
          <w:rFonts w:ascii="Times New Roman" w:hAnsi="Times New Roman" w:eastAsia="仿宋" w:cs="Times New Roman"/>
          <w:sz w:val="21"/>
          <w:szCs w:val="21"/>
        </w:rPr>
      </w:pPr>
    </w:p>
    <w:p>
      <w:pPr>
        <w:ind w:firstLine="420" w:firstLineChars="200"/>
        <w:rPr>
          <w:rFonts w:ascii="Times New Roman" w:hAnsi="Times New Roman" w:eastAsia="仿宋" w:cs="Times New Roman"/>
          <w:sz w:val="21"/>
          <w:szCs w:val="21"/>
        </w:rPr>
      </w:pPr>
    </w:p>
    <w:p>
      <w:pPr>
        <w:ind w:firstLine="420" w:firstLineChars="200"/>
        <w:rPr>
          <w:rFonts w:ascii="Times New Roman" w:hAnsi="Times New Roman" w:eastAsia="仿宋" w:cs="Times New Roman"/>
          <w:sz w:val="21"/>
          <w:szCs w:val="21"/>
        </w:rPr>
      </w:pPr>
    </w:p>
    <w:p>
      <w:pPr>
        <w:ind w:firstLine="420" w:firstLineChars="200"/>
        <w:rPr>
          <w:rFonts w:ascii="Times New Roman" w:hAnsi="Times New Roman" w:eastAsia="仿宋" w:cs="Times New Roman"/>
          <w:sz w:val="21"/>
          <w:szCs w:val="21"/>
        </w:rPr>
      </w:pPr>
    </w:p>
    <w:p>
      <w:pPr>
        <w:ind w:firstLine="420" w:firstLineChars="200"/>
        <w:rPr>
          <w:rFonts w:ascii="Times New Roman" w:hAnsi="Times New Roman" w:eastAsia="仿宋" w:cs="Times New Roman"/>
          <w:sz w:val="21"/>
          <w:szCs w:val="21"/>
        </w:rPr>
      </w:pPr>
    </w:p>
    <w:p>
      <w:pPr>
        <w:ind w:firstLine="420" w:firstLineChars="200"/>
        <w:rPr>
          <w:rFonts w:ascii="Times New Roman" w:hAnsi="Times New Roman" w:eastAsia="仿宋" w:cs="Times New Roman"/>
          <w:sz w:val="21"/>
          <w:szCs w:val="21"/>
        </w:rPr>
      </w:pPr>
    </w:p>
    <w:p>
      <w:pPr>
        <w:spacing w:before="156" w:beforeLines="50" w:after="156" w:afterLines="50"/>
        <w:ind w:firstLine="221" w:firstLineChars="100"/>
        <w:jc w:val="center"/>
        <w:rPr>
          <w:rFonts w:hint="default" w:ascii="Times New Roman" w:hAnsi="Times New Roman" w:eastAsia="仿宋" w:cs="Times New Roman"/>
          <w:b/>
          <w:bCs/>
          <w:sz w:val="22"/>
          <w:szCs w:val="22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sz w:val="22"/>
          <w:szCs w:val="22"/>
        </w:rPr>
        <w:t>附表</w:t>
      </w:r>
      <w:r>
        <w:rPr>
          <w:rFonts w:hint="eastAsia" w:ascii="Times New Roman" w:hAnsi="Times New Roman" w:eastAsia="仿宋" w:cs="Times New Roman"/>
          <w:b/>
          <w:bCs/>
          <w:sz w:val="22"/>
          <w:szCs w:val="22"/>
          <w:lang w:val="en-US" w:eastAsia="zh-CN"/>
        </w:rPr>
        <w:t xml:space="preserve">4 </w:t>
      </w:r>
      <w:r>
        <w:rPr>
          <w:rFonts w:hint="eastAsia" w:ascii="Times New Roman" w:hAnsi="Times New Roman" w:eastAsia="仿宋" w:cs="Times New Roman"/>
          <w:b/>
          <w:bCs/>
          <w:sz w:val="22"/>
          <w:szCs w:val="22"/>
        </w:rPr>
        <w:t>排除南宁、龙州、思茅、昆明关别样本</w:t>
      </w:r>
      <w:r>
        <w:rPr>
          <w:rFonts w:hint="eastAsia" w:ascii="Times New Roman" w:hAnsi="Times New Roman" w:eastAsia="仿宋" w:cs="Times New Roman"/>
          <w:b/>
          <w:bCs/>
          <w:sz w:val="22"/>
          <w:szCs w:val="22"/>
          <w:lang w:val="en-US" w:eastAsia="zh-CN"/>
        </w:rPr>
        <w:t>的稳健性检验</w:t>
      </w:r>
    </w:p>
    <w:tbl>
      <w:tblPr>
        <w:tblStyle w:val="4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0"/>
        <w:gridCol w:w="1109"/>
        <w:gridCol w:w="971"/>
        <w:gridCol w:w="973"/>
        <w:gridCol w:w="971"/>
        <w:gridCol w:w="1063"/>
        <w:gridCol w:w="8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417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1833" w:type="pct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ln</w:t>
            </w:r>
            <w:r>
              <w:rPr>
                <w:rStyle w:val="7"/>
                <w:rFonts w:hint="default" w:ascii="Times New Roman" w:hAnsi="Times New Roman" w:eastAsia="仿宋" w:cs="Times New Roman"/>
                <w:color w:val="auto"/>
                <w:sz w:val="20"/>
                <w:szCs w:val="20"/>
              </w:rPr>
              <w:t>（名义消费税额）</w:t>
            </w:r>
          </w:p>
        </w:tc>
        <w:tc>
          <w:tcPr>
            <w:tcW w:w="1749" w:type="pct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ln</w:t>
            </w:r>
            <w:r>
              <w:rPr>
                <w:rStyle w:val="7"/>
                <w:rFonts w:hint="default" w:ascii="Times New Roman" w:hAnsi="Times New Roman" w:eastAsia="仿宋" w:cs="Times New Roman"/>
                <w:color w:val="auto"/>
                <w:sz w:val="20"/>
                <w:szCs w:val="20"/>
              </w:rPr>
              <w:t>（实际消费税额）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41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(1)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(2)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(3)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(4)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(5)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(6)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417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消费</w:t>
            </w: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税率</w:t>
            </w:r>
          </w:p>
        </w:tc>
        <w:tc>
          <w:tcPr>
            <w:tcW w:w="665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2.066***</w:t>
            </w: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8.061***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7.484***</w:t>
            </w: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2.066***</w:t>
            </w:r>
          </w:p>
        </w:tc>
        <w:tc>
          <w:tcPr>
            <w:tcW w:w="638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7.620***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6.941***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  <w:jc w:val="center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(0.670)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(1.194)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(1.237)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(0.670)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(1.313)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(1.369)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名义需求价格弹性</w:t>
            </w:r>
            <w:r>
              <w:rPr>
                <w:rStyle w:val="8"/>
                <w:rFonts w:hint="eastAsia" w:eastAsia="仿宋"/>
                <w:color w:val="auto"/>
                <w:sz w:val="20"/>
                <w:szCs w:val="20"/>
                <w:lang w:val="en-US" w:eastAsia="zh-CN"/>
              </w:rPr>
              <w:t>×</w:t>
            </w:r>
            <w:r>
              <w:rPr>
                <w:rStyle w:val="8"/>
                <w:rFonts w:eastAsia="仿宋"/>
                <w:color w:val="auto"/>
                <w:sz w:val="20"/>
                <w:szCs w:val="20"/>
              </w:rPr>
              <w:t>消费</w:t>
            </w:r>
            <w:r>
              <w:rPr>
                <w:rStyle w:val="7"/>
                <w:rFonts w:hint="default" w:ascii="Times New Roman" w:hAnsi="Times New Roman" w:eastAsia="仿宋" w:cs="Times New Roman"/>
                <w:color w:val="auto"/>
                <w:sz w:val="20"/>
                <w:szCs w:val="20"/>
              </w:rPr>
              <w:t>税率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-16.409***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-15.719***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(2.866)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(2.959)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名义需求价格弹性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1.063***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0.979***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(0.345)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(0.357)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实际需求价格弹性</w:t>
            </w:r>
            <w:r>
              <w:rPr>
                <w:rStyle w:val="8"/>
                <w:rFonts w:hint="eastAsia" w:eastAsia="仿宋"/>
                <w:color w:val="auto"/>
                <w:sz w:val="20"/>
                <w:szCs w:val="20"/>
                <w:lang w:val="en-US" w:eastAsia="zh-CN"/>
              </w:rPr>
              <w:t>×</w:t>
            </w:r>
            <w:r>
              <w:rPr>
                <w:rStyle w:val="8"/>
                <w:rFonts w:eastAsia="仿宋"/>
                <w:color w:val="auto"/>
                <w:sz w:val="20"/>
                <w:szCs w:val="20"/>
              </w:rPr>
              <w:t>消费</w:t>
            </w:r>
            <w:r>
              <w:rPr>
                <w:rStyle w:val="7"/>
                <w:rFonts w:hint="default" w:ascii="Times New Roman" w:hAnsi="Times New Roman" w:eastAsia="仿宋" w:cs="Times New Roman"/>
                <w:color w:val="auto"/>
                <w:sz w:val="20"/>
                <w:szCs w:val="20"/>
              </w:rPr>
              <w:t>税率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-10.326***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-9.590***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(2.272)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(2.353)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实际需求价格弹性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1.512***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1.422***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(0.281)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(0.291)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常数项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7.392***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7.032***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7.163***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2.330***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1.440***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1.816**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(0.241)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(0.272)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(0.884)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(0.241)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(0.291)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(0.895)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月份固定效应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Yes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Yes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Yes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Yes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Yes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关别固定效应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Yes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Yes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Yes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Yes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Yes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Yes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月份固定效应×关别固定效应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No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No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Yes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No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No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Yes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观察值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3,140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3,140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3,140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3,140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3,140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3,140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417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Times New Roman"/>
                <w:sz w:val="20"/>
                <w:szCs w:val="20"/>
                <w:vertAlign w:val="superscript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0"/>
                <w:szCs w:val="20"/>
              </w:rPr>
              <w:t>R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0"/>
                <w:szCs w:val="20"/>
                <w:vertAlign w:val="superscript"/>
                <w:lang w:val="en-US" w:eastAsia="zh-CN"/>
              </w:rPr>
              <w:t>2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0.229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0.244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0.312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0.151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0.159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0.234</w:t>
            </w:r>
          </w:p>
        </w:tc>
      </w:tr>
    </w:tbl>
    <w:p>
      <w:pPr>
        <w:ind w:firstLine="360" w:firstLineChars="200"/>
        <w:rPr>
          <w:rFonts w:ascii="Times New Roman" w:hAnsi="Times New Roman" w:eastAsia="仿宋" w:cs="Times New Roman"/>
          <w:sz w:val="18"/>
          <w:szCs w:val="18"/>
        </w:rPr>
      </w:pPr>
      <w:r>
        <w:rPr>
          <w:rFonts w:ascii="Times New Roman" w:hAnsi="Times New Roman" w:eastAsia="仿宋" w:cs="Times New Roman"/>
          <w:sz w:val="18"/>
          <w:szCs w:val="18"/>
        </w:rPr>
        <w:t>注：需求价格弹性取绝对值。***代表</w:t>
      </w:r>
      <w:r>
        <w:rPr>
          <w:rFonts w:ascii="Times New Roman" w:hAnsi="Times New Roman" w:eastAsia="仿宋" w:cs="Times New Roman"/>
          <w:i/>
          <w:iCs/>
          <w:sz w:val="18"/>
          <w:szCs w:val="18"/>
        </w:rPr>
        <w:t>p</w:t>
      </w:r>
      <w:r>
        <w:rPr>
          <w:rFonts w:ascii="Times New Roman" w:hAnsi="Times New Roman" w:eastAsia="仿宋" w:cs="Times New Roman"/>
          <w:sz w:val="18"/>
          <w:szCs w:val="18"/>
        </w:rPr>
        <w:t>&lt;0.01, **代表</w:t>
      </w:r>
      <w:r>
        <w:rPr>
          <w:rFonts w:ascii="Times New Roman" w:hAnsi="Times New Roman" w:eastAsia="仿宋" w:cs="Times New Roman"/>
          <w:i/>
          <w:iCs/>
          <w:sz w:val="18"/>
          <w:szCs w:val="18"/>
        </w:rPr>
        <w:t>p</w:t>
      </w:r>
      <w:r>
        <w:rPr>
          <w:rFonts w:ascii="Times New Roman" w:hAnsi="Times New Roman" w:eastAsia="仿宋" w:cs="Times New Roman"/>
          <w:sz w:val="18"/>
          <w:szCs w:val="18"/>
        </w:rPr>
        <w:t>&lt;0.05, *代表</w:t>
      </w:r>
      <w:r>
        <w:rPr>
          <w:rFonts w:ascii="Times New Roman" w:hAnsi="Times New Roman" w:eastAsia="仿宋" w:cs="Times New Roman"/>
          <w:i/>
          <w:iCs/>
          <w:sz w:val="18"/>
          <w:szCs w:val="18"/>
        </w:rPr>
        <w:t>p</w:t>
      </w:r>
      <w:r>
        <w:rPr>
          <w:rFonts w:ascii="Times New Roman" w:hAnsi="Times New Roman" w:eastAsia="仿宋" w:cs="Times New Roman"/>
          <w:sz w:val="18"/>
          <w:szCs w:val="18"/>
        </w:rPr>
        <w:t>&lt;0.1。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spacing w:before="156" w:beforeLines="50" w:after="156" w:afterLines="50"/>
        <w:ind w:firstLine="221" w:firstLineChars="100"/>
        <w:jc w:val="center"/>
        <w:rPr>
          <w:rFonts w:hint="default" w:ascii="Times New Roman" w:hAnsi="Times New Roman" w:eastAsia="仿宋" w:cs="Times New Roman"/>
          <w:b/>
          <w:bCs/>
          <w:sz w:val="22"/>
          <w:szCs w:val="22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sz w:val="22"/>
          <w:szCs w:val="22"/>
        </w:rPr>
        <w:t>附表</w:t>
      </w:r>
      <w:r>
        <w:rPr>
          <w:rFonts w:hint="eastAsia" w:ascii="Times New Roman" w:hAnsi="Times New Roman" w:eastAsia="仿宋" w:cs="Times New Roman"/>
          <w:b/>
          <w:bCs/>
          <w:sz w:val="22"/>
          <w:szCs w:val="22"/>
          <w:lang w:val="en-US" w:eastAsia="zh-CN"/>
        </w:rPr>
        <w:t>5</w:t>
      </w:r>
      <w:r>
        <w:rPr>
          <w:rFonts w:ascii="Times New Roman" w:hAnsi="Times New Roman" w:eastAsia="仿宋" w:cs="Times New Roman"/>
          <w:b/>
          <w:bCs/>
          <w:sz w:val="22"/>
          <w:szCs w:val="22"/>
        </w:rPr>
        <w:t xml:space="preserve">  </w:t>
      </w:r>
      <w:r>
        <w:rPr>
          <w:rFonts w:hint="eastAsia" w:ascii="Times New Roman" w:hAnsi="Times New Roman" w:eastAsia="仿宋" w:cs="Times New Roman"/>
          <w:b/>
          <w:bCs/>
          <w:sz w:val="22"/>
          <w:szCs w:val="22"/>
        </w:rPr>
        <w:t>税率与税收的中介效应（考虑税收及销售额动态变化）</w:t>
      </w:r>
    </w:p>
    <w:tbl>
      <w:tblPr>
        <w:tblStyle w:val="4"/>
        <w:tblW w:w="920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9"/>
        <w:gridCol w:w="1233"/>
        <w:gridCol w:w="1077"/>
        <w:gridCol w:w="1198"/>
        <w:gridCol w:w="1208"/>
        <w:gridCol w:w="1109"/>
        <w:gridCol w:w="11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225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35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Style w:val="8"/>
                <w:rFonts w:eastAsia="仿宋"/>
                <w:color w:val="auto"/>
                <w:sz w:val="20"/>
                <w:szCs w:val="20"/>
                <w:lang w:bidi="ar"/>
              </w:rPr>
              <w:t>名义变量</w:t>
            </w:r>
          </w:p>
        </w:tc>
        <w:tc>
          <w:tcPr>
            <w:tcW w:w="34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Style w:val="8"/>
                <w:rFonts w:eastAsia="仿宋"/>
                <w:color w:val="auto"/>
                <w:sz w:val="20"/>
                <w:szCs w:val="20"/>
                <w:lang w:bidi="ar"/>
              </w:rPr>
              <w:t>实际变量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  <w:lang w:bidi="ar"/>
              </w:rPr>
              <w:t>ln</w:t>
            </w:r>
            <w:r>
              <w:rPr>
                <w:rStyle w:val="8"/>
                <w:rFonts w:eastAsia="仿宋"/>
                <w:color w:val="auto"/>
                <w:sz w:val="20"/>
                <w:szCs w:val="20"/>
                <w:lang w:bidi="ar"/>
              </w:rPr>
              <w:t>（消费税额）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  <w:lang w:bidi="ar"/>
              </w:rPr>
              <w:t>ln</w:t>
            </w:r>
            <w:r>
              <w:rPr>
                <w:rStyle w:val="8"/>
                <w:rFonts w:eastAsia="仿宋"/>
                <w:color w:val="auto"/>
                <w:sz w:val="20"/>
                <w:szCs w:val="20"/>
                <w:lang w:bidi="ar"/>
              </w:rPr>
              <w:t>（消费额）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  <w:lang w:bidi="ar"/>
              </w:rPr>
              <w:t>ln</w:t>
            </w:r>
            <w:r>
              <w:rPr>
                <w:rStyle w:val="8"/>
                <w:rFonts w:eastAsia="仿宋"/>
                <w:color w:val="auto"/>
                <w:sz w:val="20"/>
                <w:szCs w:val="20"/>
                <w:lang w:bidi="ar"/>
              </w:rPr>
              <w:t>（消费税额）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  <w:lang w:bidi="ar"/>
              </w:rPr>
              <w:t>ln</w:t>
            </w:r>
            <w:r>
              <w:rPr>
                <w:rStyle w:val="8"/>
                <w:rFonts w:eastAsia="仿宋"/>
                <w:color w:val="auto"/>
                <w:sz w:val="20"/>
                <w:szCs w:val="20"/>
                <w:lang w:bidi="ar"/>
              </w:rPr>
              <w:t>（消费税额）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  <w:lang w:bidi="ar"/>
              </w:rPr>
              <w:t>ln</w:t>
            </w:r>
            <w:r>
              <w:rPr>
                <w:rStyle w:val="8"/>
                <w:rFonts w:eastAsia="仿宋"/>
                <w:color w:val="auto"/>
                <w:sz w:val="20"/>
                <w:szCs w:val="20"/>
                <w:lang w:bidi="ar"/>
              </w:rPr>
              <w:t>（消费额）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  <w:lang w:bidi="ar"/>
              </w:rPr>
              <w:t>ln</w:t>
            </w:r>
            <w:r>
              <w:rPr>
                <w:rStyle w:val="8"/>
                <w:rFonts w:eastAsia="仿宋"/>
                <w:color w:val="auto"/>
                <w:sz w:val="20"/>
                <w:szCs w:val="20"/>
                <w:lang w:bidi="ar"/>
              </w:rPr>
              <w:t>（消费税额）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(1)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(2)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(3)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(4)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(5)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  <w:t>(6)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225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Style w:val="8"/>
                <w:rFonts w:eastAsia="仿宋"/>
                <w:color w:val="auto"/>
                <w:sz w:val="20"/>
                <w:szCs w:val="20"/>
                <w:lang w:bidi="ar"/>
              </w:rPr>
              <w:t>消费税率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0.277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-1.909***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7.751***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0.359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-1.762***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7.752***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(0.436)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(0.443)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(0.046)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(0.440)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(0.447)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(0.046)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  <w:lang w:bidi="ar"/>
              </w:rPr>
              <w:t>ln</w:t>
            </w:r>
            <w:r>
              <w:rPr>
                <w:rStyle w:val="8"/>
                <w:rFonts w:eastAsia="仿宋"/>
                <w:color w:val="auto"/>
                <w:sz w:val="20"/>
                <w:szCs w:val="20"/>
                <w:lang w:bidi="ar"/>
              </w:rPr>
              <w:t>（消费额）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0.988***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0.988***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(0.002)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(0.002)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  <w:lang w:bidi="ar"/>
              </w:rPr>
              <w:t>ln</w:t>
            </w:r>
            <w:r>
              <w:rPr>
                <w:rStyle w:val="8"/>
                <w:rFonts w:eastAsia="仿宋"/>
                <w:color w:val="auto"/>
                <w:sz w:val="20"/>
                <w:szCs w:val="20"/>
                <w:lang w:bidi="ar"/>
              </w:rPr>
              <w:t>（消费税额）（</w:t>
            </w:r>
            <w:r>
              <w:rPr>
                <w:rStyle w:val="7"/>
                <w:rFonts w:hint="default" w:ascii="Times New Roman" w:hAnsi="Times New Roman" w:eastAsia="仿宋" w:cs="Times New Roman"/>
                <w:color w:val="auto"/>
                <w:sz w:val="20"/>
                <w:szCs w:val="20"/>
                <w:lang w:bidi="ar"/>
              </w:rPr>
              <w:t>-1</w:t>
            </w:r>
            <w:r>
              <w:rPr>
                <w:rStyle w:val="8"/>
                <w:rFonts w:eastAsia="仿宋"/>
                <w:color w:val="auto"/>
                <w:sz w:val="20"/>
                <w:szCs w:val="20"/>
                <w:lang w:bidi="ar"/>
              </w:rPr>
              <w:t>）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0.759***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0.006***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0.767***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0.006***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(0.012)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(0.002)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(0.012)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(0.002)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0"/>
                <w:lang w:bidi="ar"/>
              </w:rPr>
              <w:t>ln</w:t>
            </w:r>
            <w:r>
              <w:rPr>
                <w:rStyle w:val="8"/>
                <w:rFonts w:eastAsia="仿宋"/>
                <w:color w:val="auto"/>
                <w:sz w:val="20"/>
                <w:szCs w:val="20"/>
                <w:lang w:bidi="ar"/>
              </w:rPr>
              <w:t>（消费额）（</w:t>
            </w:r>
            <w:r>
              <w:rPr>
                <w:rStyle w:val="7"/>
                <w:rFonts w:hint="default" w:ascii="Times New Roman" w:hAnsi="Times New Roman" w:eastAsia="仿宋" w:cs="Times New Roman"/>
                <w:color w:val="auto"/>
                <w:sz w:val="20"/>
                <w:szCs w:val="20"/>
                <w:lang w:bidi="ar"/>
              </w:rPr>
              <w:t>-1</w:t>
            </w:r>
            <w:r>
              <w:rPr>
                <w:rStyle w:val="8"/>
                <w:rFonts w:eastAsia="仿宋"/>
                <w:color w:val="auto"/>
                <w:sz w:val="20"/>
                <w:szCs w:val="20"/>
                <w:lang w:bidi="ar"/>
              </w:rPr>
              <w:t>）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0.758***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0.766***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(0.012)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(0.012)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Style w:val="8"/>
                <w:rFonts w:eastAsia="仿宋"/>
                <w:color w:val="auto"/>
                <w:sz w:val="20"/>
                <w:szCs w:val="20"/>
                <w:lang w:bidi="ar"/>
              </w:rPr>
              <w:t>常数项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2.542*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3.336**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-2.968***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2.068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1.730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-3.008***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(1.373)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(1.386)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(0.138)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(1.383)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(1.393)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(0.137)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Style w:val="8"/>
                <w:rFonts w:eastAsia="仿宋"/>
                <w:color w:val="auto"/>
                <w:sz w:val="20"/>
                <w:szCs w:val="20"/>
                <w:lang w:bidi="ar"/>
              </w:rPr>
              <w:t>月固定效应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Yes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Yes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Yes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Yes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Yes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Yes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Style w:val="8"/>
                <w:rFonts w:eastAsia="仿宋"/>
                <w:color w:val="auto"/>
                <w:sz w:val="20"/>
                <w:szCs w:val="20"/>
                <w:lang w:bidi="ar"/>
              </w:rPr>
              <w:t>关别固定效应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Yes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Yes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Yes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Yes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Yes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Yes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Style w:val="8"/>
                <w:rFonts w:eastAsia="仿宋"/>
                <w:color w:val="auto"/>
                <w:sz w:val="20"/>
                <w:szCs w:val="20"/>
                <w:lang w:bidi="ar"/>
              </w:rPr>
            </w:pPr>
            <w:r>
              <w:rPr>
                <w:rStyle w:val="8"/>
                <w:rFonts w:eastAsia="仿宋"/>
                <w:color w:val="auto"/>
                <w:sz w:val="20"/>
                <w:szCs w:val="20"/>
                <w:lang w:bidi="ar"/>
              </w:rPr>
              <w:t>月固定效应×关别固定效应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Yes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Yes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Yes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Yes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Yes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Yes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Style w:val="8"/>
                <w:rFonts w:eastAsia="仿宋"/>
                <w:color w:val="auto"/>
                <w:sz w:val="20"/>
                <w:szCs w:val="20"/>
                <w:lang w:bidi="ar"/>
              </w:rPr>
              <w:t>观察值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3,336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3,336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3,336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3,336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3,336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3,336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225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Times New Roman"/>
                <w:sz w:val="20"/>
                <w:szCs w:val="20"/>
                <w:vertAlign w:val="superscript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i/>
                <w:iCs/>
                <w:kern w:val="0"/>
                <w:sz w:val="20"/>
                <w:szCs w:val="20"/>
                <w:lang w:bidi="ar"/>
              </w:rPr>
              <w:t>R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0"/>
                <w:szCs w:val="20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0.716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0.722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0.997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0.677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0.683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0.997</w:t>
            </w:r>
          </w:p>
        </w:tc>
      </w:tr>
    </w:tbl>
    <w:p>
      <w:pPr>
        <w:ind w:firstLine="360" w:firstLineChars="200"/>
        <w:rPr>
          <w:rFonts w:ascii="Times New Roman" w:hAnsi="Times New Roman" w:eastAsia="仿宋" w:cs="Times New Roman"/>
          <w:position w:val="-12"/>
          <w:sz w:val="18"/>
          <w:szCs w:val="18"/>
        </w:rPr>
      </w:pPr>
      <w:r>
        <w:rPr>
          <w:rFonts w:ascii="Times New Roman" w:hAnsi="Times New Roman" w:eastAsia="仿宋" w:cs="Times New Roman"/>
          <w:sz w:val="18"/>
          <w:szCs w:val="18"/>
        </w:rPr>
        <w:t>注：***代表</w:t>
      </w:r>
      <w:r>
        <w:rPr>
          <w:rFonts w:ascii="Times New Roman" w:hAnsi="Times New Roman" w:eastAsia="仿宋" w:cs="Times New Roman"/>
          <w:i/>
          <w:iCs/>
          <w:sz w:val="18"/>
          <w:szCs w:val="18"/>
        </w:rPr>
        <w:t>p</w:t>
      </w:r>
      <w:r>
        <w:rPr>
          <w:rFonts w:ascii="Times New Roman" w:hAnsi="Times New Roman" w:eastAsia="仿宋" w:cs="Times New Roman"/>
          <w:sz w:val="18"/>
          <w:szCs w:val="18"/>
        </w:rPr>
        <w:t>&lt;0.01, **代表</w:t>
      </w:r>
      <w:r>
        <w:rPr>
          <w:rFonts w:ascii="Times New Roman" w:hAnsi="Times New Roman" w:eastAsia="仿宋" w:cs="Times New Roman"/>
          <w:i/>
          <w:iCs/>
          <w:sz w:val="18"/>
          <w:szCs w:val="18"/>
        </w:rPr>
        <w:t>p</w:t>
      </w:r>
      <w:r>
        <w:rPr>
          <w:rFonts w:ascii="Times New Roman" w:hAnsi="Times New Roman" w:eastAsia="仿宋" w:cs="Times New Roman"/>
          <w:sz w:val="18"/>
          <w:szCs w:val="18"/>
        </w:rPr>
        <w:t>&lt;0.05, *代表</w:t>
      </w:r>
      <w:r>
        <w:rPr>
          <w:rFonts w:ascii="Times New Roman" w:hAnsi="Times New Roman" w:eastAsia="仿宋" w:cs="Times New Roman"/>
          <w:i/>
          <w:iCs/>
          <w:sz w:val="18"/>
          <w:szCs w:val="18"/>
        </w:rPr>
        <w:t>p</w:t>
      </w:r>
      <w:r>
        <w:rPr>
          <w:rFonts w:ascii="Times New Roman" w:hAnsi="Times New Roman" w:eastAsia="仿宋" w:cs="Times New Roman"/>
          <w:sz w:val="18"/>
          <w:szCs w:val="18"/>
        </w:rPr>
        <w:t>&lt;0.1。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widowControl w:val="0"/>
        <w:ind w:left="-1" w:leftChars="-1" w:hanging="1"/>
        <w:rPr>
          <w:rFonts w:ascii="宋体" w:hAnsi="宋体" w:cs="Arial"/>
          <w:b/>
          <w:bCs/>
          <w:color w:val="auto"/>
          <w:kern w:val="0"/>
          <w:szCs w:val="21"/>
        </w:rPr>
      </w:pPr>
      <w:r>
        <w:rPr>
          <w:rFonts w:hint="eastAsia" w:ascii="Calibri" w:hAnsi="Calibri" w:cs="Times New Roman"/>
          <w:b/>
          <w:color w:val="auto"/>
          <w:szCs w:val="22"/>
        </w:rPr>
        <w:t>注：该附录是期刊所发表论文的组成部分，同样视为作者公开发表的内容。如研究中使用该附录中的内容，</w:t>
      </w:r>
      <w:r>
        <w:rPr>
          <w:rFonts w:hint="eastAsia" w:ascii="宋体" w:hAnsi="宋体" w:cs="Arial"/>
          <w:b/>
          <w:bCs/>
          <w:color w:val="auto"/>
          <w:kern w:val="0"/>
          <w:szCs w:val="21"/>
        </w:rPr>
        <w:t>请务必在研究成果上注明</w:t>
      </w:r>
      <w:r>
        <w:rPr>
          <w:rFonts w:hint="eastAsia" w:ascii="宋体" w:hAnsi="宋体" w:cs="Arial"/>
          <w:b/>
          <w:bCs/>
          <w:color w:val="auto"/>
          <w:kern w:val="0"/>
          <w:szCs w:val="21"/>
          <w:lang w:val="en-US" w:eastAsia="zh-CN"/>
        </w:rPr>
        <w:t>附录</w:t>
      </w:r>
      <w:r>
        <w:rPr>
          <w:rFonts w:hint="eastAsia" w:ascii="宋体" w:hAnsi="宋体" w:cs="Arial"/>
          <w:b/>
          <w:bCs/>
          <w:color w:val="auto"/>
          <w:kern w:val="0"/>
          <w:szCs w:val="21"/>
        </w:rPr>
        <w:t>下载出处</w:t>
      </w:r>
      <w:r>
        <w:rPr>
          <w:rFonts w:hint="eastAsia" w:ascii="宋体" w:hAnsi="宋体" w:cs="Arial"/>
          <w:color w:val="auto"/>
          <w:kern w:val="0"/>
          <w:szCs w:val="21"/>
        </w:rPr>
        <w:t>。</w:t>
      </w:r>
    </w:p>
    <w:p>
      <w:pPr>
        <w:rPr>
          <w:sz w:val="21"/>
          <w:szCs w:val="21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《经济学》（季刊）            轻税能否多收：来自民国战时消费税的证据            第23卷第4期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5YTY5MzAxODJhZDAxMGMwZGQwZTA0ZDg0NjA2ZDkifQ=="/>
  </w:docVars>
  <w:rsids>
    <w:rsidRoot w:val="06D0352B"/>
    <w:rsid w:val="05DD7100"/>
    <w:rsid w:val="06D0352B"/>
    <w:rsid w:val="0992356F"/>
    <w:rsid w:val="13D50C28"/>
    <w:rsid w:val="1D0B56BA"/>
    <w:rsid w:val="27B1129F"/>
    <w:rsid w:val="30D50061"/>
    <w:rsid w:val="3AA402D3"/>
    <w:rsid w:val="46340F2E"/>
    <w:rsid w:val="49296D45"/>
    <w:rsid w:val="4B3B68BB"/>
    <w:rsid w:val="519A07DF"/>
    <w:rsid w:val="51A4340C"/>
    <w:rsid w:val="51C70EA9"/>
    <w:rsid w:val="60AD3785"/>
    <w:rsid w:val="61D53933"/>
    <w:rsid w:val="666D1BC7"/>
    <w:rsid w:val="6A9A4F55"/>
    <w:rsid w:val="6C9360FF"/>
    <w:rsid w:val="78D4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01"/>
    <w:basedOn w:val="5"/>
    <w:qFormat/>
    <w:uiPriority w:val="0"/>
    <w:rPr>
      <w:rFonts w:ascii="仿宋" w:hAnsi="仿宋" w:eastAsia="仿宋" w:cs="仿宋"/>
      <w:color w:val="000000"/>
      <w:sz w:val="18"/>
      <w:szCs w:val="18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2023-07-23T08:22:00Z</dcterms:created>
  <dc:creator>知音</dc:creator>
  <cp:lastModifiedBy>刘京</cp:lastModifiedBy>
  <dcterms:modified xsi:type="dcterms:W3CDTF">2023-07-26T16:55:31Z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69C857CEA77F4E168E2E0F85A84889C6_11</vt:lpwstr>
  </property>
</Properties>
</file>