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仿宋" w:cs="Times New Roman"/>
        </w:rPr>
      </w:pPr>
    </w:p>
    <w:p>
      <w:pPr>
        <w:rPr>
          <w:rFonts w:ascii="Times New Roman" w:hAnsi="Times New Roman" w:eastAsia="仿宋" w:cs="Times New Roman"/>
        </w:rPr>
      </w:pPr>
    </w:p>
    <w:p>
      <w:pPr>
        <w:rPr>
          <w:rFonts w:ascii="Times New Roman" w:hAnsi="Times New Roman" w:eastAsia="仿宋" w:cs="Times New Roman"/>
        </w:rPr>
      </w:pPr>
    </w:p>
    <w:p>
      <w:pPr>
        <w:jc w:val="center"/>
        <w:rPr>
          <w:rFonts w:hint="eastAsia" w:ascii="仿宋" w:hAnsi="仿宋" w:eastAsia="仿宋" w:cs="仿宋"/>
          <w:b/>
          <w:bCs/>
          <w:kern w:val="0"/>
          <w:sz w:val="36"/>
          <w:szCs w:val="36"/>
        </w:rPr>
      </w:pPr>
      <w:r>
        <w:rPr>
          <w:rFonts w:hint="eastAsia" w:ascii="仿宋" w:hAnsi="仿宋" w:eastAsia="仿宋" w:cs="仿宋"/>
          <w:b/>
          <w:bCs/>
          <w:kern w:val="0"/>
          <w:sz w:val="36"/>
          <w:szCs w:val="36"/>
        </w:rPr>
        <w:t>公共服务均等化、教育公平与共同富裕</w:t>
      </w:r>
    </w:p>
    <w:p>
      <w:pPr>
        <w:jc w:val="both"/>
        <w:rPr>
          <w:rFonts w:hint="eastAsia" w:ascii="仿宋" w:hAnsi="仿宋" w:eastAsia="仿宋"/>
          <w:b/>
          <w:bCs/>
          <w:sz w:val="30"/>
          <w:szCs w:val="30"/>
        </w:rPr>
      </w:pPr>
    </w:p>
    <w:p>
      <w:pPr>
        <w:jc w:val="center"/>
        <w:rPr>
          <w:rFonts w:hint="eastAsia" w:ascii="楷体" w:hAnsi="楷体" w:eastAsia="楷体" w:cs="楷体"/>
          <w:b w:val="0"/>
          <w:bCs w:val="0"/>
          <w:sz w:val="28"/>
          <w:szCs w:val="28"/>
        </w:rPr>
      </w:pPr>
      <w:r>
        <w:rPr>
          <w:rFonts w:hint="eastAsia" w:ascii="楷体" w:hAnsi="楷体" w:eastAsia="楷体" w:cs="楷体"/>
          <w:b w:val="0"/>
          <w:bCs w:val="0"/>
          <w:sz w:val="28"/>
          <w:szCs w:val="28"/>
        </w:rPr>
        <w:t>陈斌开 亢延锟 侯嘉奕</w:t>
      </w:r>
    </w:p>
    <w:p>
      <w:pPr>
        <w:rPr>
          <w:rFonts w:hint="eastAsia" w:ascii="仿宋" w:hAnsi="仿宋" w:eastAsia="仿宋"/>
          <w:b/>
          <w:bCs/>
          <w:sz w:val="30"/>
          <w:szCs w:val="30"/>
        </w:rPr>
      </w:pPr>
    </w:p>
    <w:sdt>
      <w:sdtPr>
        <w:rPr>
          <w:rFonts w:ascii="宋体" w:hAnsi="宋体" w:eastAsia="宋体" w:cs="Times New Roman"/>
          <w:kern w:val="2"/>
          <w:sz w:val="21"/>
          <w:szCs w:val="22"/>
          <w:lang w:val="en-US" w:eastAsia="zh-CN" w:bidi="ar-SA"/>
        </w:rPr>
        <w:id w:val="147453596"/>
        <w15:color w:val="DBDBDB"/>
        <w:docPartObj>
          <w:docPartGallery w:val="Table of Contents"/>
          <w:docPartUnique/>
        </w:docPartObj>
      </w:sdtPr>
      <w:sdtEndPr>
        <w:rPr>
          <w:rFonts w:ascii="等线" w:hAnsi="等线" w:eastAsia="等线" w:cs="Times New Roman"/>
          <w:kern w:val="2"/>
          <w:sz w:val="21"/>
          <w:szCs w:val="22"/>
          <w:lang w:val="en-US" w:eastAsia="zh-CN" w:bidi="ar-SA"/>
        </w:rPr>
      </w:sdtEndPr>
      <w:sdtContent>
        <w:p>
          <w:pPr>
            <w:spacing w:before="0" w:beforeLines="0" w:after="0" w:afterLines="0" w:line="240" w:lineRule="auto"/>
            <w:ind w:left="0" w:leftChars="0" w:right="0" w:rightChars="0" w:firstLine="0" w:firstLineChars="0"/>
            <w:jc w:val="center"/>
            <w:rPr>
              <w:rFonts w:hint="eastAsia" w:ascii="仿宋" w:hAnsi="仿宋" w:eastAsia="仿宋" w:cs="仿宋"/>
              <w:b w:val="0"/>
              <w:bCs w:val="0"/>
              <w:kern w:val="0"/>
              <w:sz w:val="36"/>
              <w:szCs w:val="36"/>
              <w:lang w:eastAsia="zh-CN"/>
            </w:rPr>
          </w:pPr>
          <w:bookmarkStart w:id="0" w:name="_Toc7337"/>
          <w:r>
            <w:rPr>
              <w:rFonts w:hint="eastAsia" w:ascii="仿宋" w:hAnsi="仿宋" w:eastAsia="仿宋" w:cs="仿宋"/>
              <w:b/>
              <w:bCs/>
              <w:kern w:val="2"/>
              <w:sz w:val="28"/>
              <w:szCs w:val="28"/>
              <w:lang w:val="en-US" w:eastAsia="zh-CN" w:bidi="ar-SA"/>
            </w:rPr>
            <w:t>目录</w:t>
          </w:r>
        </w:p>
        <w:p>
          <w:pPr>
            <w:pStyle w:val="5"/>
            <w:widowControl/>
            <w:tabs>
              <w:tab w:val="right" w:leader="dot" w:pos="8306"/>
            </w:tabs>
            <w:spacing w:after="100" w:line="259" w:lineRule="auto"/>
            <w:jc w:val="left"/>
            <w:rPr>
              <w:rFonts w:hint="eastAsia" w:ascii="仿宋" w:hAnsi="仿宋" w:eastAsia="仿宋" w:cs="仿宋"/>
              <w:i w:val="0"/>
              <w:iCs w:val="0"/>
              <w:kern w:val="0"/>
              <w:sz w:val="22"/>
              <w:szCs w:val="22"/>
              <w:lang w:val="en-US" w:eastAsia="zh-CN"/>
            </w:rPr>
          </w:pPr>
          <w:r>
            <w:rPr>
              <w:rFonts w:ascii="等线" w:hAnsi="等线" w:eastAsia="等线" w:cs="Times New Roman"/>
              <w:b/>
              <w:bCs/>
              <w:kern w:val="2"/>
              <w:sz w:val="28"/>
              <w:szCs w:val="32"/>
              <w:lang w:val="en-US" w:eastAsia="zh-CN" w:bidi="ar-SA"/>
            </w:rPr>
            <w:fldChar w:fldCharType="begin"/>
          </w:r>
          <w:r>
            <w:rPr>
              <w:rFonts w:ascii="等线" w:hAnsi="等线" w:eastAsia="等线" w:cs="Times New Roman"/>
              <w:b/>
              <w:bCs/>
              <w:kern w:val="2"/>
              <w:sz w:val="28"/>
              <w:szCs w:val="32"/>
              <w:lang w:val="en-US" w:eastAsia="zh-CN" w:bidi="ar-SA"/>
            </w:rPr>
            <w:instrText xml:space="preserve">TOC \o "1-3" \h \u </w:instrText>
          </w:r>
          <w:r>
            <w:rPr>
              <w:rFonts w:ascii="等线" w:hAnsi="等线" w:eastAsia="等线" w:cs="Times New Roman"/>
              <w:b/>
              <w:bCs/>
              <w:kern w:val="2"/>
              <w:sz w:val="28"/>
              <w:szCs w:val="32"/>
              <w:lang w:val="en-US" w:eastAsia="zh-CN" w:bidi="ar-SA"/>
            </w:rPr>
            <w:fldChar w:fldCharType="separate"/>
          </w:r>
          <w:r>
            <w:rPr>
              <w:rFonts w:hint="eastAsia" w:ascii="仿宋" w:hAnsi="仿宋" w:eastAsia="仿宋" w:cs="仿宋"/>
              <w:i w:val="0"/>
              <w:iCs w:val="0"/>
              <w:kern w:val="0"/>
              <w:sz w:val="22"/>
              <w:szCs w:val="22"/>
              <w:lang w:val="en-US" w:eastAsia="zh-CN"/>
            </w:rPr>
            <w:fldChar w:fldCharType="begin"/>
          </w:r>
          <w:r>
            <w:rPr>
              <w:rFonts w:hint="eastAsia" w:ascii="仿宋" w:hAnsi="仿宋" w:eastAsia="仿宋" w:cs="仿宋"/>
              <w:i w:val="0"/>
              <w:iCs w:val="0"/>
              <w:kern w:val="0"/>
              <w:sz w:val="22"/>
              <w:szCs w:val="22"/>
              <w:lang w:val="en-US" w:eastAsia="zh-CN"/>
            </w:rPr>
            <w:instrText xml:space="preserve"> HYPERLINK \l _Toc7337 </w:instrText>
          </w:r>
          <w:r>
            <w:rPr>
              <w:rFonts w:hint="eastAsia" w:ascii="仿宋" w:hAnsi="仿宋" w:eastAsia="仿宋" w:cs="仿宋"/>
              <w:i w:val="0"/>
              <w:iCs w:val="0"/>
              <w:kern w:val="0"/>
              <w:sz w:val="22"/>
              <w:szCs w:val="22"/>
              <w:lang w:val="en-US" w:eastAsia="zh-CN"/>
            </w:rPr>
            <w:fldChar w:fldCharType="separate"/>
          </w:r>
          <w:r>
            <w:rPr>
              <w:rFonts w:hint="default" w:ascii="仿宋" w:hAnsi="仿宋" w:eastAsia="仿宋" w:cs="仿宋"/>
              <w:i w:val="0"/>
              <w:iCs w:val="0"/>
              <w:kern w:val="0"/>
              <w:sz w:val="22"/>
              <w:szCs w:val="22"/>
              <w:lang w:val="en-US" w:eastAsia="zh-CN"/>
            </w:rPr>
            <w:t>附录I</w:t>
          </w:r>
          <w:r>
            <w:rPr>
              <w:rFonts w:hint="eastAsia" w:ascii="仿宋" w:hAnsi="仿宋" w:eastAsia="仿宋" w:cs="仿宋"/>
              <w:i w:val="0"/>
              <w:iCs w:val="0"/>
              <w:kern w:val="0"/>
              <w:sz w:val="22"/>
              <w:szCs w:val="22"/>
              <w:lang w:val="en-US" w:eastAsia="zh-CN"/>
            </w:rPr>
            <w:t xml:space="preserve"> </w:t>
          </w:r>
          <w:r>
            <w:rPr>
              <w:rFonts w:hint="default" w:ascii="仿宋" w:hAnsi="仿宋" w:eastAsia="仿宋" w:cs="仿宋"/>
              <w:i w:val="0"/>
              <w:iCs w:val="0"/>
              <w:kern w:val="0"/>
              <w:sz w:val="22"/>
              <w:szCs w:val="22"/>
              <w:lang w:val="en-US" w:eastAsia="zh-CN"/>
            </w:rPr>
            <w:t xml:space="preserve"> 文献述评与逻辑框架</w:t>
          </w:r>
          <w:r>
            <w:rPr>
              <w:rFonts w:hint="eastAsia" w:ascii="仿宋" w:hAnsi="仿宋" w:eastAsia="仿宋" w:cs="仿宋"/>
              <w:i w:val="0"/>
              <w:iCs w:val="0"/>
              <w:kern w:val="0"/>
              <w:sz w:val="22"/>
              <w:szCs w:val="22"/>
              <w:lang w:val="en-US" w:eastAsia="zh-CN"/>
            </w:rPr>
            <w:tab/>
          </w:r>
          <w:r>
            <w:rPr>
              <w:rFonts w:hint="eastAsia" w:ascii="仿宋" w:hAnsi="仿宋" w:eastAsia="仿宋" w:cs="仿宋"/>
              <w:i w:val="0"/>
              <w:iCs w:val="0"/>
              <w:kern w:val="0"/>
              <w:sz w:val="22"/>
              <w:szCs w:val="22"/>
              <w:lang w:val="en-US" w:eastAsia="zh-CN"/>
            </w:rPr>
            <w:t>1</w:t>
          </w:r>
          <w:r>
            <w:rPr>
              <w:rFonts w:hint="eastAsia" w:ascii="仿宋" w:hAnsi="仿宋" w:eastAsia="仿宋" w:cs="仿宋"/>
              <w:i w:val="0"/>
              <w:iCs w:val="0"/>
              <w:kern w:val="0"/>
              <w:sz w:val="22"/>
              <w:szCs w:val="22"/>
              <w:lang w:val="en-US" w:eastAsia="zh-CN"/>
            </w:rPr>
            <w:fldChar w:fldCharType="end"/>
          </w:r>
        </w:p>
        <w:p>
          <w:pPr>
            <w:pStyle w:val="5"/>
            <w:widowControl/>
            <w:tabs>
              <w:tab w:val="right" w:leader="dot" w:pos="8306"/>
            </w:tabs>
            <w:spacing w:after="100" w:line="259" w:lineRule="auto"/>
            <w:jc w:val="left"/>
            <w:rPr>
              <w:rFonts w:ascii="等线" w:hAnsi="等线" w:eastAsia="等线" w:cs="Times New Roman"/>
              <w:b/>
              <w:bCs/>
              <w:kern w:val="2"/>
              <w:sz w:val="28"/>
              <w:szCs w:val="32"/>
              <w:lang w:val="en-US" w:eastAsia="zh-CN" w:bidi="ar-SA"/>
            </w:rPr>
          </w:pPr>
          <w:r>
            <w:rPr>
              <w:rFonts w:hint="eastAsia" w:ascii="仿宋" w:hAnsi="仿宋" w:eastAsia="仿宋" w:cs="仿宋"/>
              <w:i w:val="0"/>
              <w:iCs w:val="0"/>
              <w:kern w:val="0"/>
              <w:sz w:val="22"/>
              <w:szCs w:val="22"/>
              <w:lang w:val="en-US" w:eastAsia="zh-CN"/>
            </w:rPr>
            <w:fldChar w:fldCharType="begin"/>
          </w:r>
          <w:r>
            <w:rPr>
              <w:rFonts w:hint="eastAsia" w:ascii="仿宋" w:hAnsi="仿宋" w:eastAsia="仿宋" w:cs="仿宋"/>
              <w:i w:val="0"/>
              <w:iCs w:val="0"/>
              <w:kern w:val="0"/>
              <w:sz w:val="22"/>
              <w:szCs w:val="22"/>
              <w:lang w:val="en-US" w:eastAsia="zh-CN"/>
            </w:rPr>
            <w:instrText xml:space="preserve"> HYPERLINK \l _Toc24271 </w:instrText>
          </w:r>
          <w:r>
            <w:rPr>
              <w:rFonts w:hint="eastAsia" w:ascii="仿宋" w:hAnsi="仿宋" w:eastAsia="仿宋" w:cs="仿宋"/>
              <w:i w:val="0"/>
              <w:iCs w:val="0"/>
              <w:kern w:val="0"/>
              <w:sz w:val="22"/>
              <w:szCs w:val="22"/>
              <w:lang w:val="en-US" w:eastAsia="zh-CN"/>
            </w:rPr>
            <w:fldChar w:fldCharType="separate"/>
          </w:r>
          <w:r>
            <w:rPr>
              <w:rFonts w:hint="default" w:ascii="仿宋" w:hAnsi="仿宋" w:eastAsia="仿宋" w:cs="仿宋"/>
              <w:i w:val="0"/>
              <w:iCs w:val="0"/>
              <w:kern w:val="0"/>
              <w:sz w:val="22"/>
              <w:szCs w:val="22"/>
              <w:lang w:val="en-US" w:eastAsia="zh-CN"/>
            </w:rPr>
            <w:t>附录II</w:t>
          </w:r>
          <w:r>
            <w:rPr>
              <w:rFonts w:hint="eastAsia" w:ascii="仿宋" w:hAnsi="仿宋" w:eastAsia="仿宋" w:cs="仿宋"/>
              <w:i w:val="0"/>
              <w:iCs w:val="0"/>
              <w:kern w:val="0"/>
              <w:sz w:val="22"/>
              <w:szCs w:val="22"/>
              <w:lang w:val="en-US" w:eastAsia="zh-CN"/>
            </w:rPr>
            <w:t xml:space="preserve"> </w:t>
          </w:r>
          <w:r>
            <w:rPr>
              <w:rFonts w:hint="default" w:ascii="仿宋" w:hAnsi="仿宋" w:eastAsia="仿宋" w:cs="仿宋"/>
              <w:i w:val="0"/>
              <w:iCs w:val="0"/>
              <w:kern w:val="0"/>
              <w:sz w:val="22"/>
              <w:szCs w:val="22"/>
              <w:lang w:val="en-US" w:eastAsia="zh-CN"/>
            </w:rPr>
            <w:t>附表及附图</w:t>
          </w:r>
          <w:r>
            <w:rPr>
              <w:rFonts w:hint="eastAsia" w:ascii="仿宋" w:hAnsi="仿宋" w:eastAsia="仿宋" w:cs="仿宋"/>
              <w:i w:val="0"/>
              <w:iCs w:val="0"/>
              <w:kern w:val="0"/>
              <w:sz w:val="22"/>
              <w:szCs w:val="22"/>
              <w:lang w:val="en-US" w:eastAsia="zh-CN"/>
            </w:rPr>
            <w:tab/>
          </w:r>
          <w:r>
            <w:rPr>
              <w:rFonts w:hint="eastAsia" w:ascii="仿宋" w:hAnsi="仿宋" w:eastAsia="仿宋" w:cs="仿宋"/>
              <w:i w:val="0"/>
              <w:iCs w:val="0"/>
              <w:kern w:val="0"/>
              <w:sz w:val="22"/>
              <w:szCs w:val="22"/>
              <w:lang w:val="en-US" w:eastAsia="zh-CN"/>
            </w:rPr>
            <w:t>6</w:t>
          </w:r>
          <w:r>
            <w:rPr>
              <w:rFonts w:hint="eastAsia" w:ascii="仿宋" w:hAnsi="仿宋" w:eastAsia="仿宋" w:cs="仿宋"/>
              <w:i w:val="0"/>
              <w:iCs w:val="0"/>
              <w:kern w:val="0"/>
              <w:sz w:val="22"/>
              <w:szCs w:val="22"/>
              <w:lang w:val="en-US" w:eastAsia="zh-CN"/>
            </w:rPr>
            <w:fldChar w:fldCharType="end"/>
          </w:r>
          <w:bookmarkStart w:id="19" w:name="_GoBack"/>
          <w:bookmarkEnd w:id="19"/>
        </w:p>
        <w:p>
          <w:pPr>
            <w:rPr>
              <w:rFonts w:ascii="等线" w:hAnsi="等线" w:eastAsia="等线" w:cs="Times New Roman"/>
            </w:rPr>
          </w:pPr>
          <w:r>
            <w:rPr>
              <w:rFonts w:ascii="等线" w:hAnsi="等线" w:eastAsia="等线" w:cs="Times New Roman"/>
              <w:b/>
              <w:bCs/>
              <w:sz w:val="28"/>
              <w:szCs w:val="32"/>
            </w:rPr>
            <w:fldChar w:fldCharType="end"/>
          </w:r>
        </w:p>
      </w:sdtContent>
    </w:sdt>
    <w:p>
      <w:pPr>
        <w:pStyle w:val="10"/>
        <w:bidi w:val="0"/>
        <w:ind w:left="0" w:leftChars="0" w:firstLine="0" w:firstLineChars="0"/>
        <w:outlineLvl w:val="0"/>
        <w:rPr>
          <w:rFonts w:hint="default"/>
          <w:sz w:val="24"/>
          <w:szCs w:val="24"/>
          <w:lang w:val="en-US" w:eastAsia="zh-CN"/>
        </w:rPr>
      </w:pPr>
    </w:p>
    <w:p>
      <w:pPr>
        <w:pStyle w:val="10"/>
        <w:bidi w:val="0"/>
        <w:ind w:left="0" w:leftChars="0" w:firstLine="0" w:firstLineChars="0"/>
        <w:outlineLvl w:val="0"/>
        <w:rPr>
          <w:rFonts w:hint="default"/>
          <w:sz w:val="24"/>
          <w:szCs w:val="24"/>
          <w:lang w:val="en-US" w:eastAsia="zh-CN"/>
        </w:rPr>
      </w:pPr>
    </w:p>
    <w:p>
      <w:pPr>
        <w:pStyle w:val="10"/>
        <w:bidi w:val="0"/>
        <w:ind w:left="0" w:leftChars="0" w:firstLine="0" w:firstLineChars="0"/>
        <w:outlineLvl w:val="0"/>
        <w:rPr>
          <w:rFonts w:hint="default"/>
          <w:sz w:val="24"/>
          <w:szCs w:val="24"/>
          <w:lang w:val="en-US" w:eastAsia="zh-CN"/>
        </w:rPr>
      </w:pPr>
    </w:p>
    <w:p>
      <w:pPr>
        <w:pStyle w:val="10"/>
        <w:bidi w:val="0"/>
        <w:ind w:left="0" w:leftChars="0" w:firstLine="0" w:firstLineChars="0"/>
        <w:outlineLvl w:val="0"/>
        <w:rPr>
          <w:rFonts w:hint="default"/>
          <w:sz w:val="24"/>
          <w:szCs w:val="24"/>
          <w:lang w:val="en-US" w:eastAsia="zh-CN"/>
        </w:rPr>
        <w:sectPr>
          <w:headerReference r:id="rId3" w:type="default"/>
          <w:pgSz w:w="11906" w:h="16838"/>
          <w:pgMar w:top="1440" w:right="1800" w:bottom="1440" w:left="1800" w:header="851" w:footer="992" w:gutter="0"/>
          <w:cols w:space="425" w:num="1"/>
          <w:docGrid w:type="lines" w:linePitch="312" w:charSpace="0"/>
        </w:sectPr>
      </w:pPr>
    </w:p>
    <w:p>
      <w:pPr>
        <w:pStyle w:val="10"/>
        <w:bidi w:val="0"/>
        <w:ind w:left="0" w:leftChars="0" w:firstLine="0" w:firstLineChars="0"/>
        <w:jc w:val="center"/>
        <w:outlineLvl w:val="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附录I 文献述评与逻辑框架</w:t>
      </w:r>
      <w:bookmarkEnd w:id="0"/>
    </w:p>
    <w:p>
      <w:pPr>
        <w:spacing w:before="156" w:beforeLines="50" w:after="156" w:afterLines="50"/>
        <w:outlineLvl w:val="0"/>
        <w:rPr>
          <w:rFonts w:ascii="Times New Roman" w:hAnsi="Times New Roman" w:eastAsia="仿宋"/>
        </w:rPr>
      </w:pPr>
      <w:bookmarkStart w:id="1" w:name="_Toc901"/>
      <w:bookmarkStart w:id="2" w:name="_Toc14085"/>
      <w:r>
        <w:rPr>
          <w:rFonts w:hint="eastAsia" w:ascii="仿宋" w:hAnsi="仿宋" w:eastAsia="仿宋"/>
        </w:rPr>
        <w:t>（</w:t>
      </w:r>
      <w:r>
        <w:rPr>
          <w:rFonts w:hint="eastAsia" w:ascii="仿宋" w:hAnsi="仿宋" w:eastAsia="仿宋"/>
          <w:lang w:val="en-US" w:eastAsia="zh-CN"/>
        </w:rPr>
        <w:t>1</w:t>
      </w:r>
      <w:r>
        <w:rPr>
          <w:rFonts w:hint="eastAsia" w:ascii="仿宋" w:hAnsi="仿宋" w:eastAsia="仿宋"/>
        </w:rPr>
        <w:t>）公共服务均等化与教育公平</w:t>
      </w:r>
      <w:bookmarkEnd w:id="1"/>
      <w:bookmarkEnd w:id="2"/>
    </w:p>
    <w:p>
      <w:pPr>
        <w:ind w:firstLine="420" w:firstLineChars="200"/>
        <w:rPr>
          <w:rFonts w:ascii="Times New Roman" w:hAnsi="Times New Roman" w:eastAsia="仿宋"/>
        </w:rPr>
      </w:pPr>
      <w:r>
        <w:rPr>
          <w:rFonts w:ascii="仿宋" w:hAnsi="仿宋" w:eastAsia="仿宋"/>
        </w:rPr>
        <w:t>按照</w:t>
      </w:r>
      <w:r>
        <w:rPr>
          <w:rFonts w:ascii="Times New Roman" w:hAnsi="Times New Roman" w:eastAsia="仿宋"/>
        </w:rPr>
        <w:t>Roemer</w:t>
      </w:r>
      <w:r>
        <w:rPr>
          <w:rFonts w:ascii="仿宋" w:hAnsi="仿宋" w:eastAsia="仿宋"/>
        </w:rPr>
        <w:t>（</w:t>
      </w:r>
      <w:r>
        <w:rPr>
          <w:rFonts w:ascii="Times New Roman" w:hAnsi="Times New Roman" w:eastAsia="仿宋"/>
        </w:rPr>
        <w:t>1998</w:t>
      </w:r>
      <w:r>
        <w:rPr>
          <w:rFonts w:ascii="仿宋" w:hAnsi="仿宋" w:eastAsia="仿宋"/>
        </w:rPr>
        <w:t>）的定义，收入不平等可以被分解为由机会不均等导致的收入不平等（</w:t>
      </w:r>
      <w:r>
        <w:rPr>
          <w:rFonts w:ascii="Times New Roman" w:hAnsi="Times New Roman" w:eastAsia="仿宋"/>
        </w:rPr>
        <w:t>inequality of opportunities</w:t>
      </w:r>
      <w:r>
        <w:rPr>
          <w:rFonts w:ascii="仿宋" w:hAnsi="仿宋" w:eastAsia="仿宋"/>
        </w:rPr>
        <w:t>）和由个人努力差异导致的收入不平等（</w:t>
      </w:r>
      <w:r>
        <w:rPr>
          <w:rFonts w:ascii="Times New Roman" w:hAnsi="Times New Roman" w:eastAsia="仿宋"/>
        </w:rPr>
        <w:t>inequality of efforts</w:t>
      </w:r>
      <w:r>
        <w:rPr>
          <w:rFonts w:ascii="仿宋" w:hAnsi="仿宋" w:eastAsia="仿宋"/>
        </w:rPr>
        <w:t>）。由个人后天努力产生的收入差距会激励低收入者努力工作，使社会整体财富和福利增加，而对社会产生负面影响的主要是由机会不均等造成的收入差距。现阶段，我国社会中的机会不均等已经十分突出，一些研究指出，由于机会不均等导致的收入差距占我国整体收入差距的比重已经接近三分之一（史新杰等，</w:t>
      </w:r>
      <w:r>
        <w:rPr>
          <w:rFonts w:ascii="Times New Roman" w:hAnsi="Times New Roman" w:eastAsia="仿宋"/>
        </w:rPr>
        <w:t>2018</w:t>
      </w:r>
      <w:r>
        <w:rPr>
          <w:rFonts w:ascii="仿宋" w:hAnsi="仿宋" w:eastAsia="仿宋"/>
        </w:rPr>
        <w:t>）。对此，</w:t>
      </w:r>
      <w:r>
        <w:rPr>
          <w:rFonts w:hint="eastAsia" w:ascii="Times New Roman" w:hAnsi="Times New Roman" w:eastAsia="仿宋"/>
        </w:rPr>
        <w:t>2</w:t>
      </w:r>
      <w:r>
        <w:rPr>
          <w:rFonts w:ascii="Times New Roman" w:hAnsi="Times New Roman" w:eastAsia="仿宋"/>
        </w:rPr>
        <w:t>021</w:t>
      </w:r>
      <w:r>
        <w:rPr>
          <w:rFonts w:hint="eastAsia" w:ascii="仿宋" w:hAnsi="仿宋" w:eastAsia="仿宋"/>
        </w:rPr>
        <w:t>年召开的中央财经委员会第十次会议</w:t>
      </w:r>
      <w:r>
        <w:rPr>
          <w:rFonts w:ascii="仿宋" w:hAnsi="仿宋" w:eastAsia="仿宋"/>
        </w:rPr>
        <w:t>指出，要为人民提高受教育程度、增强发展能力创造更加普惠公平的条件，畅通向上流动通道，给更多人创造致富机会，形成人人参与的发展环境。</w:t>
      </w:r>
    </w:p>
    <w:p>
      <w:pPr>
        <w:ind w:firstLine="420" w:firstLineChars="200"/>
        <w:rPr>
          <w:rFonts w:ascii="Times New Roman" w:hAnsi="Times New Roman" w:eastAsia="仿宋"/>
        </w:rPr>
      </w:pPr>
      <w:r>
        <w:rPr>
          <w:rFonts w:ascii="仿宋" w:hAnsi="仿宋" w:eastAsia="仿宋"/>
        </w:rPr>
        <w:t>在机会公平中，教育公平是十分重要的一环。教育的机会不均等不仅会扩大收入差距，还会造成阶层固化，降低社会流动性（李任玉等，</w:t>
      </w:r>
      <w:r>
        <w:rPr>
          <w:rFonts w:ascii="Times New Roman" w:hAnsi="Times New Roman" w:eastAsia="仿宋"/>
        </w:rPr>
        <w:t>2017</w:t>
      </w:r>
      <w:r>
        <w:rPr>
          <w:rFonts w:ascii="仿宋" w:hAnsi="仿宋" w:eastAsia="仿宋"/>
        </w:rPr>
        <w:t>）。习近平总书记指出，</w:t>
      </w:r>
      <w:r>
        <w:rPr>
          <w:rFonts w:hint="eastAsia" w:ascii="仿宋" w:hAnsi="仿宋" w:eastAsia="仿宋"/>
        </w:rPr>
        <w:t>“教育是提高人民综合素质、促进人的全面发展的重要途径，是民族振兴、社会进步的重要基石，是对中华民族伟大复兴具有决定性意义的事业”</w:t>
      </w:r>
      <w:r>
        <w:rPr>
          <w:rFonts w:ascii="仿宋" w:hAnsi="仿宋" w:eastAsia="仿宋"/>
        </w:rPr>
        <w:t>。目前，教育机会不均等不仅体现在数量上，还体现在质量上。一方面，区域、城乡、家庭背景等因素直接影响学生的教育获得（吴俞晓，</w:t>
      </w:r>
      <w:r>
        <w:rPr>
          <w:rFonts w:ascii="Times New Roman" w:hAnsi="Times New Roman" w:eastAsia="仿宋"/>
        </w:rPr>
        <w:t>2013</w:t>
      </w:r>
      <w:r>
        <w:rPr>
          <w:rFonts w:ascii="仿宋" w:hAnsi="仿宋" w:eastAsia="仿宋"/>
        </w:rPr>
        <w:t>；杨奇明和林坚，</w:t>
      </w:r>
      <w:r>
        <w:rPr>
          <w:rFonts w:ascii="Times New Roman" w:hAnsi="Times New Roman" w:eastAsia="仿宋"/>
        </w:rPr>
        <w:t>2014</w:t>
      </w:r>
      <w:r>
        <w:rPr>
          <w:rFonts w:ascii="仿宋" w:hAnsi="仿宋" w:eastAsia="仿宋"/>
        </w:rPr>
        <w:t>），</w:t>
      </w:r>
      <w:r>
        <w:rPr>
          <w:rFonts w:hint="eastAsia" w:ascii="华文仿宋" w:hAnsi="华文仿宋" w:eastAsia="华文仿宋"/>
        </w:rPr>
        <w:t>在“</w:t>
      </w:r>
      <w:r>
        <w:rPr>
          <w:rFonts w:ascii="Times New Roman" w:hAnsi="Times New Roman" w:eastAsia="华文仿宋"/>
        </w:rPr>
        <w:t>80</w:t>
      </w:r>
      <w:r>
        <w:rPr>
          <w:rFonts w:hint="eastAsia" w:ascii="华文仿宋" w:hAnsi="华文仿宋" w:eastAsia="华文仿宋"/>
        </w:rPr>
        <w:t>”后群体</w:t>
      </w:r>
      <w:r>
        <w:rPr>
          <w:rFonts w:ascii="仿宋" w:hAnsi="仿宋" w:eastAsia="仿宋"/>
        </w:rPr>
        <w:t>中，城里人上大学的机会和上高中的机会分别是农村人的</w:t>
      </w:r>
      <w:r>
        <w:rPr>
          <w:rFonts w:ascii="Times New Roman" w:hAnsi="Times New Roman" w:eastAsia="仿宋"/>
        </w:rPr>
        <w:t>4</w:t>
      </w:r>
      <w:r>
        <w:rPr>
          <w:rFonts w:ascii="仿宋" w:hAnsi="仿宋" w:eastAsia="仿宋"/>
        </w:rPr>
        <w:t>倍和</w:t>
      </w:r>
      <w:r>
        <w:rPr>
          <w:rFonts w:ascii="Times New Roman" w:hAnsi="Times New Roman" w:eastAsia="仿宋"/>
        </w:rPr>
        <w:t>4.7</w:t>
      </w:r>
      <w:r>
        <w:rPr>
          <w:rFonts w:ascii="仿宋" w:hAnsi="仿宋" w:eastAsia="仿宋"/>
        </w:rPr>
        <w:t>倍（李春玲，</w:t>
      </w:r>
      <w:r>
        <w:rPr>
          <w:rFonts w:ascii="Times New Roman" w:hAnsi="Times New Roman" w:eastAsia="仿宋"/>
        </w:rPr>
        <w:t>2014</w:t>
      </w:r>
      <w:r>
        <w:rPr>
          <w:rFonts w:ascii="仿宋" w:hAnsi="仿宋" w:eastAsia="仿宋"/>
        </w:rPr>
        <w:t>）。另一方面，教育中</w:t>
      </w:r>
      <w:r>
        <w:rPr>
          <w:rFonts w:hint="eastAsia" w:ascii="华文仿宋" w:hAnsi="华文仿宋" w:eastAsia="华文仿宋"/>
        </w:rPr>
        <w:t>的</w:t>
      </w:r>
      <w:r>
        <w:rPr>
          <w:rFonts w:hint="eastAsia" w:ascii="仿宋" w:hAnsi="仿宋" w:eastAsia="仿宋"/>
        </w:rPr>
        <w:t>“隐性不平等”</w:t>
      </w:r>
      <w:r>
        <w:rPr>
          <w:rFonts w:hint="eastAsia" w:ascii="华文仿宋" w:hAnsi="华文仿宋" w:eastAsia="华文仿宋"/>
        </w:rPr>
        <w:t>越</w:t>
      </w:r>
      <w:r>
        <w:rPr>
          <w:rFonts w:ascii="仿宋" w:hAnsi="仿宋" w:eastAsia="仿宋"/>
        </w:rPr>
        <w:t>来越凸显，不仅在初等教育阶段中教育质量的差距在逐渐拉大（董志强等，</w:t>
      </w:r>
      <w:r>
        <w:rPr>
          <w:rFonts w:ascii="Times New Roman" w:hAnsi="Times New Roman" w:eastAsia="仿宋"/>
        </w:rPr>
        <w:t>2019</w:t>
      </w:r>
      <w:r>
        <w:rPr>
          <w:rFonts w:ascii="仿宋" w:hAnsi="仿宋" w:eastAsia="仿宋"/>
        </w:rPr>
        <w:t>），而且高等院校招生中也存在明显的属地偏袒（刘瑞明等，</w:t>
      </w:r>
      <w:r>
        <w:rPr>
          <w:rFonts w:ascii="Times New Roman" w:hAnsi="Times New Roman" w:eastAsia="仿宋"/>
        </w:rPr>
        <w:t>2021</w:t>
      </w:r>
      <w:r>
        <w:rPr>
          <w:rFonts w:ascii="仿宋" w:hAnsi="仿宋" w:eastAsia="仿宋"/>
        </w:rPr>
        <w:t>）。可以预见的是，如果教育机会的不均等得不到扭转，由此带来的人力资本差距以及代际流动性下降，将在长期内构成我国收入差距扩大的重要影响因素（罗楚亮等，</w:t>
      </w:r>
      <w:r>
        <w:rPr>
          <w:rFonts w:ascii="Times New Roman" w:hAnsi="Times New Roman" w:eastAsia="仿宋"/>
        </w:rPr>
        <w:t>2021</w:t>
      </w:r>
      <w:r>
        <w:rPr>
          <w:rFonts w:ascii="仿宋" w:hAnsi="仿宋" w:eastAsia="仿宋"/>
        </w:rPr>
        <w:t>）。</w:t>
      </w:r>
    </w:p>
    <w:p>
      <w:pPr>
        <w:ind w:firstLine="420" w:firstLineChars="200"/>
        <w:rPr>
          <w:rFonts w:ascii="仿宋" w:hAnsi="仿宋" w:eastAsia="仿宋"/>
        </w:rPr>
      </w:pPr>
      <w:r>
        <w:rPr>
          <w:rFonts w:hint="eastAsia" w:ascii="仿宋" w:hAnsi="仿宋" w:eastAsia="仿宋"/>
        </w:rPr>
        <w:t>如上文所提到的，</w:t>
      </w:r>
      <w:r>
        <w:rPr>
          <w:rFonts w:ascii="仿宋" w:hAnsi="仿宋" w:eastAsia="仿宋"/>
        </w:rPr>
        <w:t>实现教育机会均等</w:t>
      </w:r>
      <w:r>
        <w:rPr>
          <w:rFonts w:hint="eastAsia" w:ascii="仿宋" w:hAnsi="仿宋" w:eastAsia="仿宋"/>
        </w:rPr>
        <w:t>，最为重要的是</w:t>
      </w:r>
      <w:r>
        <w:rPr>
          <w:rFonts w:ascii="仿宋" w:hAnsi="仿宋" w:eastAsia="仿宋"/>
        </w:rPr>
        <w:t>政府的公共教育投入均等化。作为一项基础的民生工程，教育投入具有公共性、普惠性、基础性的重要特征。正因为如此，政府教育投入才成为缩小城乡之间、地区之间、居民之间收入差距的有效抓手（</w:t>
      </w:r>
      <w:r>
        <w:rPr>
          <w:rFonts w:ascii="Times New Roman" w:hAnsi="Times New Roman" w:eastAsia="仿宋"/>
        </w:rPr>
        <w:t>Kotera</w:t>
      </w:r>
      <w:r>
        <w:rPr>
          <w:rFonts w:hint="eastAsia" w:ascii="Times New Roman" w:hAnsi="Times New Roman" w:eastAsia="仿宋"/>
          <w:lang w:val="en-US" w:eastAsia="zh-CN"/>
        </w:rPr>
        <w:t xml:space="preserve"> and </w:t>
      </w:r>
      <w:r>
        <w:rPr>
          <w:rFonts w:ascii="Times New Roman" w:hAnsi="Times New Roman" w:eastAsia="仿宋"/>
        </w:rPr>
        <w:t>Seshadri</w:t>
      </w:r>
      <w:r>
        <w:rPr>
          <w:rFonts w:ascii="仿宋" w:hAnsi="仿宋" w:eastAsia="仿宋"/>
        </w:rPr>
        <w:t>，</w:t>
      </w:r>
      <w:r>
        <w:rPr>
          <w:rFonts w:ascii="Times New Roman" w:hAnsi="Times New Roman" w:eastAsia="仿宋"/>
        </w:rPr>
        <w:t>2017</w:t>
      </w:r>
      <w:r>
        <w:rPr>
          <w:rFonts w:ascii="仿宋" w:hAnsi="仿宋" w:eastAsia="仿宋"/>
        </w:rPr>
        <w:t>；范子英，</w:t>
      </w:r>
      <w:r>
        <w:rPr>
          <w:rFonts w:ascii="Times New Roman" w:hAnsi="Times New Roman" w:eastAsia="仿宋"/>
        </w:rPr>
        <w:t>2020</w:t>
      </w:r>
      <w:r>
        <w:rPr>
          <w:rFonts w:ascii="仿宋" w:hAnsi="仿宋" w:eastAsia="仿宋"/>
        </w:rPr>
        <w:t>）。习近平总书记在《扎实推进共同富裕》一文中强调</w:t>
      </w:r>
      <w:r>
        <w:rPr>
          <w:rFonts w:hint="eastAsia" w:ascii="仿宋" w:hAnsi="仿宋" w:eastAsia="仿宋"/>
        </w:rPr>
        <w:t>，“要加大普惠性人力资本投入，有效减轻困难家庭教育负担，提高低收入群众子女受教育水平”。</w:t>
      </w:r>
      <w:r>
        <w:rPr>
          <w:rFonts w:ascii="仿宋" w:hAnsi="仿宋" w:eastAsia="仿宋"/>
        </w:rPr>
        <w:t>事实上，政府教育投入的不均等将直接影响居民教育水平的不均等（李力行和周广肃，</w:t>
      </w:r>
      <w:r>
        <w:rPr>
          <w:rFonts w:ascii="Times New Roman" w:hAnsi="Times New Roman" w:eastAsia="仿宋"/>
        </w:rPr>
        <w:t>2015</w:t>
      </w:r>
      <w:r>
        <w:rPr>
          <w:rFonts w:ascii="仿宋" w:hAnsi="仿宋" w:eastAsia="仿宋"/>
        </w:rPr>
        <w:t>）。图</w:t>
      </w:r>
      <w:r>
        <w:rPr>
          <w:rFonts w:hint="eastAsia" w:ascii="仿宋" w:hAnsi="仿宋" w:eastAsia="仿宋"/>
        </w:rPr>
        <w:t>I</w:t>
      </w:r>
      <w:r>
        <w:rPr>
          <w:rFonts w:ascii="Times New Roman" w:hAnsi="Times New Roman" w:eastAsia="仿宋"/>
        </w:rPr>
        <w:t>1</w:t>
      </w:r>
      <w:r>
        <w:rPr>
          <w:rFonts w:ascii="仿宋" w:hAnsi="仿宋" w:eastAsia="仿宋"/>
        </w:rPr>
        <w:t>显示，地级市内部政府教育支出的基尼系数与居民受教育年限的基尼系数之间呈现明显的正相关性，这在一定程度上说明，政府教育投入均等化对居民教育结果公平的重要意义。</w:t>
      </w:r>
    </w:p>
    <w:p>
      <w:pPr>
        <w:ind w:firstLine="420" w:firstLineChars="200"/>
        <w:rPr>
          <w:rFonts w:ascii="仿宋" w:hAnsi="仿宋" w:eastAsia="仿宋"/>
        </w:rPr>
      </w:pPr>
    </w:p>
    <w:p>
      <w:pPr>
        <w:ind w:firstLine="210" w:firstLineChars="100"/>
        <w:jc w:val="center"/>
        <w:rPr>
          <w:rFonts w:ascii="Times New Roman" w:hAnsi="Times New Roman" w:eastAsia="宋体"/>
          <w:bCs/>
          <w:sz w:val="24"/>
          <w:szCs w:val="24"/>
        </w:rPr>
      </w:pPr>
      <w:r>
        <w:drawing>
          <wp:inline distT="0" distB="0" distL="0" distR="0">
            <wp:extent cx="2700655" cy="1972945"/>
            <wp:effectExtent l="0" t="0" r="444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700655" cy="1972945"/>
                    </a:xfrm>
                    <a:prstGeom prst="rect">
                      <a:avLst/>
                    </a:prstGeom>
                    <a:noFill/>
                    <a:ln>
                      <a:noFill/>
                    </a:ln>
                  </pic:spPr>
                </pic:pic>
              </a:graphicData>
            </a:graphic>
          </wp:inline>
        </w:drawing>
      </w:r>
      <w:r>
        <w:rPr>
          <w:rFonts w:ascii="Times New Roman" w:hAnsi="Times New Roman" w:eastAsia="宋体"/>
          <w:bCs/>
          <w:sz w:val="24"/>
          <w:szCs w:val="24"/>
        </w:rPr>
        <w:t xml:space="preserve"> </w:t>
      </w:r>
    </w:p>
    <w:p>
      <w:pPr>
        <w:jc w:val="center"/>
        <w:rPr>
          <w:rFonts w:hint="eastAsia" w:ascii="宋体" w:hAnsi="宋体" w:eastAsia="宋体" w:cs="宋体"/>
          <w:b/>
          <w:bCs/>
          <w:sz w:val="20"/>
          <w:szCs w:val="20"/>
        </w:rPr>
      </w:pPr>
      <w:r>
        <w:rPr>
          <w:rFonts w:hint="eastAsia" w:ascii="宋体" w:hAnsi="宋体" w:eastAsia="宋体" w:cs="宋体"/>
          <w:b/>
          <w:bCs/>
          <w:sz w:val="20"/>
          <w:szCs w:val="20"/>
        </w:rPr>
        <w:t>图I1 政府教育支出与居民受教育年限</w:t>
      </w:r>
    </w:p>
    <w:p>
      <w:pPr>
        <w:jc w:val="center"/>
        <w:rPr>
          <w:rFonts w:ascii="Times New Roman" w:hAnsi="Times New Roman" w:eastAsia="仿宋"/>
          <w:bCs/>
          <w:sz w:val="18"/>
          <w:szCs w:val="18"/>
        </w:rPr>
      </w:pPr>
      <w:r>
        <w:rPr>
          <w:rFonts w:ascii="仿宋" w:hAnsi="仿宋" w:eastAsia="仿宋"/>
          <w:bCs/>
          <w:sz w:val="18"/>
          <w:szCs w:val="18"/>
        </w:rPr>
        <w:t>数据来源：《省市县财政统计资料》以及</w:t>
      </w:r>
      <w:r>
        <w:rPr>
          <w:rFonts w:ascii="Times New Roman" w:hAnsi="Times New Roman" w:eastAsia="仿宋"/>
          <w:bCs/>
          <w:sz w:val="18"/>
          <w:szCs w:val="18"/>
        </w:rPr>
        <w:t>2010</w:t>
      </w:r>
      <w:r>
        <w:rPr>
          <w:rFonts w:ascii="仿宋" w:hAnsi="仿宋" w:eastAsia="仿宋"/>
          <w:bCs/>
          <w:sz w:val="18"/>
          <w:szCs w:val="18"/>
        </w:rPr>
        <w:t>年人口普查数据。</w:t>
      </w:r>
    </w:p>
    <w:p>
      <w:pPr>
        <w:ind w:firstLine="420" w:firstLineChars="200"/>
        <w:rPr>
          <w:rFonts w:hint="default" w:ascii="Times New Roman" w:hAnsi="Times New Roman" w:eastAsia="仿宋" w:cs="Times New Roman"/>
          <w:bCs/>
          <w:sz w:val="18"/>
          <w:szCs w:val="18"/>
        </w:rPr>
      </w:pPr>
      <w:r>
        <w:rPr>
          <w:rFonts w:hint="default" w:ascii="Times New Roman" w:hAnsi="Times New Roman" w:eastAsia="仿宋" w:cs="Times New Roman"/>
        </w:rPr>
        <w:t>那么，政府教育投入为何差异如此之大？大量理论和经验证据都表明，在GDP和财税收入的双重激励下，地方政府具有明显的“重生产、轻民生”倾向，基本公共服务供给往往滞后于经济发展。一方面，教育是一项长期投资，政府进行教育投资无法在短期内带来经济效应，这在基础教育中表现尤为明显。另一方面，教育投资具有很强的外部性，越是基层和欠发达地区，人才流失的可能性越大，教育投资积极性越低。从表I1中可以看到，级别越高的城市，教育投入也往往越大，副省级城市人均教育事业费和人均教育支出分别是中小城市的1.6和1.56倍。当然，这种教育投入的差异也体现在县和区之间。图</w:t>
      </w:r>
      <w:r>
        <w:rPr>
          <w:rFonts w:hint="eastAsia" w:ascii="宋体" w:hAnsi="宋体" w:eastAsia="宋体" w:cs="宋体"/>
          <w:sz w:val="18"/>
          <w:szCs w:val="18"/>
        </w:rPr>
        <w:t>Ⅰ</w:t>
      </w:r>
      <w:r>
        <w:rPr>
          <w:rFonts w:hint="default" w:ascii="Times New Roman" w:hAnsi="Times New Roman" w:eastAsia="仿宋" w:cs="Times New Roman"/>
        </w:rPr>
        <w:t>2（a）展示了县和区自1996</w:t>
      </w:r>
      <w:r>
        <w:rPr>
          <w:rFonts w:hint="eastAsia" w:ascii="Times New Roman" w:hAnsi="Times New Roman" w:eastAsia="仿宋" w:cs="Times New Roman"/>
          <w:lang w:eastAsia="zh-CN"/>
        </w:rPr>
        <w:t>—</w:t>
      </w:r>
      <w:r>
        <w:rPr>
          <w:rFonts w:hint="default" w:ascii="Times New Roman" w:hAnsi="Times New Roman" w:eastAsia="仿宋" w:cs="Times New Roman"/>
        </w:rPr>
        <w:t>2007年人均教育经费差距的变化情况，可以看到，进入21世纪之后，县和区的人均教育经费的差距在以十分迅速的趋势上涨，2007年市区与县城的人均教育经费差距已经达到了50余元，超过当年县人均教育经费的六分之一。相应的，图</w:t>
      </w:r>
      <w:r>
        <w:rPr>
          <w:rFonts w:hint="eastAsia" w:ascii="宋体" w:hAnsi="宋体" w:eastAsia="宋体" w:cs="宋体"/>
          <w:sz w:val="18"/>
          <w:szCs w:val="18"/>
        </w:rPr>
        <w:t>Ⅰ</w:t>
      </w:r>
      <w:r>
        <w:rPr>
          <w:rFonts w:hint="default" w:ascii="Times New Roman" w:hAnsi="Times New Roman" w:eastAsia="仿宋" w:cs="Times New Roman"/>
          <w:sz w:val="18"/>
          <w:szCs w:val="18"/>
          <w:lang w:val="en-US" w:eastAsia="zh-CN"/>
        </w:rPr>
        <w:t>2</w:t>
      </w:r>
      <w:r>
        <w:rPr>
          <w:rFonts w:hint="default" w:ascii="Times New Roman" w:hAnsi="Times New Roman" w:eastAsia="仿宋" w:cs="Times New Roman"/>
        </w:rPr>
        <w:t>（b）中可以看到县区之间的教育获得也在不断拉大。2000</w:t>
      </w:r>
      <w:r>
        <w:rPr>
          <w:rFonts w:hint="eastAsia" w:ascii="Times New Roman" w:hAnsi="Times New Roman" w:eastAsia="仿宋" w:cs="Times New Roman"/>
          <w:lang w:eastAsia="zh-CN"/>
        </w:rPr>
        <w:t>—</w:t>
      </w:r>
      <w:r>
        <w:rPr>
          <w:rFonts w:hint="default" w:ascii="Times New Roman" w:hAnsi="Times New Roman" w:eastAsia="仿宋" w:cs="Times New Roman"/>
        </w:rPr>
        <w:t>2015年，区县之间的高中完成率和大学完成率平均相差17.78%和8.87%。</w:t>
      </w:r>
    </w:p>
    <w:p>
      <w:pPr>
        <w:jc w:val="center"/>
        <w:rPr>
          <w:rFonts w:hint="eastAsia" w:ascii="宋体" w:hAnsi="宋体" w:eastAsia="宋体" w:cs="宋体"/>
          <w:b/>
          <w:bCs/>
          <w:sz w:val="20"/>
          <w:szCs w:val="20"/>
        </w:rPr>
      </w:pPr>
      <w:r>
        <w:rPr>
          <w:rFonts w:hint="eastAsia" w:ascii="宋体" w:hAnsi="宋体" w:eastAsia="宋体" w:cs="宋体"/>
          <w:b/>
          <w:bCs/>
          <w:sz w:val="20"/>
          <w:szCs w:val="20"/>
        </w:rPr>
        <w:t>表Ⅰ1  城市等级与教育投入</w:t>
      </w:r>
    </w:p>
    <w:tbl>
      <w:tblPr>
        <w:tblStyle w:val="8"/>
        <w:tblW w:w="8311"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73"/>
        <w:gridCol w:w="2387"/>
        <w:gridCol w:w="735"/>
        <w:gridCol w:w="2174"/>
        <w:gridCol w:w="8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tcBorders>
              <w:top w:val="single" w:color="auto" w:sz="12" w:space="0"/>
              <w:left w:val="nil"/>
              <w:bottom w:val="single" w:color="auto" w:sz="4" w:space="0"/>
              <w:right w:val="single" w:color="auto" w:sz="4" w:space="0"/>
            </w:tcBorders>
            <w:vAlign w:val="center"/>
          </w:tcPr>
          <w:p>
            <w:pPr>
              <w:jc w:val="center"/>
              <w:rPr>
                <w:rFonts w:ascii="Times New Roman" w:hAnsi="Times New Roman" w:eastAsia="仿宋" w:cs="Times New Roman"/>
                <w:bCs/>
                <w:kern w:val="0"/>
                <w:sz w:val="18"/>
                <w:szCs w:val="18"/>
              </w:rPr>
            </w:pPr>
            <w:r>
              <w:rPr>
                <w:rFonts w:ascii="仿宋" w:hAnsi="仿宋" w:eastAsia="仿宋" w:cs="Times New Roman"/>
                <w:bCs/>
                <w:kern w:val="0"/>
                <w:sz w:val="18"/>
                <w:szCs w:val="18"/>
              </w:rPr>
              <w:t>城市类别</w:t>
            </w:r>
          </w:p>
        </w:tc>
        <w:tc>
          <w:tcPr>
            <w:tcW w:w="0" w:type="auto"/>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Cs/>
                <w:kern w:val="0"/>
                <w:sz w:val="18"/>
                <w:szCs w:val="18"/>
              </w:rPr>
            </w:pPr>
            <w:r>
              <w:rPr>
                <w:rFonts w:ascii="仿宋" w:hAnsi="仿宋" w:eastAsia="仿宋" w:cs="Times New Roman"/>
                <w:bCs/>
                <w:kern w:val="0"/>
                <w:sz w:val="18"/>
                <w:szCs w:val="18"/>
              </w:rPr>
              <w:t>人均教育事业费（元）</w:t>
            </w:r>
          </w:p>
        </w:tc>
        <w:tc>
          <w:tcPr>
            <w:tcW w:w="0" w:type="auto"/>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Cs/>
                <w:kern w:val="0"/>
                <w:sz w:val="18"/>
                <w:szCs w:val="18"/>
              </w:rPr>
            </w:pPr>
            <w:r>
              <w:rPr>
                <w:rFonts w:ascii="仿宋" w:hAnsi="仿宋" w:eastAsia="仿宋" w:cs="Times New Roman"/>
                <w:bCs/>
                <w:kern w:val="0"/>
                <w:sz w:val="18"/>
                <w:szCs w:val="18"/>
              </w:rPr>
              <w:t>差值</w:t>
            </w:r>
          </w:p>
        </w:tc>
        <w:tc>
          <w:tcPr>
            <w:tcW w:w="0" w:type="auto"/>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Cs/>
                <w:kern w:val="0"/>
                <w:sz w:val="18"/>
                <w:szCs w:val="18"/>
              </w:rPr>
            </w:pPr>
            <w:r>
              <w:rPr>
                <w:rFonts w:ascii="仿宋" w:hAnsi="仿宋" w:eastAsia="仿宋" w:cs="Times New Roman"/>
                <w:bCs/>
                <w:kern w:val="0"/>
                <w:sz w:val="18"/>
                <w:szCs w:val="18"/>
              </w:rPr>
              <w:t>人均教育支出（元）</w:t>
            </w:r>
          </w:p>
        </w:tc>
        <w:tc>
          <w:tcPr>
            <w:tcW w:w="0" w:type="auto"/>
            <w:tcBorders>
              <w:top w:val="single" w:color="auto" w:sz="12" w:space="0"/>
              <w:left w:val="single" w:color="auto" w:sz="4" w:space="0"/>
              <w:bottom w:val="single" w:color="auto" w:sz="4" w:space="0"/>
              <w:right w:val="nil"/>
            </w:tcBorders>
            <w:vAlign w:val="center"/>
          </w:tcPr>
          <w:p>
            <w:pPr>
              <w:jc w:val="center"/>
              <w:rPr>
                <w:rFonts w:ascii="Times New Roman" w:hAnsi="Times New Roman" w:eastAsia="仿宋" w:cs="Times New Roman"/>
                <w:bCs/>
                <w:kern w:val="0"/>
                <w:sz w:val="18"/>
                <w:szCs w:val="18"/>
              </w:rPr>
            </w:pPr>
            <w:r>
              <w:rPr>
                <w:rFonts w:ascii="仿宋" w:hAnsi="仿宋" w:eastAsia="仿宋" w:cs="Times New Roman"/>
                <w:bCs/>
                <w:kern w:val="0"/>
                <w:sz w:val="18"/>
                <w:szCs w:val="18"/>
              </w:rPr>
              <w:t>差值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tcBorders>
              <w:top w:val="single" w:color="auto" w:sz="4" w:space="0"/>
              <w:left w:val="nil"/>
              <w:bottom w:val="nil"/>
              <w:right w:val="single" w:color="auto" w:sz="4" w:space="0"/>
            </w:tcBorders>
            <w:vAlign w:val="center"/>
          </w:tcPr>
          <w:p>
            <w:pPr>
              <w:jc w:val="center"/>
              <w:rPr>
                <w:rFonts w:ascii="Times New Roman" w:hAnsi="Times New Roman" w:eastAsia="仿宋" w:cs="Times New Roman"/>
                <w:bCs/>
                <w:kern w:val="0"/>
                <w:sz w:val="18"/>
                <w:szCs w:val="18"/>
              </w:rPr>
            </w:pPr>
            <w:r>
              <w:rPr>
                <w:rFonts w:ascii="仿宋" w:hAnsi="仿宋" w:eastAsia="仿宋" w:cs="Times New Roman"/>
                <w:kern w:val="0"/>
                <w:sz w:val="18"/>
                <w:szCs w:val="18"/>
              </w:rPr>
              <w:t>副省级城市</w:t>
            </w:r>
          </w:p>
        </w:tc>
        <w:tc>
          <w:tcPr>
            <w:tcW w:w="0" w:type="auto"/>
            <w:tcBorders>
              <w:top w:val="single" w:color="auto" w:sz="4" w:space="0"/>
              <w:left w:val="single" w:color="auto" w:sz="4" w:space="0"/>
              <w:bottom w:val="nil"/>
              <w:right w:val="single" w:color="auto" w:sz="4" w:space="0"/>
            </w:tcBorders>
            <w:vAlign w:val="center"/>
          </w:tcPr>
          <w:p>
            <w:pPr>
              <w:jc w:val="center"/>
              <w:rPr>
                <w:rFonts w:ascii="Times New Roman" w:hAnsi="Times New Roman" w:eastAsia="仿宋" w:cs="Times New Roman"/>
                <w:bCs/>
                <w:kern w:val="0"/>
                <w:sz w:val="18"/>
                <w:szCs w:val="18"/>
              </w:rPr>
            </w:pPr>
            <w:r>
              <w:rPr>
                <w:rFonts w:ascii="Times New Roman" w:hAnsi="Times New Roman" w:eastAsia="仿宋" w:cs="Times New Roman"/>
                <w:kern w:val="0"/>
                <w:sz w:val="18"/>
                <w:szCs w:val="18"/>
              </w:rPr>
              <w:t>127.97</w:t>
            </w:r>
          </w:p>
        </w:tc>
        <w:tc>
          <w:tcPr>
            <w:tcW w:w="0" w:type="auto"/>
            <w:vMerge w:val="restart"/>
            <w:tcBorders>
              <w:top w:val="nil"/>
              <w:left w:val="single" w:color="auto" w:sz="4" w:space="0"/>
              <w:bottom w:val="nil"/>
              <w:right w:val="single" w:color="auto" w:sz="4" w:space="0"/>
            </w:tcBorders>
            <w:vAlign w:val="center"/>
          </w:tcPr>
          <w:p>
            <w:pPr>
              <w:jc w:val="center"/>
              <w:rPr>
                <w:rFonts w:ascii="Times New Roman" w:hAnsi="Times New Roman" w:eastAsia="仿宋" w:cs="Times New Roman"/>
                <w:bCs/>
                <w:kern w:val="0"/>
                <w:sz w:val="18"/>
                <w:szCs w:val="18"/>
              </w:rPr>
            </w:pPr>
            <w:r>
              <w:rPr>
                <w:rFonts w:ascii="Times New Roman" w:hAnsi="Times New Roman" w:eastAsia="仿宋" w:cs="Times New Roman"/>
                <w:kern w:val="0"/>
                <w:sz w:val="18"/>
                <w:szCs w:val="18"/>
              </w:rPr>
              <w:t>42.79</w:t>
            </w:r>
          </w:p>
        </w:tc>
        <w:tc>
          <w:tcPr>
            <w:tcW w:w="0" w:type="auto"/>
            <w:tcBorders>
              <w:top w:val="single" w:color="auto" w:sz="4" w:space="0"/>
              <w:left w:val="single" w:color="auto" w:sz="4" w:space="0"/>
              <w:bottom w:val="nil"/>
              <w:right w:val="single" w:color="auto" w:sz="4" w:space="0"/>
            </w:tcBorders>
            <w:vAlign w:val="center"/>
          </w:tcPr>
          <w:p>
            <w:pPr>
              <w:jc w:val="center"/>
              <w:rPr>
                <w:rFonts w:ascii="Times New Roman" w:hAnsi="Times New Roman" w:eastAsia="仿宋" w:cs="Times New Roman"/>
                <w:bCs/>
                <w:kern w:val="0"/>
                <w:sz w:val="18"/>
                <w:szCs w:val="18"/>
              </w:rPr>
            </w:pPr>
            <w:r>
              <w:rPr>
                <w:rFonts w:ascii="Times New Roman" w:hAnsi="Times New Roman" w:eastAsia="仿宋" w:cs="Times New Roman"/>
                <w:kern w:val="0"/>
                <w:sz w:val="18"/>
                <w:szCs w:val="18"/>
              </w:rPr>
              <w:t>312.15</w:t>
            </w:r>
          </w:p>
        </w:tc>
        <w:tc>
          <w:tcPr>
            <w:tcW w:w="0" w:type="auto"/>
            <w:vMerge w:val="restart"/>
            <w:tcBorders>
              <w:top w:val="nil"/>
              <w:left w:val="single" w:color="auto" w:sz="4" w:space="0"/>
              <w:bottom w:val="nil"/>
              <w:right w:val="nil"/>
            </w:tcBorders>
            <w:vAlign w:val="center"/>
          </w:tcPr>
          <w:p>
            <w:pPr>
              <w:jc w:val="center"/>
              <w:rPr>
                <w:rFonts w:ascii="Times New Roman" w:hAnsi="Times New Roman" w:eastAsia="仿宋" w:cs="Times New Roman"/>
                <w:bCs/>
                <w:kern w:val="0"/>
                <w:sz w:val="18"/>
                <w:szCs w:val="18"/>
              </w:rPr>
            </w:pPr>
            <w:r>
              <w:rPr>
                <w:rFonts w:ascii="Times New Roman" w:hAnsi="Times New Roman" w:eastAsia="仿宋" w:cs="Times New Roman"/>
                <w:kern w:val="0"/>
                <w:sz w:val="18"/>
                <w:szCs w:val="18"/>
              </w:rPr>
              <w:t>101.88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0" w:type="auto"/>
            <w:tcBorders>
              <w:top w:val="nil"/>
              <w:left w:val="nil"/>
              <w:bottom w:val="single" w:color="auto" w:sz="4" w:space="0"/>
              <w:right w:val="single" w:color="auto" w:sz="4" w:space="0"/>
            </w:tcBorders>
            <w:vAlign w:val="center"/>
          </w:tcPr>
          <w:p>
            <w:pPr>
              <w:jc w:val="center"/>
              <w:rPr>
                <w:rFonts w:ascii="Times New Roman" w:hAnsi="Times New Roman" w:eastAsia="仿宋" w:cs="Times New Roman"/>
                <w:bCs/>
                <w:kern w:val="0"/>
                <w:sz w:val="18"/>
                <w:szCs w:val="18"/>
              </w:rPr>
            </w:pPr>
            <w:r>
              <w:rPr>
                <w:rFonts w:ascii="仿宋" w:hAnsi="仿宋" w:eastAsia="仿宋" w:cs="Times New Roman"/>
                <w:kern w:val="0"/>
                <w:sz w:val="18"/>
                <w:szCs w:val="18"/>
              </w:rPr>
              <w:t>非副省级的省会城市</w:t>
            </w:r>
          </w:p>
        </w:tc>
        <w:tc>
          <w:tcPr>
            <w:tcW w:w="0" w:type="auto"/>
            <w:tcBorders>
              <w:top w:val="nil"/>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Cs/>
                <w:kern w:val="0"/>
                <w:sz w:val="18"/>
                <w:szCs w:val="18"/>
              </w:rPr>
            </w:pPr>
            <w:r>
              <w:rPr>
                <w:rFonts w:ascii="Times New Roman" w:hAnsi="Times New Roman" w:eastAsia="仿宋" w:cs="Times New Roman"/>
                <w:kern w:val="0"/>
                <w:sz w:val="18"/>
                <w:szCs w:val="18"/>
              </w:rPr>
              <w:t>85.18</w:t>
            </w:r>
          </w:p>
        </w:tc>
        <w:tc>
          <w:tcPr>
            <w:tcW w:w="0" w:type="auto"/>
            <w:vMerge w:val="continue"/>
            <w:tcBorders>
              <w:top w:val="nil"/>
              <w:left w:val="single" w:color="auto" w:sz="4" w:space="0"/>
              <w:bottom w:val="nil"/>
              <w:right w:val="single" w:color="auto" w:sz="4" w:space="0"/>
            </w:tcBorders>
            <w:vAlign w:val="center"/>
          </w:tcPr>
          <w:p>
            <w:pPr>
              <w:widowControl/>
              <w:jc w:val="left"/>
              <w:rPr>
                <w:rFonts w:ascii="Times New Roman" w:hAnsi="Times New Roman" w:eastAsia="仿宋" w:cs="Times New Roman"/>
                <w:bCs/>
                <w:kern w:val="0"/>
                <w:sz w:val="18"/>
                <w:szCs w:val="18"/>
              </w:rPr>
            </w:pPr>
          </w:p>
        </w:tc>
        <w:tc>
          <w:tcPr>
            <w:tcW w:w="0" w:type="auto"/>
            <w:tcBorders>
              <w:top w:val="nil"/>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Cs/>
                <w:kern w:val="0"/>
                <w:sz w:val="18"/>
                <w:szCs w:val="18"/>
              </w:rPr>
            </w:pPr>
            <w:r>
              <w:rPr>
                <w:rFonts w:ascii="Times New Roman" w:hAnsi="Times New Roman" w:eastAsia="仿宋" w:cs="Times New Roman"/>
                <w:kern w:val="0"/>
                <w:sz w:val="18"/>
                <w:szCs w:val="18"/>
              </w:rPr>
              <w:t>210.27</w:t>
            </w:r>
          </w:p>
        </w:tc>
        <w:tc>
          <w:tcPr>
            <w:tcW w:w="0" w:type="auto"/>
            <w:vMerge w:val="continue"/>
            <w:tcBorders>
              <w:top w:val="nil"/>
              <w:left w:val="single" w:color="auto" w:sz="4" w:space="0"/>
              <w:bottom w:val="nil"/>
              <w:right w:val="nil"/>
            </w:tcBorders>
            <w:vAlign w:val="center"/>
          </w:tcPr>
          <w:p>
            <w:pPr>
              <w:widowControl/>
              <w:jc w:val="left"/>
              <w:rPr>
                <w:rFonts w:ascii="Times New Roman" w:hAnsi="Times New Roman" w:eastAsia="仿宋" w:cs="Times New Roman"/>
                <w:bCs/>
                <w:kern w:val="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tcBorders>
              <w:top w:val="single" w:color="auto" w:sz="4" w:space="0"/>
              <w:left w:val="nil"/>
              <w:bottom w:val="nil"/>
              <w:right w:val="single" w:color="auto" w:sz="4" w:space="0"/>
            </w:tcBorders>
            <w:vAlign w:val="center"/>
          </w:tcPr>
          <w:p>
            <w:pPr>
              <w:jc w:val="center"/>
              <w:rPr>
                <w:rFonts w:ascii="Times New Roman" w:hAnsi="Times New Roman" w:eastAsia="仿宋" w:cs="Times New Roman"/>
                <w:bCs/>
                <w:kern w:val="0"/>
                <w:sz w:val="18"/>
                <w:szCs w:val="18"/>
              </w:rPr>
            </w:pPr>
            <w:r>
              <w:rPr>
                <w:rFonts w:ascii="仿宋" w:hAnsi="仿宋" w:eastAsia="仿宋" w:cs="Times New Roman"/>
                <w:kern w:val="0"/>
                <w:sz w:val="18"/>
                <w:szCs w:val="18"/>
              </w:rPr>
              <w:t>高级别城市</w:t>
            </w:r>
          </w:p>
        </w:tc>
        <w:tc>
          <w:tcPr>
            <w:tcW w:w="0" w:type="auto"/>
            <w:tcBorders>
              <w:top w:val="single" w:color="auto" w:sz="4" w:space="0"/>
              <w:left w:val="single" w:color="auto" w:sz="4" w:space="0"/>
              <w:bottom w:val="nil"/>
              <w:right w:val="single" w:color="auto" w:sz="4" w:space="0"/>
            </w:tcBorders>
            <w:vAlign w:val="center"/>
          </w:tcPr>
          <w:p>
            <w:pPr>
              <w:jc w:val="center"/>
              <w:rPr>
                <w:rFonts w:ascii="Times New Roman" w:hAnsi="Times New Roman" w:eastAsia="仿宋" w:cs="Times New Roman"/>
                <w:bCs/>
                <w:kern w:val="0"/>
                <w:sz w:val="18"/>
                <w:szCs w:val="18"/>
              </w:rPr>
            </w:pPr>
            <w:r>
              <w:rPr>
                <w:rFonts w:ascii="Times New Roman" w:hAnsi="Times New Roman" w:eastAsia="仿宋" w:cs="Times New Roman"/>
                <w:kern w:val="0"/>
                <w:sz w:val="18"/>
                <w:szCs w:val="18"/>
              </w:rPr>
              <w:t>108.43</w:t>
            </w:r>
          </w:p>
        </w:tc>
        <w:tc>
          <w:tcPr>
            <w:tcW w:w="0" w:type="auto"/>
            <w:vMerge w:val="restart"/>
            <w:tcBorders>
              <w:top w:val="nil"/>
              <w:left w:val="single" w:color="auto" w:sz="4" w:space="0"/>
              <w:bottom w:val="nil"/>
              <w:right w:val="single" w:color="auto" w:sz="4" w:space="0"/>
            </w:tcBorders>
            <w:vAlign w:val="center"/>
          </w:tcPr>
          <w:p>
            <w:pPr>
              <w:jc w:val="center"/>
              <w:rPr>
                <w:rFonts w:ascii="Times New Roman" w:hAnsi="Times New Roman" w:eastAsia="仿宋" w:cs="Times New Roman"/>
                <w:bCs/>
                <w:kern w:val="0"/>
                <w:sz w:val="18"/>
                <w:szCs w:val="18"/>
              </w:rPr>
            </w:pPr>
            <w:r>
              <w:rPr>
                <w:rFonts w:ascii="Times New Roman" w:hAnsi="Times New Roman" w:eastAsia="仿宋" w:cs="Times New Roman"/>
                <w:kern w:val="0"/>
                <w:sz w:val="18"/>
                <w:szCs w:val="18"/>
              </w:rPr>
              <w:t>27.37</w:t>
            </w:r>
          </w:p>
        </w:tc>
        <w:tc>
          <w:tcPr>
            <w:tcW w:w="0" w:type="auto"/>
            <w:tcBorders>
              <w:top w:val="single" w:color="auto" w:sz="4" w:space="0"/>
              <w:left w:val="single" w:color="auto" w:sz="4" w:space="0"/>
              <w:bottom w:val="nil"/>
              <w:right w:val="single" w:color="auto" w:sz="4" w:space="0"/>
            </w:tcBorders>
            <w:vAlign w:val="center"/>
          </w:tcPr>
          <w:p>
            <w:pPr>
              <w:jc w:val="center"/>
              <w:rPr>
                <w:rFonts w:ascii="Times New Roman" w:hAnsi="Times New Roman" w:eastAsia="仿宋" w:cs="Times New Roman"/>
                <w:bCs/>
                <w:kern w:val="0"/>
                <w:sz w:val="18"/>
                <w:szCs w:val="18"/>
              </w:rPr>
            </w:pPr>
            <w:r>
              <w:rPr>
                <w:rFonts w:ascii="Times New Roman" w:hAnsi="Times New Roman" w:eastAsia="仿宋" w:cs="Times New Roman"/>
                <w:kern w:val="0"/>
                <w:sz w:val="18"/>
                <w:szCs w:val="18"/>
              </w:rPr>
              <w:t>263.06</w:t>
            </w:r>
          </w:p>
        </w:tc>
        <w:tc>
          <w:tcPr>
            <w:tcW w:w="0" w:type="auto"/>
            <w:vMerge w:val="restart"/>
            <w:tcBorders>
              <w:top w:val="nil"/>
              <w:left w:val="single" w:color="auto" w:sz="4" w:space="0"/>
              <w:bottom w:val="nil"/>
              <w:right w:val="nil"/>
            </w:tcBorders>
            <w:vAlign w:val="center"/>
          </w:tcPr>
          <w:p>
            <w:pPr>
              <w:jc w:val="center"/>
              <w:rPr>
                <w:rFonts w:ascii="Times New Roman" w:hAnsi="Times New Roman" w:eastAsia="仿宋" w:cs="Times New Roman"/>
                <w:bCs/>
                <w:kern w:val="0"/>
                <w:sz w:val="18"/>
                <w:szCs w:val="18"/>
              </w:rPr>
            </w:pPr>
            <w:r>
              <w:rPr>
                <w:rFonts w:ascii="Times New Roman" w:hAnsi="Times New Roman" w:eastAsia="仿宋" w:cs="Times New Roman"/>
                <w:kern w:val="0"/>
                <w:sz w:val="18"/>
                <w:szCs w:val="18"/>
              </w:rPr>
              <w:t>58.54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tcBorders>
              <w:top w:val="nil"/>
              <w:left w:val="nil"/>
              <w:bottom w:val="single" w:color="auto" w:sz="4" w:space="0"/>
              <w:right w:val="single" w:color="auto" w:sz="4" w:space="0"/>
            </w:tcBorders>
            <w:vAlign w:val="center"/>
          </w:tcPr>
          <w:p>
            <w:pPr>
              <w:jc w:val="center"/>
              <w:rPr>
                <w:rFonts w:ascii="Times New Roman" w:hAnsi="Times New Roman" w:eastAsia="仿宋" w:cs="Times New Roman"/>
                <w:bCs/>
                <w:kern w:val="0"/>
                <w:sz w:val="18"/>
                <w:szCs w:val="18"/>
              </w:rPr>
            </w:pPr>
            <w:r>
              <w:rPr>
                <w:rFonts w:ascii="仿宋" w:hAnsi="仿宋" w:eastAsia="仿宋" w:cs="Times New Roman"/>
                <w:kern w:val="0"/>
                <w:sz w:val="18"/>
                <w:szCs w:val="18"/>
              </w:rPr>
              <w:t>低级别城市</w:t>
            </w:r>
          </w:p>
        </w:tc>
        <w:tc>
          <w:tcPr>
            <w:tcW w:w="0" w:type="auto"/>
            <w:tcBorders>
              <w:top w:val="nil"/>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Cs/>
                <w:kern w:val="0"/>
                <w:sz w:val="18"/>
                <w:szCs w:val="18"/>
              </w:rPr>
            </w:pPr>
            <w:r>
              <w:rPr>
                <w:rFonts w:ascii="Times New Roman" w:hAnsi="Times New Roman" w:eastAsia="仿宋" w:cs="Times New Roman"/>
                <w:kern w:val="0"/>
                <w:sz w:val="18"/>
                <w:szCs w:val="18"/>
              </w:rPr>
              <w:t>81.06</w:t>
            </w:r>
          </w:p>
        </w:tc>
        <w:tc>
          <w:tcPr>
            <w:tcW w:w="0" w:type="auto"/>
            <w:vMerge w:val="continue"/>
            <w:tcBorders>
              <w:top w:val="nil"/>
              <w:left w:val="single" w:color="auto" w:sz="4" w:space="0"/>
              <w:bottom w:val="nil"/>
              <w:right w:val="single" w:color="auto" w:sz="4" w:space="0"/>
            </w:tcBorders>
            <w:vAlign w:val="center"/>
          </w:tcPr>
          <w:p>
            <w:pPr>
              <w:widowControl/>
              <w:jc w:val="left"/>
              <w:rPr>
                <w:rFonts w:ascii="Times New Roman" w:hAnsi="Times New Roman" w:eastAsia="仿宋" w:cs="Times New Roman"/>
                <w:bCs/>
                <w:kern w:val="0"/>
                <w:sz w:val="18"/>
                <w:szCs w:val="18"/>
              </w:rPr>
            </w:pPr>
          </w:p>
        </w:tc>
        <w:tc>
          <w:tcPr>
            <w:tcW w:w="0" w:type="auto"/>
            <w:tcBorders>
              <w:top w:val="nil"/>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Cs/>
                <w:kern w:val="0"/>
                <w:sz w:val="18"/>
                <w:szCs w:val="18"/>
              </w:rPr>
            </w:pPr>
            <w:r>
              <w:rPr>
                <w:rFonts w:ascii="Times New Roman" w:hAnsi="Times New Roman" w:eastAsia="仿宋" w:cs="Times New Roman"/>
                <w:kern w:val="0"/>
                <w:sz w:val="18"/>
                <w:szCs w:val="18"/>
              </w:rPr>
              <w:t>204.52</w:t>
            </w:r>
          </w:p>
        </w:tc>
        <w:tc>
          <w:tcPr>
            <w:tcW w:w="0" w:type="auto"/>
            <w:vMerge w:val="continue"/>
            <w:tcBorders>
              <w:top w:val="nil"/>
              <w:left w:val="single" w:color="auto" w:sz="4" w:space="0"/>
              <w:bottom w:val="nil"/>
              <w:right w:val="nil"/>
            </w:tcBorders>
            <w:vAlign w:val="center"/>
          </w:tcPr>
          <w:p>
            <w:pPr>
              <w:widowControl/>
              <w:jc w:val="left"/>
              <w:rPr>
                <w:rFonts w:ascii="Times New Roman" w:hAnsi="Times New Roman" w:eastAsia="仿宋" w:cs="Times New Roman"/>
                <w:bCs/>
                <w:kern w:val="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tcBorders>
              <w:top w:val="single" w:color="auto" w:sz="4" w:space="0"/>
              <w:left w:val="nil"/>
              <w:bottom w:val="nil"/>
              <w:right w:val="single" w:color="auto" w:sz="4" w:space="0"/>
            </w:tcBorders>
            <w:vAlign w:val="center"/>
          </w:tcPr>
          <w:p>
            <w:pPr>
              <w:jc w:val="center"/>
              <w:rPr>
                <w:rFonts w:ascii="Times New Roman" w:hAnsi="Times New Roman" w:eastAsia="仿宋" w:cs="Times New Roman"/>
                <w:bCs/>
                <w:kern w:val="0"/>
                <w:sz w:val="18"/>
                <w:szCs w:val="18"/>
              </w:rPr>
            </w:pPr>
            <w:r>
              <w:rPr>
                <w:rFonts w:ascii="仿宋" w:hAnsi="仿宋" w:eastAsia="仿宋" w:cs="Times New Roman"/>
                <w:kern w:val="0"/>
                <w:sz w:val="18"/>
                <w:szCs w:val="18"/>
              </w:rPr>
              <w:t>大城市</w:t>
            </w:r>
          </w:p>
        </w:tc>
        <w:tc>
          <w:tcPr>
            <w:tcW w:w="0" w:type="auto"/>
            <w:tcBorders>
              <w:top w:val="single" w:color="auto" w:sz="4" w:space="0"/>
              <w:left w:val="single" w:color="auto" w:sz="4" w:space="0"/>
              <w:bottom w:val="nil"/>
              <w:right w:val="single" w:color="auto" w:sz="4" w:space="0"/>
            </w:tcBorders>
            <w:vAlign w:val="center"/>
          </w:tcPr>
          <w:p>
            <w:pPr>
              <w:jc w:val="center"/>
              <w:rPr>
                <w:rFonts w:ascii="Times New Roman" w:hAnsi="Times New Roman" w:eastAsia="仿宋" w:cs="Times New Roman"/>
                <w:bCs/>
                <w:kern w:val="0"/>
                <w:sz w:val="18"/>
                <w:szCs w:val="18"/>
              </w:rPr>
            </w:pPr>
            <w:r>
              <w:rPr>
                <w:rFonts w:ascii="Times New Roman" w:hAnsi="Times New Roman" w:eastAsia="仿宋" w:cs="Times New Roman"/>
                <w:kern w:val="0"/>
                <w:sz w:val="18"/>
                <w:szCs w:val="18"/>
              </w:rPr>
              <w:t>103.65</w:t>
            </w:r>
          </w:p>
        </w:tc>
        <w:tc>
          <w:tcPr>
            <w:tcW w:w="0" w:type="auto"/>
            <w:vMerge w:val="restart"/>
            <w:tcBorders>
              <w:top w:val="nil"/>
              <w:left w:val="single" w:color="auto" w:sz="4" w:space="0"/>
              <w:bottom w:val="nil"/>
              <w:right w:val="single" w:color="auto" w:sz="4" w:space="0"/>
            </w:tcBorders>
            <w:vAlign w:val="center"/>
          </w:tcPr>
          <w:p>
            <w:pPr>
              <w:jc w:val="center"/>
              <w:rPr>
                <w:rFonts w:ascii="Times New Roman" w:hAnsi="Times New Roman" w:eastAsia="仿宋" w:cs="Times New Roman"/>
                <w:bCs/>
                <w:kern w:val="0"/>
                <w:sz w:val="18"/>
                <w:szCs w:val="18"/>
              </w:rPr>
            </w:pPr>
            <w:r>
              <w:rPr>
                <w:rFonts w:ascii="Times New Roman" w:hAnsi="Times New Roman" w:eastAsia="仿宋" w:cs="Times New Roman"/>
                <w:kern w:val="0"/>
                <w:sz w:val="18"/>
                <w:szCs w:val="18"/>
              </w:rPr>
              <w:t>23.5</w:t>
            </w:r>
          </w:p>
        </w:tc>
        <w:tc>
          <w:tcPr>
            <w:tcW w:w="0" w:type="auto"/>
            <w:tcBorders>
              <w:top w:val="single" w:color="auto" w:sz="4" w:space="0"/>
              <w:left w:val="single" w:color="auto" w:sz="4" w:space="0"/>
              <w:bottom w:val="nil"/>
              <w:right w:val="single" w:color="auto" w:sz="4" w:space="0"/>
            </w:tcBorders>
            <w:vAlign w:val="center"/>
          </w:tcPr>
          <w:p>
            <w:pPr>
              <w:jc w:val="center"/>
              <w:rPr>
                <w:rFonts w:ascii="Times New Roman" w:hAnsi="Times New Roman" w:eastAsia="仿宋" w:cs="Times New Roman"/>
                <w:bCs/>
                <w:kern w:val="0"/>
                <w:sz w:val="18"/>
                <w:szCs w:val="18"/>
              </w:rPr>
            </w:pPr>
            <w:r>
              <w:rPr>
                <w:rFonts w:ascii="Times New Roman" w:hAnsi="Times New Roman" w:eastAsia="仿宋" w:cs="Times New Roman"/>
                <w:kern w:val="0"/>
                <w:sz w:val="18"/>
                <w:szCs w:val="18"/>
              </w:rPr>
              <w:t>262.64</w:t>
            </w:r>
          </w:p>
        </w:tc>
        <w:tc>
          <w:tcPr>
            <w:tcW w:w="0" w:type="auto"/>
            <w:vMerge w:val="restart"/>
            <w:tcBorders>
              <w:top w:val="nil"/>
              <w:left w:val="single" w:color="auto" w:sz="4" w:space="0"/>
              <w:bottom w:val="nil"/>
              <w:right w:val="nil"/>
            </w:tcBorders>
            <w:vAlign w:val="center"/>
          </w:tcPr>
          <w:p>
            <w:pPr>
              <w:jc w:val="center"/>
              <w:rPr>
                <w:rFonts w:ascii="Times New Roman" w:hAnsi="Times New Roman" w:eastAsia="仿宋" w:cs="Times New Roman"/>
                <w:bCs/>
                <w:kern w:val="0"/>
                <w:sz w:val="18"/>
                <w:szCs w:val="18"/>
              </w:rPr>
            </w:pPr>
            <w:r>
              <w:rPr>
                <w:rFonts w:ascii="Times New Roman" w:hAnsi="Times New Roman" w:eastAsia="仿宋" w:cs="Times New Roman"/>
                <w:kern w:val="0"/>
                <w:sz w:val="18"/>
                <w:szCs w:val="18"/>
              </w:rPr>
              <w:t>62.43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0" w:type="auto"/>
            <w:tcBorders>
              <w:top w:val="nil"/>
              <w:left w:val="nil"/>
              <w:bottom w:val="single" w:color="auto" w:sz="12" w:space="0"/>
              <w:right w:val="single" w:color="auto" w:sz="4" w:space="0"/>
            </w:tcBorders>
            <w:vAlign w:val="center"/>
          </w:tcPr>
          <w:p>
            <w:pPr>
              <w:jc w:val="center"/>
              <w:rPr>
                <w:rFonts w:ascii="Times New Roman" w:hAnsi="Times New Roman" w:eastAsia="仿宋" w:cs="Times New Roman"/>
                <w:bCs/>
                <w:kern w:val="0"/>
                <w:sz w:val="18"/>
                <w:szCs w:val="18"/>
              </w:rPr>
            </w:pPr>
            <w:r>
              <w:rPr>
                <w:rFonts w:ascii="仿宋" w:hAnsi="仿宋" w:eastAsia="仿宋" w:cs="Times New Roman"/>
                <w:kern w:val="0"/>
                <w:sz w:val="18"/>
                <w:szCs w:val="18"/>
              </w:rPr>
              <w:t>中小型城市</w:t>
            </w:r>
          </w:p>
        </w:tc>
        <w:tc>
          <w:tcPr>
            <w:tcW w:w="0" w:type="auto"/>
            <w:tcBorders>
              <w:top w:val="nil"/>
              <w:left w:val="single" w:color="auto" w:sz="4" w:space="0"/>
              <w:bottom w:val="single" w:color="auto" w:sz="12" w:space="0"/>
              <w:right w:val="single" w:color="auto" w:sz="4" w:space="0"/>
            </w:tcBorders>
            <w:vAlign w:val="center"/>
          </w:tcPr>
          <w:p>
            <w:pPr>
              <w:jc w:val="center"/>
              <w:rPr>
                <w:rFonts w:ascii="Times New Roman" w:hAnsi="Times New Roman" w:eastAsia="仿宋" w:cs="Times New Roman"/>
                <w:bCs/>
                <w:kern w:val="0"/>
                <w:sz w:val="18"/>
                <w:szCs w:val="18"/>
              </w:rPr>
            </w:pPr>
            <w:r>
              <w:rPr>
                <w:rFonts w:ascii="Times New Roman" w:hAnsi="Times New Roman" w:eastAsia="仿宋" w:cs="Times New Roman"/>
                <w:kern w:val="0"/>
                <w:sz w:val="18"/>
                <w:szCs w:val="18"/>
              </w:rPr>
              <w:t>80.15</w:t>
            </w:r>
          </w:p>
        </w:tc>
        <w:tc>
          <w:tcPr>
            <w:tcW w:w="0" w:type="auto"/>
            <w:vMerge w:val="continue"/>
            <w:tcBorders>
              <w:top w:val="nil"/>
              <w:left w:val="single" w:color="auto" w:sz="4" w:space="0"/>
              <w:bottom w:val="nil"/>
              <w:right w:val="single" w:color="auto" w:sz="4" w:space="0"/>
            </w:tcBorders>
            <w:vAlign w:val="center"/>
          </w:tcPr>
          <w:p>
            <w:pPr>
              <w:widowControl/>
              <w:jc w:val="left"/>
              <w:rPr>
                <w:rFonts w:ascii="Times New Roman" w:hAnsi="Times New Roman" w:eastAsia="仿宋" w:cs="Times New Roman"/>
                <w:bCs/>
                <w:kern w:val="0"/>
                <w:sz w:val="18"/>
                <w:szCs w:val="18"/>
              </w:rPr>
            </w:pPr>
          </w:p>
        </w:tc>
        <w:tc>
          <w:tcPr>
            <w:tcW w:w="0" w:type="auto"/>
            <w:tcBorders>
              <w:top w:val="nil"/>
              <w:left w:val="single" w:color="auto" w:sz="4" w:space="0"/>
              <w:bottom w:val="single" w:color="auto" w:sz="12" w:space="0"/>
              <w:right w:val="single" w:color="auto" w:sz="4" w:space="0"/>
            </w:tcBorders>
            <w:vAlign w:val="center"/>
          </w:tcPr>
          <w:p>
            <w:pPr>
              <w:jc w:val="center"/>
              <w:rPr>
                <w:rFonts w:ascii="Times New Roman" w:hAnsi="Times New Roman" w:eastAsia="仿宋" w:cs="Times New Roman"/>
                <w:bCs/>
                <w:kern w:val="0"/>
                <w:sz w:val="18"/>
                <w:szCs w:val="18"/>
              </w:rPr>
            </w:pPr>
            <w:r>
              <w:rPr>
                <w:rFonts w:ascii="Times New Roman" w:hAnsi="Times New Roman" w:eastAsia="仿宋" w:cs="Times New Roman"/>
                <w:kern w:val="0"/>
                <w:sz w:val="18"/>
                <w:szCs w:val="18"/>
              </w:rPr>
              <w:t>200.21</w:t>
            </w:r>
          </w:p>
        </w:tc>
        <w:tc>
          <w:tcPr>
            <w:tcW w:w="0" w:type="auto"/>
            <w:vMerge w:val="continue"/>
            <w:tcBorders>
              <w:top w:val="nil"/>
              <w:left w:val="single" w:color="auto" w:sz="4" w:space="0"/>
              <w:bottom w:val="nil"/>
              <w:right w:val="nil"/>
            </w:tcBorders>
            <w:vAlign w:val="center"/>
          </w:tcPr>
          <w:p>
            <w:pPr>
              <w:widowControl/>
              <w:jc w:val="left"/>
              <w:rPr>
                <w:rFonts w:ascii="Times New Roman" w:hAnsi="Times New Roman" w:eastAsia="仿宋" w:cs="Times New Roman"/>
                <w:bCs/>
                <w:kern w:val="0"/>
                <w:sz w:val="18"/>
                <w:szCs w:val="18"/>
              </w:rPr>
            </w:pPr>
          </w:p>
        </w:tc>
      </w:tr>
    </w:tbl>
    <w:p>
      <w:pPr>
        <w:ind w:firstLine="360" w:firstLineChars="200"/>
        <w:rPr>
          <w:rFonts w:ascii="Times New Roman" w:hAnsi="Times New Roman" w:eastAsia="仿宋" w:cs="Times New Roman"/>
          <w:kern w:val="0"/>
          <w:sz w:val="18"/>
          <w:szCs w:val="18"/>
        </w:rPr>
      </w:pPr>
      <w:r>
        <w:rPr>
          <w:rFonts w:ascii="仿宋" w:hAnsi="仿宋" w:eastAsia="仿宋"/>
          <w:kern w:val="0"/>
          <w:sz w:val="18"/>
          <w:szCs w:val="18"/>
        </w:rPr>
        <w:t>注：数据来自《省市县财政统计资料》。高级别城市是指副省级城市和省会城市，与此对应的是低级别城市；大城市是指市区和近郊区非农业人口五十万以上的城市，与此相对应的是中小城市。</w:t>
      </w:r>
    </w:p>
    <w:p>
      <w:pPr>
        <w:rPr>
          <w:rFonts w:ascii="Times New Roman" w:hAnsi="Times New Roman" w:eastAsia="宋体"/>
          <w:bCs/>
          <w:sz w:val="24"/>
          <w:szCs w:val="24"/>
        </w:rPr>
      </w:pPr>
      <w:r>
        <w:drawing>
          <wp:inline distT="0" distB="0" distL="0" distR="0">
            <wp:extent cx="2590800" cy="18878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590800" cy="1887855"/>
                    </a:xfrm>
                    <a:prstGeom prst="rect">
                      <a:avLst/>
                    </a:prstGeom>
                    <a:noFill/>
                    <a:ln>
                      <a:noFill/>
                    </a:ln>
                  </pic:spPr>
                </pic:pic>
              </a:graphicData>
            </a:graphic>
          </wp:inline>
        </w:drawing>
      </w:r>
      <w:r>
        <w:rPr>
          <w:rFonts w:ascii="Times New Roman" w:hAnsi="Times New Roman" w:eastAsia="宋体"/>
          <w:bCs/>
          <w:sz w:val="24"/>
          <w:szCs w:val="24"/>
        </w:rPr>
        <w:t xml:space="preserve"> </w:t>
      </w:r>
      <w:r>
        <w:drawing>
          <wp:inline distT="0" distB="0" distL="0" distR="0">
            <wp:extent cx="2590800" cy="18878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90800" cy="1887855"/>
                    </a:xfrm>
                    <a:prstGeom prst="rect">
                      <a:avLst/>
                    </a:prstGeom>
                    <a:noFill/>
                    <a:ln>
                      <a:noFill/>
                    </a:ln>
                  </pic:spPr>
                </pic:pic>
              </a:graphicData>
            </a:graphic>
          </wp:inline>
        </w:drawing>
      </w:r>
    </w:p>
    <w:p>
      <w:pPr>
        <w:numPr>
          <w:ilvl w:val="0"/>
          <w:numId w:val="0"/>
        </w:numPr>
        <w:ind w:firstLine="900" w:firstLineChars="500"/>
        <w:rPr>
          <w:rFonts w:ascii="Times New Roman" w:hAnsi="Times New Roman" w:eastAsia="宋体"/>
          <w:bCs/>
          <w:szCs w:val="21"/>
        </w:rPr>
      </w:pPr>
      <w:r>
        <w:rPr>
          <w:rFonts w:hint="eastAsia" w:ascii="黑体" w:hAnsi="黑体" w:eastAsia="黑体"/>
          <w:sz w:val="18"/>
          <w:szCs w:val="18"/>
          <w:lang w:val="en-US" w:eastAsia="zh-CN"/>
        </w:rPr>
        <w:t>(a)</w:t>
      </w:r>
      <w:r>
        <w:rPr>
          <w:rFonts w:ascii="黑体" w:hAnsi="黑体" w:eastAsia="黑体"/>
          <w:sz w:val="18"/>
          <w:szCs w:val="18"/>
        </w:rPr>
        <w:t xml:space="preserve">县区教育经费差异（元）              </w:t>
      </w:r>
      <w:r>
        <w:rPr>
          <w:rFonts w:hint="eastAsia" w:ascii="黑体" w:hAnsi="黑体" w:eastAsia="黑体"/>
          <w:sz w:val="18"/>
          <w:szCs w:val="18"/>
          <w:lang w:val="en-US" w:eastAsia="zh-CN"/>
        </w:rPr>
        <w:t xml:space="preserve">         (b)</w:t>
      </w:r>
      <w:r>
        <w:rPr>
          <w:rFonts w:ascii="黑体" w:hAnsi="黑体" w:eastAsia="黑体"/>
          <w:sz w:val="18"/>
          <w:szCs w:val="18"/>
        </w:rPr>
        <w:t>县区教育获得差异（</w:t>
      </w:r>
      <w:r>
        <w:rPr>
          <w:rFonts w:ascii="Times New Roman" w:hAnsi="Times New Roman" w:eastAsia="黑体"/>
          <w:sz w:val="18"/>
          <w:szCs w:val="18"/>
        </w:rPr>
        <w:t>%</w:t>
      </w:r>
      <w:r>
        <w:rPr>
          <w:rFonts w:ascii="黑体" w:hAnsi="黑体" w:eastAsia="黑体"/>
          <w:sz w:val="18"/>
          <w:szCs w:val="18"/>
        </w:rPr>
        <w:t>）</w:t>
      </w:r>
    </w:p>
    <w:p>
      <w:pPr>
        <w:jc w:val="center"/>
        <w:rPr>
          <w:rFonts w:hint="eastAsia" w:ascii="宋体" w:hAnsi="宋体" w:eastAsia="宋体" w:cs="宋体"/>
          <w:b/>
          <w:bCs/>
          <w:sz w:val="20"/>
          <w:szCs w:val="20"/>
        </w:rPr>
      </w:pPr>
      <w:r>
        <w:rPr>
          <w:rFonts w:hint="eastAsia" w:ascii="宋体" w:hAnsi="宋体" w:eastAsia="宋体" w:cs="宋体"/>
          <w:b/>
          <w:bCs/>
          <w:sz w:val="20"/>
          <w:szCs w:val="20"/>
        </w:rPr>
        <w:t>图I2 县区之间的教育差距</w:t>
      </w:r>
    </w:p>
    <w:p>
      <w:pPr>
        <w:ind w:firstLine="360" w:firstLineChars="200"/>
        <w:rPr>
          <w:rFonts w:ascii="Times New Roman" w:hAnsi="Times New Roman" w:eastAsia="仿宋"/>
          <w:bCs/>
          <w:sz w:val="18"/>
          <w:szCs w:val="18"/>
        </w:rPr>
      </w:pPr>
      <w:r>
        <w:rPr>
          <w:rFonts w:ascii="仿宋" w:hAnsi="仿宋" w:eastAsia="仿宋"/>
          <w:bCs/>
          <w:sz w:val="18"/>
          <w:szCs w:val="18"/>
        </w:rPr>
        <w:t>注：（</w:t>
      </w:r>
      <w:r>
        <w:rPr>
          <w:rFonts w:ascii="Times New Roman" w:hAnsi="Times New Roman" w:eastAsia="仿宋"/>
          <w:bCs/>
          <w:sz w:val="18"/>
          <w:szCs w:val="18"/>
        </w:rPr>
        <w:t>a</w:t>
      </w:r>
      <w:r>
        <w:rPr>
          <w:rFonts w:ascii="仿宋" w:hAnsi="仿宋" w:eastAsia="仿宋"/>
          <w:bCs/>
          <w:sz w:val="18"/>
          <w:szCs w:val="18"/>
        </w:rPr>
        <w:t>）中</w:t>
      </w:r>
      <w:r>
        <w:rPr>
          <w:rFonts w:ascii="Times New Roman" w:hAnsi="Times New Roman" w:eastAsia="仿宋"/>
          <w:bCs/>
          <w:sz w:val="18"/>
          <w:szCs w:val="18"/>
        </w:rPr>
        <w:t>2003</w:t>
      </w:r>
      <w:r>
        <w:rPr>
          <w:rFonts w:ascii="仿宋" w:hAnsi="仿宋" w:eastAsia="仿宋"/>
          <w:bCs/>
          <w:sz w:val="18"/>
          <w:szCs w:val="18"/>
        </w:rPr>
        <w:t>年之前教育经费的指</w:t>
      </w:r>
      <w:r>
        <w:rPr>
          <w:rFonts w:hint="eastAsia" w:ascii="仿宋" w:hAnsi="仿宋" w:eastAsia="仿宋"/>
          <w:bCs/>
          <w:sz w:val="18"/>
          <w:szCs w:val="18"/>
        </w:rPr>
        <w:t>标为“教育事业费”</w:t>
      </w:r>
      <w:r>
        <w:rPr>
          <w:rFonts w:ascii="仿宋" w:hAnsi="仿宋" w:eastAsia="仿宋"/>
          <w:bCs/>
          <w:sz w:val="18"/>
          <w:szCs w:val="18"/>
        </w:rPr>
        <w:t>，</w:t>
      </w:r>
      <w:r>
        <w:rPr>
          <w:rFonts w:ascii="Times New Roman" w:hAnsi="Times New Roman" w:eastAsia="仿宋"/>
          <w:bCs/>
          <w:sz w:val="18"/>
          <w:szCs w:val="18"/>
        </w:rPr>
        <w:t>2003</w:t>
      </w:r>
      <w:r>
        <w:rPr>
          <w:rFonts w:ascii="仿宋" w:hAnsi="仿宋" w:eastAsia="仿宋"/>
          <w:bCs/>
          <w:sz w:val="18"/>
          <w:szCs w:val="18"/>
        </w:rPr>
        <w:t>年及之</w:t>
      </w:r>
      <w:r>
        <w:rPr>
          <w:rFonts w:hint="eastAsia" w:ascii="仿宋" w:hAnsi="仿宋" w:eastAsia="仿宋"/>
          <w:bCs/>
          <w:sz w:val="18"/>
          <w:szCs w:val="18"/>
        </w:rPr>
        <w:t>后为“教育支出”，</w:t>
      </w:r>
      <w:r>
        <w:rPr>
          <w:rFonts w:ascii="仿宋" w:hAnsi="仿宋" w:eastAsia="仿宋"/>
          <w:bCs/>
          <w:sz w:val="18"/>
          <w:szCs w:val="18"/>
        </w:rPr>
        <w:t>数据来自《省市县财政统计资料》，</w:t>
      </w:r>
      <w:r>
        <w:rPr>
          <w:rFonts w:ascii="Times New Roman" w:hAnsi="Times New Roman" w:eastAsia="仿宋"/>
          <w:bCs/>
          <w:sz w:val="18"/>
          <w:szCs w:val="18"/>
        </w:rPr>
        <w:t xml:space="preserve"> 2007</w:t>
      </w:r>
      <w:r>
        <w:rPr>
          <w:rFonts w:ascii="仿宋" w:hAnsi="仿宋" w:eastAsia="仿宋"/>
          <w:bCs/>
          <w:sz w:val="18"/>
          <w:szCs w:val="18"/>
        </w:rPr>
        <w:t>年之后的数据未披露。（</w:t>
      </w:r>
      <w:r>
        <w:rPr>
          <w:rFonts w:ascii="Times New Roman" w:hAnsi="Times New Roman" w:eastAsia="仿宋"/>
          <w:bCs/>
          <w:sz w:val="18"/>
          <w:szCs w:val="18"/>
        </w:rPr>
        <w:t>b</w:t>
      </w:r>
      <w:r>
        <w:rPr>
          <w:rFonts w:ascii="仿宋" w:hAnsi="仿宋" w:eastAsia="仿宋"/>
          <w:bCs/>
          <w:sz w:val="18"/>
          <w:szCs w:val="18"/>
        </w:rPr>
        <w:t>）来自历年普查数据。</w:t>
      </w:r>
    </w:p>
    <w:p>
      <w:pPr>
        <w:ind w:firstLine="420" w:firstLineChars="200"/>
        <w:rPr>
          <w:rFonts w:hint="default" w:asciiTheme="majorAscii" w:hAnsiTheme="majorAscii"/>
          <w:b w:val="0"/>
          <w:bCs/>
          <w:sz w:val="24"/>
          <w:szCs w:val="15"/>
          <w:lang w:val="en-US" w:eastAsia="zh-CN"/>
        </w:rPr>
      </w:pPr>
      <w:r>
        <w:rPr>
          <w:rFonts w:hint="eastAsia" w:ascii="仿宋" w:hAnsi="仿宋" w:eastAsia="仿宋"/>
        </w:rPr>
        <w:t>另外，公共服务均等化的重要含义是居民不因性别、户籍、民族、职业不同和收入、财产高低而在享有基本公共服务机会方面存在差异，因此要打破教育资源的行政壁垒，是所有人在优质教育资源的享有上权利平等、机会平等。近年来，一个愈来愈突出的现象是，教育不平等逐渐由数量的不平等转变为质量的不平等。一方面，优质的教育资源在进一步向大城市聚集</w:t>
      </w:r>
      <w:r>
        <w:rPr>
          <w:rFonts w:ascii="仿宋" w:hAnsi="仿宋" w:eastAsia="仿宋"/>
        </w:rPr>
        <w:t>，城市内部与收入和社会地位分化相对应的聚居和择校行为也愈演愈烈（丁维莉和陆铭，</w:t>
      </w:r>
      <w:r>
        <w:rPr>
          <w:rFonts w:ascii="Times New Roman" w:hAnsi="Times New Roman" w:eastAsia="仿宋"/>
        </w:rPr>
        <w:t>2005</w:t>
      </w:r>
      <w:r>
        <w:rPr>
          <w:rFonts w:hint="eastAsia" w:ascii="仿宋" w:hAnsi="仿宋" w:eastAsia="仿宋"/>
        </w:rPr>
        <w:t>；孙伟增和林嘉瑜，</w:t>
      </w:r>
      <w:r>
        <w:rPr>
          <w:rFonts w:hint="eastAsia" w:ascii="Times New Roman" w:hAnsi="Times New Roman" w:eastAsia="仿宋"/>
        </w:rPr>
        <w:t>2</w:t>
      </w:r>
      <w:r>
        <w:rPr>
          <w:rFonts w:ascii="Times New Roman" w:hAnsi="Times New Roman" w:eastAsia="仿宋"/>
        </w:rPr>
        <w:t>022</w:t>
      </w:r>
      <w:r>
        <w:rPr>
          <w:rFonts w:ascii="仿宋" w:hAnsi="仿宋" w:eastAsia="仿宋"/>
        </w:rPr>
        <w:t>）。另一方面，城市内部往往集中了更多的重点学校，这些学校拥有更充足的经费、更好的师资和更优质的生源（王善迈，</w:t>
      </w:r>
      <w:r>
        <w:rPr>
          <w:rFonts w:ascii="Times New Roman" w:hAnsi="Times New Roman" w:eastAsia="仿宋"/>
        </w:rPr>
        <w:t>2008</w:t>
      </w:r>
      <w:r>
        <w:rPr>
          <w:rFonts w:ascii="仿宋" w:hAnsi="仿宋" w:eastAsia="仿宋"/>
        </w:rPr>
        <w:t>），同时也拥有更多的额外机会，例如学科竞赛和自主招生 （吴晓刚和李忠路，</w:t>
      </w:r>
      <w:r>
        <w:rPr>
          <w:rFonts w:ascii="Times New Roman" w:hAnsi="Times New Roman" w:eastAsia="仿宋"/>
        </w:rPr>
        <w:t>2017</w:t>
      </w:r>
      <w:r>
        <w:rPr>
          <w:rFonts w:ascii="仿宋" w:hAnsi="仿宋" w:eastAsia="仿宋"/>
        </w:rPr>
        <w:t>）。</w:t>
      </w:r>
      <w:r>
        <w:rPr>
          <w:rFonts w:hint="eastAsia" w:ascii="仿宋" w:hAnsi="仿宋" w:eastAsia="仿宋"/>
        </w:rPr>
        <w:t>例如，</w:t>
      </w:r>
      <w:r>
        <w:rPr>
          <w:rFonts w:ascii="Times New Roman" w:hAnsi="Times New Roman" w:eastAsia="仿宋"/>
        </w:rPr>
        <w:t>2010</w:t>
      </w:r>
      <w:r>
        <w:rPr>
          <w:rFonts w:ascii="仿宋" w:hAnsi="仿宋" w:eastAsia="仿宋"/>
        </w:rPr>
        <w:t>年北大清华在陕西自主招生名额的</w:t>
      </w:r>
      <w:r>
        <w:rPr>
          <w:rFonts w:ascii="Times New Roman" w:hAnsi="Times New Roman" w:eastAsia="仿宋"/>
        </w:rPr>
        <w:t>98.9%</w:t>
      </w:r>
      <w:r>
        <w:rPr>
          <w:rFonts w:ascii="仿宋" w:hAnsi="仿宋" w:eastAsia="仿宋"/>
        </w:rPr>
        <w:t>、保送名额的</w:t>
      </w:r>
      <w:r>
        <w:rPr>
          <w:rFonts w:ascii="Times New Roman" w:hAnsi="Times New Roman" w:eastAsia="仿宋"/>
        </w:rPr>
        <w:t>97.3%</w:t>
      </w:r>
      <w:r>
        <w:rPr>
          <w:rFonts w:ascii="仿宋" w:hAnsi="仿宋" w:eastAsia="仿宋"/>
        </w:rPr>
        <w:t>，都被西安五所超级中学占据，其中西工大附中一所学校的保送、自招名额就占到全省的五成左右</w:t>
      </w:r>
      <w:r>
        <w:rPr>
          <w:rFonts w:hint="eastAsia" w:ascii="仿宋" w:hAnsi="仿宋" w:eastAsia="仿宋"/>
        </w:rPr>
        <w:t>。并且，除了学校教育中存在教育资源的巨大差异，在课外培训、补习等影子教育中，大城市内部的优势也同样明显。根据中国教育学会发布的《中国中小学课外辅导行业研究报告》，教培行业得到规范之前，一线城市中的大班课目前已经逐渐被小班课所替代，而由于教育资源的分布不均，大班课在三</w:t>
      </w:r>
      <w:r>
        <w:rPr>
          <w:rFonts w:hint="eastAsia" w:ascii="仿宋" w:hAnsi="仿宋" w:eastAsia="仿宋"/>
          <w:lang w:eastAsia="zh-CN"/>
        </w:rPr>
        <w:t>、</w:t>
      </w:r>
      <w:r>
        <w:rPr>
          <w:rFonts w:hint="eastAsia" w:ascii="仿宋" w:hAnsi="仿宋" w:eastAsia="仿宋"/>
        </w:rPr>
        <w:t>四线城市仍然十分普及。</w:t>
      </w:r>
      <w:bookmarkStart w:id="3" w:name="_Hlk126593290"/>
      <w:bookmarkEnd w:id="3"/>
    </w:p>
    <w:p>
      <w:pPr>
        <w:spacing w:before="156" w:beforeLines="50" w:after="156" w:afterLines="50"/>
        <w:outlineLvl w:val="0"/>
        <w:rPr>
          <w:rFonts w:hint="default" w:asciiTheme="majorAscii" w:hAnsiTheme="majorAscii"/>
          <w:b w:val="0"/>
          <w:bCs/>
          <w:sz w:val="24"/>
          <w:szCs w:val="15"/>
          <w:lang w:val="en-US" w:eastAsia="zh-CN"/>
        </w:rPr>
      </w:pPr>
      <w:bookmarkStart w:id="4" w:name="_Toc20233"/>
      <w:bookmarkStart w:id="5" w:name="_Toc24501"/>
      <w:r>
        <w:rPr>
          <w:rFonts w:hint="eastAsia" w:ascii="仿宋" w:hAnsi="仿宋" w:eastAsia="仿宋"/>
        </w:rPr>
        <w:t>（</w:t>
      </w:r>
      <w:r>
        <w:rPr>
          <w:rFonts w:hint="eastAsia" w:ascii="仿宋" w:hAnsi="仿宋" w:eastAsia="仿宋"/>
          <w:lang w:val="en-US" w:eastAsia="zh-CN"/>
        </w:rPr>
        <w:t>2</w:t>
      </w:r>
      <w:r>
        <w:rPr>
          <w:rFonts w:hint="eastAsia" w:ascii="仿宋" w:hAnsi="仿宋" w:eastAsia="仿宋"/>
        </w:rPr>
        <w:t>）撤县设区及其影响</w:t>
      </w:r>
      <w:bookmarkEnd w:id="4"/>
      <w:bookmarkEnd w:id="5"/>
    </w:p>
    <w:p>
      <w:pPr>
        <w:ind w:firstLine="420" w:firstLineChars="200"/>
        <w:rPr>
          <w:rFonts w:ascii="Times New Roman" w:hAnsi="Times New Roman" w:eastAsia="仿宋"/>
          <w:bCs/>
        </w:rPr>
      </w:pPr>
      <w:bookmarkStart w:id="6" w:name="_Hlk126593284"/>
      <w:bookmarkEnd w:id="6"/>
      <w:r>
        <w:rPr>
          <w:rFonts w:hint="eastAsia" w:ascii="仿宋" w:hAnsi="仿宋" w:eastAsia="仿宋"/>
          <w:bCs/>
        </w:rPr>
        <w:t>在我国，公共服务高度依赖于行政区划的范围、级别而存在，因此行政区划的调整也通常意味着附属公共服务的调整和洗牌。事实上，</w:t>
      </w:r>
      <w:r>
        <w:rPr>
          <w:rFonts w:ascii="仿宋" w:hAnsi="仿宋" w:eastAsia="仿宋"/>
          <w:bCs/>
        </w:rPr>
        <w:t>一个国家的行政区划体制是随着地区的经济发展水平和人口分布的变动情况动态调整的。改革开放以后，伴随着快速的城镇化，原本的行政区划已经不能满足经济的发展和人口的集聚，在城镇化初期，地方政府大多选</w:t>
      </w:r>
      <w:r>
        <w:rPr>
          <w:rFonts w:hint="eastAsia" w:ascii="仿宋" w:hAnsi="仿宋" w:eastAsia="仿宋"/>
          <w:bCs/>
        </w:rPr>
        <w:t>择通过“撤县设市”的模</w:t>
      </w:r>
      <w:r>
        <w:rPr>
          <w:rFonts w:ascii="仿宋" w:hAnsi="仿宋" w:eastAsia="仿宋"/>
          <w:bCs/>
        </w:rPr>
        <w:t>式进行发展。</w:t>
      </w:r>
      <w:r>
        <w:rPr>
          <w:rFonts w:ascii="Times New Roman" w:hAnsi="Times New Roman" w:eastAsia="仿宋"/>
          <w:bCs/>
        </w:rPr>
        <w:t>1986</w:t>
      </w:r>
      <w:r>
        <w:rPr>
          <w:rFonts w:ascii="仿宋" w:hAnsi="仿宋" w:eastAsia="仿宋"/>
          <w:bCs/>
        </w:rPr>
        <w:t>年，国务院颁布的《关于调整设市标准和市领导县条件的报告》规定</w:t>
      </w:r>
      <w:r>
        <w:rPr>
          <w:rFonts w:hint="eastAsia" w:ascii="仿宋" w:hAnsi="仿宋" w:eastAsia="仿宋"/>
          <w:bCs/>
        </w:rPr>
        <w:t>非</w:t>
      </w:r>
      <w:r>
        <w:rPr>
          <w:rFonts w:ascii="仿宋" w:hAnsi="仿宋" w:eastAsia="仿宋"/>
          <w:bCs/>
        </w:rPr>
        <w:t>农业人口</w:t>
      </w:r>
      <w:r>
        <w:rPr>
          <w:rFonts w:ascii="Times New Roman" w:hAnsi="Times New Roman" w:eastAsia="仿宋"/>
          <w:bCs/>
        </w:rPr>
        <w:t>6</w:t>
      </w:r>
      <w:r>
        <w:rPr>
          <w:rFonts w:ascii="仿宋" w:hAnsi="仿宋" w:eastAsia="仿宋"/>
          <w:bCs/>
        </w:rPr>
        <w:t>万以上，年</w:t>
      </w:r>
      <w:r>
        <w:rPr>
          <w:rFonts w:ascii="Times New Roman" w:hAnsi="Times New Roman" w:eastAsia="仿宋"/>
          <w:bCs/>
        </w:rPr>
        <w:t>GDP2</w:t>
      </w:r>
      <w:r>
        <w:rPr>
          <w:rFonts w:ascii="仿宋" w:hAnsi="仿宋" w:eastAsia="仿宋"/>
          <w:bCs/>
        </w:rPr>
        <w:t>亿元以上，即可设置市的建制，这一文件拉开了全国大范围撤县设市的序幕。截</w:t>
      </w:r>
      <w:r>
        <w:rPr>
          <w:rFonts w:hint="eastAsia" w:ascii="仿宋" w:hAnsi="仿宋" w:eastAsia="仿宋"/>
          <w:bCs/>
          <w:lang w:val="en-US" w:eastAsia="zh-CN"/>
        </w:rPr>
        <w:t>至</w:t>
      </w:r>
      <w:r>
        <w:rPr>
          <w:rFonts w:ascii="Times New Roman" w:hAnsi="Times New Roman" w:eastAsia="仿宋"/>
          <w:bCs/>
        </w:rPr>
        <w:t>1998</w:t>
      </w:r>
      <w:r>
        <w:rPr>
          <w:rFonts w:ascii="仿宋" w:hAnsi="仿宋" w:eastAsia="仿宋"/>
          <w:bCs/>
        </w:rPr>
        <w:t>年，在全国</w:t>
      </w:r>
      <w:r>
        <w:rPr>
          <w:rFonts w:ascii="Times New Roman" w:hAnsi="Times New Roman" w:eastAsia="仿宋"/>
          <w:bCs/>
        </w:rPr>
        <w:t>437</w:t>
      </w:r>
      <w:r>
        <w:rPr>
          <w:rFonts w:ascii="仿宋" w:hAnsi="仿宋" w:eastAsia="仿宋"/>
          <w:bCs/>
        </w:rPr>
        <w:t>个县级市中共有</w:t>
      </w:r>
      <w:r>
        <w:rPr>
          <w:rFonts w:ascii="Times New Roman" w:hAnsi="Times New Roman" w:eastAsia="仿宋"/>
          <w:bCs/>
        </w:rPr>
        <w:t>350</w:t>
      </w:r>
      <w:r>
        <w:rPr>
          <w:rFonts w:ascii="仿宋" w:hAnsi="仿宋" w:eastAsia="仿宋"/>
          <w:bCs/>
        </w:rPr>
        <w:t>个县改市，占比超过</w:t>
      </w:r>
      <w:r>
        <w:rPr>
          <w:rFonts w:ascii="Times New Roman" w:hAnsi="Times New Roman" w:eastAsia="仿宋"/>
          <w:bCs/>
        </w:rPr>
        <w:t>80%</w:t>
      </w:r>
      <w:r>
        <w:rPr>
          <w:rFonts w:ascii="仿宋" w:hAnsi="仿宋" w:eastAsia="仿宋"/>
          <w:bCs/>
        </w:rPr>
        <w:t>。然而，随着改革的深入，由于撤县设市之后伴随着地方政府行政权力的扩大和级别的升级，地方开始为了撤县设市而凑指标，同时由于小城市规模不足，并未产生集聚效应而促进经济发展，形成了土地城镇化而人口并未城镇化的尴尬局面（</w:t>
      </w:r>
      <w:r>
        <w:rPr>
          <w:rFonts w:ascii="Times New Roman" w:hAnsi="Times New Roman" w:eastAsia="仿宋"/>
          <w:bCs/>
        </w:rPr>
        <w:t>Fan et al.</w:t>
      </w:r>
      <w:r>
        <w:rPr>
          <w:rFonts w:ascii="仿宋" w:hAnsi="仿宋" w:eastAsia="仿宋"/>
          <w:bCs/>
        </w:rPr>
        <w:t>，</w:t>
      </w:r>
      <w:r>
        <w:rPr>
          <w:rFonts w:ascii="Times New Roman" w:hAnsi="Times New Roman" w:eastAsia="仿宋"/>
          <w:bCs/>
        </w:rPr>
        <w:t>2012</w:t>
      </w:r>
      <w:r>
        <w:rPr>
          <w:rFonts w:ascii="仿宋" w:hAnsi="仿宋" w:eastAsia="仿宋"/>
          <w:bCs/>
        </w:rPr>
        <w:t>）。因此，国务院于</w:t>
      </w:r>
      <w:r>
        <w:rPr>
          <w:rFonts w:ascii="Times New Roman" w:hAnsi="Times New Roman" w:eastAsia="仿宋"/>
          <w:bCs/>
        </w:rPr>
        <w:t>1997</w:t>
      </w:r>
      <w:r>
        <w:rPr>
          <w:rFonts w:ascii="仿宋" w:hAnsi="仿宋" w:eastAsia="仿宋"/>
          <w:bCs/>
        </w:rPr>
        <w:t>年正式冻结已经持续了</w:t>
      </w:r>
      <w:r>
        <w:rPr>
          <w:rFonts w:ascii="Times New Roman" w:hAnsi="Times New Roman" w:eastAsia="仿宋"/>
          <w:bCs/>
        </w:rPr>
        <w:t>11</w:t>
      </w:r>
      <w:r>
        <w:rPr>
          <w:rFonts w:ascii="仿宋" w:hAnsi="仿宋" w:eastAsia="仿宋"/>
          <w:bCs/>
        </w:rPr>
        <w:t>年</w:t>
      </w:r>
      <w:r>
        <w:rPr>
          <w:rFonts w:hint="eastAsia" w:ascii="仿宋" w:hAnsi="仿宋" w:eastAsia="仿宋"/>
          <w:bCs/>
        </w:rPr>
        <w:t>的“撤县设市”。随后，撤县设区迅</w:t>
      </w:r>
      <w:r>
        <w:rPr>
          <w:rFonts w:ascii="仿宋" w:hAnsi="仿宋" w:eastAsia="仿宋"/>
          <w:bCs/>
        </w:rPr>
        <w:t>速成为了满足各地级市扩张冲动的首选方案。</w:t>
      </w:r>
    </w:p>
    <w:p>
      <w:pPr>
        <w:jc w:val="center"/>
        <w:rPr>
          <w:rFonts w:ascii="Times New Roman" w:hAnsi="Times New Roman" w:eastAsia="仿宋"/>
          <w:bCs/>
        </w:rPr>
      </w:pPr>
      <w:r>
        <w:drawing>
          <wp:inline distT="0" distB="0" distL="0" distR="0">
            <wp:extent cx="3962400" cy="28784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962400" cy="2878455"/>
                    </a:xfrm>
                    <a:prstGeom prst="rect">
                      <a:avLst/>
                    </a:prstGeom>
                    <a:noFill/>
                    <a:ln>
                      <a:noFill/>
                    </a:ln>
                  </pic:spPr>
                </pic:pic>
              </a:graphicData>
            </a:graphic>
          </wp:inline>
        </w:drawing>
      </w:r>
      <w:r>
        <w:rPr>
          <w:rFonts w:ascii="Times New Roman" w:hAnsi="Times New Roman" w:eastAsia="仿宋"/>
          <w:bCs/>
        </w:rPr>
        <w:t xml:space="preserve"> </w:t>
      </w:r>
    </w:p>
    <w:p>
      <w:pPr>
        <w:jc w:val="center"/>
        <w:rPr>
          <w:rFonts w:hint="eastAsia" w:ascii="宋体" w:hAnsi="宋体" w:eastAsia="宋体" w:cs="宋体"/>
          <w:b/>
          <w:bCs/>
          <w:sz w:val="20"/>
          <w:szCs w:val="20"/>
        </w:rPr>
      </w:pPr>
      <w:r>
        <w:rPr>
          <w:rFonts w:hint="eastAsia" w:ascii="宋体" w:hAnsi="宋体" w:eastAsia="宋体" w:cs="宋体"/>
          <w:b/>
          <w:bCs/>
          <w:sz w:val="20"/>
          <w:szCs w:val="20"/>
        </w:rPr>
        <w:t>图I3  撤县设区数量（1983-2016）</w:t>
      </w:r>
    </w:p>
    <w:p>
      <w:pPr>
        <w:ind w:firstLine="420" w:firstLineChars="200"/>
        <w:rPr>
          <w:rFonts w:ascii="Times New Roman" w:hAnsi="Times New Roman" w:eastAsia="仿宋"/>
          <w:bCs/>
          <w:szCs w:val="21"/>
        </w:rPr>
      </w:pPr>
      <w:r>
        <w:rPr>
          <w:rFonts w:ascii="仿宋" w:hAnsi="仿宋" w:eastAsia="仿宋"/>
          <w:bCs/>
        </w:rPr>
        <w:t>从时间上看，如图</w:t>
      </w:r>
      <w:r>
        <w:rPr>
          <w:rFonts w:hint="eastAsia" w:ascii="宋体" w:hAnsi="宋体" w:eastAsia="宋体" w:cs="宋体"/>
          <w:sz w:val="18"/>
          <w:szCs w:val="18"/>
        </w:rPr>
        <w:t>Ⅰ</w:t>
      </w:r>
      <w:r>
        <w:rPr>
          <w:rFonts w:hint="eastAsia" w:ascii="黑体" w:hAnsi="黑体" w:eastAsia="黑体"/>
          <w:sz w:val="18"/>
          <w:szCs w:val="18"/>
          <w:lang w:val="en-US" w:eastAsia="zh-CN"/>
        </w:rPr>
        <w:t>3</w:t>
      </w:r>
      <w:r>
        <w:rPr>
          <w:rFonts w:ascii="仿宋" w:hAnsi="仿宋" w:eastAsia="仿宋"/>
          <w:bCs/>
        </w:rPr>
        <w:t>所示，撤县设区总共经历了两个时期的高潮。第一个高潮发生于</w:t>
      </w:r>
      <w:r>
        <w:rPr>
          <w:rFonts w:ascii="Times New Roman" w:hAnsi="Times New Roman" w:eastAsia="仿宋"/>
          <w:bCs/>
        </w:rPr>
        <w:t>1997</w:t>
      </w:r>
      <w:r>
        <w:rPr>
          <w:rFonts w:hint="eastAsia" w:ascii="Times New Roman" w:hAnsi="Times New Roman" w:eastAsia="仿宋"/>
          <w:bCs/>
          <w:lang w:eastAsia="zh-CN"/>
        </w:rPr>
        <w:t>—</w:t>
      </w:r>
      <w:r>
        <w:rPr>
          <w:rFonts w:ascii="Times New Roman" w:hAnsi="Times New Roman" w:eastAsia="仿宋"/>
          <w:bCs/>
        </w:rPr>
        <w:t>2004</w:t>
      </w:r>
      <w:r>
        <w:rPr>
          <w:rFonts w:ascii="仿宋" w:hAnsi="仿宋" w:eastAsia="仿宋"/>
          <w:bCs/>
        </w:rPr>
        <w:t>年，这是因为</w:t>
      </w:r>
      <w:r>
        <w:rPr>
          <w:rFonts w:hint="eastAsia" w:ascii="仿宋" w:hAnsi="仿宋" w:eastAsia="仿宋"/>
          <w:bCs/>
          <w:lang w:eastAsia="zh-CN"/>
        </w:rPr>
        <w:t>“</w:t>
      </w:r>
      <w:r>
        <w:rPr>
          <w:rFonts w:ascii="仿宋" w:hAnsi="仿宋" w:eastAsia="仿宋"/>
          <w:bCs/>
        </w:rPr>
        <w:t>九五</w:t>
      </w:r>
      <w:r>
        <w:rPr>
          <w:rFonts w:hint="eastAsia" w:ascii="仿宋" w:hAnsi="仿宋" w:eastAsia="仿宋"/>
          <w:bCs/>
          <w:lang w:eastAsia="zh-CN"/>
        </w:rPr>
        <w:t>”</w:t>
      </w:r>
      <w:r>
        <w:rPr>
          <w:rFonts w:ascii="仿宋" w:hAnsi="仿宋" w:eastAsia="仿宋"/>
          <w:bCs/>
        </w:rPr>
        <w:t>计划期间，我国城镇化的推行重点从发展小城市转变为发展大中型城市，而</w:t>
      </w:r>
      <w:r>
        <w:rPr>
          <w:rFonts w:ascii="Times New Roman" w:hAnsi="Times New Roman" w:eastAsia="仿宋"/>
          <w:bCs/>
        </w:rPr>
        <w:t>1997</w:t>
      </w:r>
      <w:r>
        <w:rPr>
          <w:rFonts w:ascii="仿宋" w:hAnsi="仿宋" w:eastAsia="仿宋"/>
          <w:bCs/>
        </w:rPr>
        <w:t>年</w:t>
      </w:r>
      <w:r>
        <w:rPr>
          <w:rFonts w:hint="eastAsia" w:ascii="仿宋" w:hAnsi="仿宋" w:eastAsia="仿宋"/>
          <w:bCs/>
        </w:rPr>
        <w:t>撤县设市被冻结之后，撤县设区作</w:t>
      </w:r>
      <w:r>
        <w:rPr>
          <w:rFonts w:ascii="仿宋" w:hAnsi="仿宋" w:eastAsia="仿宋"/>
          <w:bCs/>
        </w:rPr>
        <w:t>为实现发展大中型城市的主要途径而大大加速。从</w:t>
      </w:r>
      <w:r>
        <w:rPr>
          <w:rFonts w:ascii="Times New Roman" w:hAnsi="Times New Roman" w:eastAsia="仿宋"/>
          <w:bCs/>
        </w:rPr>
        <w:t>1997</w:t>
      </w:r>
      <w:r>
        <w:rPr>
          <w:rFonts w:ascii="仿宋" w:hAnsi="仿宋" w:eastAsia="仿宋"/>
          <w:bCs/>
        </w:rPr>
        <w:t>年到</w:t>
      </w:r>
      <w:r>
        <w:rPr>
          <w:rFonts w:ascii="Times New Roman" w:hAnsi="Times New Roman" w:eastAsia="仿宋"/>
          <w:bCs/>
        </w:rPr>
        <w:t>2003</w:t>
      </w:r>
      <w:r>
        <w:rPr>
          <w:rFonts w:ascii="仿宋" w:hAnsi="仿宋" w:eastAsia="仿宋"/>
          <w:bCs/>
        </w:rPr>
        <w:t>年之间，全国出现的撤县设区案例数达到了</w:t>
      </w:r>
      <w:r>
        <w:rPr>
          <w:rFonts w:ascii="Times New Roman" w:hAnsi="Times New Roman" w:eastAsia="仿宋"/>
          <w:bCs/>
        </w:rPr>
        <w:t>115</w:t>
      </w:r>
      <w:r>
        <w:rPr>
          <w:rFonts w:ascii="仿宋" w:hAnsi="仿宋" w:eastAsia="仿宋"/>
          <w:bCs/>
        </w:rPr>
        <w:t>个。此后因为迅速的土地城市化严重高于人口城市化的速度，</w:t>
      </w:r>
      <w:r>
        <w:rPr>
          <w:rFonts w:ascii="Times New Roman" w:hAnsi="Times New Roman" w:eastAsia="仿宋"/>
          <w:bCs/>
        </w:rPr>
        <w:t>2004</w:t>
      </w:r>
      <w:r>
        <w:rPr>
          <w:rFonts w:ascii="仿宋" w:hAnsi="仿宋" w:eastAsia="仿宋"/>
          <w:bCs/>
        </w:rPr>
        <w:t>年</w:t>
      </w:r>
      <w:r>
        <w:rPr>
          <w:rFonts w:ascii="仿宋" w:hAnsi="仿宋" w:eastAsia="仿宋"/>
        </w:rPr>
        <w:t>中央政府加强了对于撤县设区的审批，</w:t>
      </w:r>
      <w:r>
        <w:rPr>
          <w:rFonts w:ascii="仿宋" w:hAnsi="仿宋" w:eastAsia="仿宋"/>
          <w:bCs/>
        </w:rPr>
        <w:t>撤县设区的热潮开始降温，直到</w:t>
      </w:r>
      <w:r>
        <w:rPr>
          <w:rFonts w:ascii="Times New Roman" w:hAnsi="Times New Roman" w:eastAsia="仿宋"/>
          <w:bCs/>
        </w:rPr>
        <w:t>2010</w:t>
      </w:r>
      <w:r>
        <w:rPr>
          <w:rFonts w:ascii="仿宋" w:hAnsi="仿宋" w:eastAsia="仿宋"/>
          <w:bCs/>
        </w:rPr>
        <w:t>年后，撤县设区才被谨慎地重新利用起来。</w:t>
      </w:r>
      <w:r>
        <w:rPr>
          <w:rFonts w:ascii="Times New Roman" w:hAnsi="Times New Roman" w:eastAsia="仿宋"/>
          <w:bCs/>
        </w:rPr>
        <w:t>2014</w:t>
      </w:r>
      <w:r>
        <w:rPr>
          <w:rFonts w:ascii="仿宋" w:hAnsi="仿宋" w:eastAsia="仿宋"/>
          <w:bCs/>
        </w:rPr>
        <w:t>年，随着《国家新型城镇化规划（</w:t>
      </w:r>
      <w:r>
        <w:rPr>
          <w:rFonts w:ascii="Times New Roman" w:hAnsi="Times New Roman" w:eastAsia="仿宋"/>
          <w:bCs/>
        </w:rPr>
        <w:t>2014</w:t>
      </w:r>
      <w:r>
        <w:rPr>
          <w:rFonts w:hint="eastAsia" w:ascii="Times New Roman" w:hAnsi="Times New Roman" w:eastAsia="仿宋"/>
          <w:bCs/>
          <w:lang w:eastAsia="zh-CN"/>
        </w:rPr>
        <w:t>—</w:t>
      </w:r>
      <w:r>
        <w:rPr>
          <w:rFonts w:ascii="Times New Roman" w:hAnsi="Times New Roman" w:eastAsia="仿宋"/>
          <w:bCs/>
        </w:rPr>
        <w:t>2020</w:t>
      </w:r>
      <w:r>
        <w:rPr>
          <w:rFonts w:ascii="仿宋" w:hAnsi="仿宋" w:eastAsia="仿宋"/>
          <w:bCs/>
        </w:rPr>
        <w:t>）》进一步调整了我国城镇化战略，撤县设区才迎来第二波高潮。从空间上看，</w:t>
      </w:r>
      <w:r>
        <w:rPr>
          <w:rFonts w:ascii="Times New Roman" w:hAnsi="Times New Roman" w:eastAsia="仿宋"/>
          <w:bCs/>
        </w:rPr>
        <w:t>1994</w:t>
      </w:r>
      <w:r>
        <w:rPr>
          <w:rFonts w:hint="eastAsia" w:ascii="Times New Roman" w:hAnsi="Times New Roman" w:eastAsia="仿宋"/>
          <w:bCs/>
          <w:lang w:eastAsia="zh-CN"/>
        </w:rPr>
        <w:t>—</w:t>
      </w:r>
      <w:r>
        <w:rPr>
          <w:rFonts w:ascii="Times New Roman" w:hAnsi="Times New Roman" w:eastAsia="仿宋"/>
          <w:bCs/>
        </w:rPr>
        <w:t>2015</w:t>
      </w:r>
      <w:r>
        <w:rPr>
          <w:rFonts w:ascii="仿宋" w:hAnsi="仿宋" w:eastAsia="仿宋"/>
          <w:bCs/>
        </w:rPr>
        <w:t>年中国有</w:t>
      </w:r>
      <w:r>
        <w:rPr>
          <w:rFonts w:ascii="Times New Roman" w:hAnsi="Times New Roman" w:eastAsia="仿宋"/>
          <w:bCs/>
        </w:rPr>
        <w:t>215</w:t>
      </w:r>
      <w:r>
        <w:rPr>
          <w:rFonts w:ascii="仿宋" w:hAnsi="仿宋" w:eastAsia="仿宋"/>
          <w:bCs/>
        </w:rPr>
        <w:t>次撤县设区，占全部县的</w:t>
      </w:r>
      <w:r>
        <w:rPr>
          <w:rFonts w:ascii="Times New Roman" w:hAnsi="Times New Roman" w:eastAsia="仿宋"/>
          <w:bCs/>
        </w:rPr>
        <w:t>9.91%</w:t>
      </w:r>
      <w:r>
        <w:rPr>
          <w:rFonts w:ascii="仿宋" w:hAnsi="仿宋" w:eastAsia="仿宋"/>
          <w:bCs/>
        </w:rPr>
        <w:t>，覆盖了</w:t>
      </w:r>
      <w:r>
        <w:rPr>
          <w:rFonts w:ascii="Times New Roman" w:hAnsi="Times New Roman" w:eastAsia="仿宋"/>
          <w:bCs/>
        </w:rPr>
        <w:t>163</w:t>
      </w:r>
      <w:r>
        <w:rPr>
          <w:rFonts w:ascii="仿宋" w:hAnsi="仿宋" w:eastAsia="仿宋"/>
          <w:bCs/>
        </w:rPr>
        <w:t>个地市，占地级行政单位的</w:t>
      </w:r>
      <w:r>
        <w:rPr>
          <w:rFonts w:ascii="Times New Roman" w:hAnsi="Times New Roman" w:eastAsia="仿宋"/>
          <w:bCs/>
        </w:rPr>
        <w:t>46.18%</w:t>
      </w:r>
      <w:r>
        <w:rPr>
          <w:rFonts w:ascii="仿宋" w:hAnsi="仿宋" w:eastAsia="仿宋"/>
          <w:bCs/>
        </w:rPr>
        <w:t>（卢盛峰和陈思霞，</w:t>
      </w:r>
      <w:r>
        <w:rPr>
          <w:rFonts w:ascii="Times New Roman" w:hAnsi="Times New Roman" w:eastAsia="仿宋"/>
          <w:bCs/>
        </w:rPr>
        <w:t>2017</w:t>
      </w:r>
      <w:r>
        <w:rPr>
          <w:rFonts w:ascii="仿宋" w:hAnsi="仿宋" w:eastAsia="仿宋"/>
          <w:bCs/>
        </w:rPr>
        <w:t>），并且在东、中、西部的分布较为均衡（唐为和王媛，</w:t>
      </w:r>
      <w:r>
        <w:rPr>
          <w:rFonts w:ascii="Times New Roman" w:hAnsi="Times New Roman" w:eastAsia="仿宋"/>
          <w:bCs/>
        </w:rPr>
        <w:t>2015</w:t>
      </w:r>
      <w:r>
        <w:rPr>
          <w:rFonts w:ascii="仿宋" w:hAnsi="仿宋" w:eastAsia="仿宋"/>
          <w:bCs/>
        </w:rPr>
        <w:t>）。并且，级别更高、规模更大的城市撤县设区的频率</w:t>
      </w:r>
      <w:r>
        <w:rPr>
          <w:rFonts w:hint="eastAsia" w:ascii="仿宋" w:hAnsi="仿宋" w:eastAsia="仿宋"/>
          <w:bCs/>
          <w:lang w:val="en-US" w:eastAsia="zh-CN"/>
        </w:rPr>
        <w:t>更</w:t>
      </w:r>
      <w:r>
        <w:rPr>
          <w:rFonts w:ascii="仿宋" w:hAnsi="仿宋" w:eastAsia="仿宋"/>
          <w:bCs/>
        </w:rPr>
        <w:t>高。截</w:t>
      </w:r>
      <w:r>
        <w:rPr>
          <w:rFonts w:hint="eastAsia" w:ascii="仿宋" w:hAnsi="仿宋" w:eastAsia="仿宋"/>
          <w:bCs/>
          <w:lang w:val="en-US" w:eastAsia="zh-CN"/>
        </w:rPr>
        <w:t>至</w:t>
      </w:r>
      <w:r>
        <w:rPr>
          <w:rFonts w:ascii="Times New Roman" w:hAnsi="Times New Roman" w:eastAsia="仿宋"/>
          <w:bCs/>
        </w:rPr>
        <w:t>2017</w:t>
      </w:r>
      <w:r>
        <w:rPr>
          <w:rFonts w:ascii="仿宋" w:hAnsi="仿宋" w:eastAsia="仿宋"/>
          <w:bCs/>
        </w:rPr>
        <w:t>年，直辖市、计划单列市、省会城市和普通地级市平均每个城市分别发生</w:t>
      </w:r>
      <w:r>
        <w:rPr>
          <w:rFonts w:ascii="Times New Roman" w:hAnsi="Times New Roman" w:eastAsia="仿宋"/>
          <w:bCs/>
        </w:rPr>
        <w:t>10.25</w:t>
      </w:r>
      <w:r>
        <w:rPr>
          <w:rFonts w:ascii="仿宋" w:hAnsi="仿宋" w:eastAsia="仿宋"/>
          <w:bCs/>
        </w:rPr>
        <w:t>次、</w:t>
      </w:r>
      <w:r>
        <w:rPr>
          <w:rFonts w:ascii="Times New Roman" w:hAnsi="Times New Roman" w:eastAsia="仿宋"/>
          <w:bCs/>
        </w:rPr>
        <w:t>2</w:t>
      </w:r>
      <w:r>
        <w:rPr>
          <w:rFonts w:ascii="仿宋" w:hAnsi="仿宋" w:eastAsia="仿宋"/>
          <w:bCs/>
        </w:rPr>
        <w:t>次、</w:t>
      </w:r>
      <w:r>
        <w:rPr>
          <w:rFonts w:ascii="Times New Roman" w:hAnsi="Times New Roman" w:eastAsia="仿宋"/>
          <w:bCs/>
        </w:rPr>
        <w:t>1.7</w:t>
      </w:r>
      <w:r>
        <w:rPr>
          <w:rFonts w:ascii="仿宋" w:hAnsi="仿宋" w:eastAsia="仿宋"/>
          <w:bCs/>
        </w:rPr>
        <w:t>次和</w:t>
      </w:r>
      <w:r>
        <w:rPr>
          <w:rFonts w:ascii="Times New Roman" w:hAnsi="Times New Roman" w:eastAsia="仿宋"/>
          <w:bCs/>
        </w:rPr>
        <w:t>1.25</w:t>
      </w:r>
      <w:r>
        <w:rPr>
          <w:rFonts w:ascii="仿宋" w:hAnsi="仿宋" w:eastAsia="仿宋"/>
          <w:bCs/>
        </w:rPr>
        <w:t>次撤县设区。</w:t>
      </w:r>
    </w:p>
    <w:p>
      <w:pPr>
        <w:ind w:firstLine="420" w:firstLineChars="200"/>
        <w:rPr>
          <w:rFonts w:ascii="Times New Roman" w:hAnsi="Times New Roman" w:eastAsia="仿宋"/>
        </w:rPr>
      </w:pPr>
      <w:r>
        <w:rPr>
          <w:rFonts w:hint="eastAsia" w:ascii="仿宋" w:hAnsi="仿宋" w:eastAsia="仿宋"/>
        </w:rPr>
        <w:t>从文献的角度看，已有针对撤县设区的研究主要集中在其经济后果上，例如经济增长（</w:t>
      </w:r>
      <w:r>
        <w:rPr>
          <w:rFonts w:ascii="Times New Roman" w:hAnsi="Times New Roman" w:eastAsia="仿宋"/>
        </w:rPr>
        <w:t>Fan et al.</w:t>
      </w:r>
      <w:r>
        <w:rPr>
          <w:rFonts w:ascii="仿宋" w:hAnsi="仿宋" w:eastAsia="仿宋"/>
        </w:rPr>
        <w:t>，</w:t>
      </w:r>
      <w:r>
        <w:rPr>
          <w:rFonts w:ascii="Times New Roman" w:hAnsi="Times New Roman" w:eastAsia="仿宋"/>
        </w:rPr>
        <w:t>2012</w:t>
      </w:r>
      <w:r>
        <w:rPr>
          <w:rFonts w:ascii="仿宋" w:hAnsi="仿宋" w:eastAsia="仿宋"/>
        </w:rPr>
        <w:t>；</w:t>
      </w:r>
      <w:r>
        <w:rPr>
          <w:rFonts w:ascii="Times New Roman" w:hAnsi="Times New Roman" w:eastAsia="仿宋"/>
        </w:rPr>
        <w:t xml:space="preserve">Tang </w:t>
      </w:r>
      <w:r>
        <w:rPr>
          <w:rFonts w:hint="eastAsia" w:ascii="Times New Roman" w:hAnsi="Times New Roman" w:eastAsia="仿宋"/>
          <w:lang w:val="en-US" w:eastAsia="zh-CN"/>
        </w:rPr>
        <w:t>and</w:t>
      </w:r>
      <w:r>
        <w:rPr>
          <w:rFonts w:ascii="Times New Roman" w:hAnsi="Times New Roman" w:eastAsia="仿宋"/>
        </w:rPr>
        <w:t xml:space="preserve"> Hewings</w:t>
      </w:r>
      <w:r>
        <w:rPr>
          <w:rFonts w:ascii="仿宋" w:hAnsi="仿宋" w:eastAsia="仿宋"/>
        </w:rPr>
        <w:t>，</w:t>
      </w:r>
      <w:r>
        <w:rPr>
          <w:rFonts w:ascii="Times New Roman" w:hAnsi="Times New Roman" w:eastAsia="仿宋"/>
        </w:rPr>
        <w:t>2017</w:t>
      </w:r>
      <w:r>
        <w:rPr>
          <w:rFonts w:ascii="仿宋" w:hAnsi="仿宋" w:eastAsia="仿宋"/>
        </w:rPr>
        <w:t>；邵朝对等，</w:t>
      </w:r>
      <w:r>
        <w:rPr>
          <w:rFonts w:ascii="Times New Roman" w:hAnsi="Times New Roman" w:eastAsia="仿宋"/>
        </w:rPr>
        <w:t>2018</w:t>
      </w:r>
      <w:r>
        <w:rPr>
          <w:rFonts w:ascii="仿宋" w:hAnsi="仿宋" w:eastAsia="仿宋"/>
        </w:rPr>
        <w:t>；</w:t>
      </w:r>
      <w:r>
        <w:rPr>
          <w:rFonts w:ascii="Times New Roman" w:hAnsi="Times New Roman" w:eastAsia="仿宋"/>
        </w:rPr>
        <w:t>Liu et al.</w:t>
      </w:r>
      <w:r>
        <w:rPr>
          <w:rFonts w:ascii="仿宋" w:hAnsi="仿宋" w:eastAsia="仿宋"/>
        </w:rPr>
        <w:t>，</w:t>
      </w:r>
      <w:r>
        <w:rPr>
          <w:rFonts w:ascii="Times New Roman" w:hAnsi="Times New Roman" w:eastAsia="仿宋"/>
        </w:rPr>
        <w:t>2019</w:t>
      </w:r>
      <w:r>
        <w:rPr>
          <w:rFonts w:ascii="仿宋" w:hAnsi="仿宋" w:eastAsia="仿宋"/>
        </w:rPr>
        <w:t>）、财政收入和支出（张莉等，</w:t>
      </w:r>
      <w:r>
        <w:rPr>
          <w:rFonts w:ascii="Times New Roman" w:hAnsi="Times New Roman" w:eastAsia="仿宋"/>
        </w:rPr>
        <w:t>2018</w:t>
      </w:r>
      <w:r>
        <w:rPr>
          <w:rFonts w:ascii="仿宋" w:hAnsi="仿宋" w:eastAsia="仿宋"/>
        </w:rPr>
        <w:t>；吉黎和邹埴埸，</w:t>
      </w:r>
      <w:r>
        <w:rPr>
          <w:rFonts w:ascii="Times New Roman" w:hAnsi="Times New Roman" w:eastAsia="仿宋"/>
        </w:rPr>
        <w:t>2019</w:t>
      </w:r>
      <w:r>
        <w:rPr>
          <w:rFonts w:ascii="仿宋" w:hAnsi="仿宋" w:eastAsia="仿宋"/>
        </w:rPr>
        <w:t>）、人口规模（唐为和王媛，</w:t>
      </w:r>
      <w:r>
        <w:rPr>
          <w:rFonts w:ascii="Times New Roman" w:hAnsi="Times New Roman" w:eastAsia="仿宋"/>
        </w:rPr>
        <w:t>2015</w:t>
      </w:r>
      <w:r>
        <w:rPr>
          <w:rFonts w:ascii="仿宋" w:hAnsi="仿宋" w:eastAsia="仿宋"/>
        </w:rPr>
        <w:t>）等方面。也有部分研究将目光聚焦在企业上，研究了撤县设区对于企业税负（范子英和赵仁杰，</w:t>
      </w:r>
      <w:r>
        <w:rPr>
          <w:rFonts w:ascii="Times New Roman" w:hAnsi="Times New Roman" w:eastAsia="仿宋"/>
        </w:rPr>
        <w:t>2020</w:t>
      </w:r>
      <w:r>
        <w:rPr>
          <w:rFonts w:ascii="仿宋" w:hAnsi="仿宋" w:eastAsia="仿宋"/>
        </w:rPr>
        <w:t>）、出口行为（卢盛峰和陈思霞，</w:t>
      </w:r>
      <w:r>
        <w:rPr>
          <w:rFonts w:ascii="Times New Roman" w:hAnsi="Times New Roman" w:eastAsia="仿宋"/>
        </w:rPr>
        <w:t>2016</w:t>
      </w:r>
      <w:r>
        <w:rPr>
          <w:rFonts w:ascii="仿宋" w:hAnsi="仿宋" w:eastAsia="仿宋"/>
        </w:rPr>
        <w:t>）和融资约束（卢盛峰和陈思霞，</w:t>
      </w:r>
      <w:r>
        <w:rPr>
          <w:rFonts w:ascii="Times New Roman" w:hAnsi="Times New Roman" w:eastAsia="仿宋"/>
        </w:rPr>
        <w:t>2017</w:t>
      </w:r>
      <w:r>
        <w:rPr>
          <w:rFonts w:ascii="仿宋" w:hAnsi="仿宋" w:eastAsia="仿宋"/>
        </w:rPr>
        <w:t>）等影响。需要强调的是，</w:t>
      </w:r>
      <w:r>
        <w:rPr>
          <w:rFonts w:hint="eastAsia" w:ascii="仿宋" w:hAnsi="仿宋" w:eastAsia="仿宋"/>
        </w:rPr>
        <w:t>“撤县设区”政策本</w:t>
      </w:r>
      <w:r>
        <w:rPr>
          <w:rFonts w:ascii="仿宋" w:hAnsi="仿宋" w:eastAsia="仿宋"/>
        </w:rPr>
        <w:t>身有诸多负面效应。部分城市</w:t>
      </w:r>
      <w:r>
        <w:rPr>
          <w:rFonts w:hint="eastAsia" w:ascii="仿宋" w:hAnsi="仿宋" w:eastAsia="仿宋"/>
        </w:rPr>
        <w:t>通过“撤县设区”追求</w:t>
      </w:r>
      <w:r>
        <w:rPr>
          <w:rFonts w:ascii="仿宋" w:hAnsi="仿宋" w:eastAsia="仿宋"/>
        </w:rPr>
        <w:t>土地和行政区划意义上的城镇化，并没有真正带动城乡一体化和人口城镇化，反而出</w:t>
      </w:r>
      <w:r>
        <w:rPr>
          <w:rFonts w:hint="eastAsia" w:ascii="仿宋" w:hAnsi="仿宋" w:eastAsia="仿宋"/>
        </w:rPr>
        <w:t>现了“模糊地带”，</w:t>
      </w:r>
      <w:r>
        <w:rPr>
          <w:rFonts w:ascii="仿宋" w:hAnsi="仿宋" w:eastAsia="仿宋"/>
        </w:rPr>
        <w:t>增加了政府之间的协调成本（</w:t>
      </w:r>
      <w:bookmarkStart w:id="7" w:name="_Hlk105097872"/>
      <w:r>
        <w:rPr>
          <w:rFonts w:ascii="仿宋" w:hAnsi="仿宋" w:eastAsia="仿宋"/>
        </w:rPr>
        <w:t>罗小龙等</w:t>
      </w:r>
      <w:bookmarkEnd w:id="7"/>
      <w:r>
        <w:rPr>
          <w:rFonts w:ascii="仿宋" w:hAnsi="仿宋" w:eastAsia="仿宋"/>
        </w:rPr>
        <w:t>，</w:t>
      </w:r>
      <w:r>
        <w:rPr>
          <w:rFonts w:ascii="Times New Roman" w:hAnsi="Times New Roman" w:eastAsia="仿宋"/>
        </w:rPr>
        <w:t>2010</w:t>
      </w:r>
      <w:r>
        <w:rPr>
          <w:rFonts w:ascii="仿宋" w:hAnsi="仿宋" w:eastAsia="仿宋"/>
        </w:rPr>
        <w:t>）。</w:t>
      </w:r>
      <w:r>
        <w:rPr>
          <w:rFonts w:hint="eastAsia" w:ascii="仿宋" w:hAnsi="仿宋" w:eastAsia="仿宋"/>
        </w:rPr>
        <w:t>“摊大饼”式扩</w:t>
      </w:r>
      <w:r>
        <w:rPr>
          <w:rFonts w:ascii="仿宋" w:hAnsi="仿宋" w:eastAsia="仿宋"/>
        </w:rPr>
        <w:t>张在许多城市引发了市域行政区划混乱、城市空间结构畸形、公共服务和施政效益低下的问题，还会加剧地级市政府间的竞争，从而扩大地方政府债务规模（乔俊峰和黄智琛，</w:t>
      </w:r>
      <w:r>
        <w:rPr>
          <w:rFonts w:ascii="Times New Roman" w:hAnsi="Times New Roman" w:eastAsia="仿宋"/>
        </w:rPr>
        <w:t>2021</w:t>
      </w:r>
      <w:r>
        <w:rPr>
          <w:rFonts w:ascii="仿宋" w:hAnsi="仿宋" w:eastAsia="仿宋"/>
        </w:rPr>
        <w:t>），出现了更加严重的市场分割（贺颖和吕冰洋，</w:t>
      </w:r>
      <w:r>
        <w:rPr>
          <w:rFonts w:ascii="Times New Roman" w:hAnsi="Times New Roman" w:eastAsia="仿宋"/>
        </w:rPr>
        <w:t>2019</w:t>
      </w:r>
      <w:r>
        <w:rPr>
          <w:rFonts w:ascii="仿宋" w:hAnsi="仿宋" w:eastAsia="仿宋"/>
        </w:rPr>
        <w:t>）。对于已经出现的一系列负面效应，</w:t>
      </w:r>
      <w:r>
        <w:rPr>
          <w:rFonts w:ascii="Times New Roman" w:hAnsi="Times New Roman" w:eastAsia="仿宋"/>
        </w:rPr>
        <w:t>2022</w:t>
      </w:r>
      <w:r>
        <w:rPr>
          <w:rFonts w:ascii="仿宋" w:hAnsi="仿宋" w:eastAsia="仿宋"/>
        </w:rPr>
        <w:t>年政府工作报告明确指出，要提升新型城镇化质量，严控撤县建市设区。</w:t>
      </w:r>
    </w:p>
    <w:p>
      <w:pPr>
        <w:spacing w:before="156" w:beforeLines="50" w:after="156" w:afterLines="50"/>
        <w:outlineLvl w:val="0"/>
        <w:rPr>
          <w:rFonts w:ascii="Times New Roman" w:hAnsi="Times New Roman" w:eastAsia="仿宋"/>
        </w:rPr>
      </w:pPr>
      <w:bookmarkStart w:id="8" w:name="_Hlk126597072"/>
      <w:bookmarkEnd w:id="8"/>
      <w:bookmarkStart w:id="9" w:name="_Toc13706"/>
      <w:bookmarkStart w:id="10" w:name="_Toc27971"/>
      <w:r>
        <w:rPr>
          <w:rFonts w:hint="eastAsia" w:ascii="仿宋" w:hAnsi="仿宋" w:eastAsia="仿宋"/>
        </w:rPr>
        <w:t>（</w:t>
      </w:r>
      <w:r>
        <w:rPr>
          <w:rFonts w:hint="eastAsia" w:ascii="仿宋" w:hAnsi="仿宋" w:eastAsia="仿宋"/>
          <w:lang w:val="en-US" w:eastAsia="zh-CN"/>
        </w:rPr>
        <w:t>3</w:t>
      </w:r>
      <w:r>
        <w:rPr>
          <w:rFonts w:hint="eastAsia" w:ascii="仿宋" w:hAnsi="仿宋" w:eastAsia="仿宋"/>
        </w:rPr>
        <w:t>）逻辑框架</w:t>
      </w:r>
      <w:bookmarkEnd w:id="9"/>
      <w:bookmarkEnd w:id="10"/>
    </w:p>
    <w:p>
      <w:pPr>
        <w:ind w:firstLine="420" w:firstLineChars="200"/>
        <w:rPr>
          <w:rFonts w:ascii="Times New Roman" w:hAnsi="Times New Roman" w:eastAsia="仿宋"/>
        </w:rPr>
      </w:pPr>
      <w:r>
        <w:rPr>
          <w:rFonts w:hint="eastAsia" w:ascii="仿宋" w:hAnsi="仿宋" w:eastAsia="仿宋"/>
        </w:rPr>
        <w:t>本文之所以利用撤县设区来识别公共服务均等化的影响，主要基于以下两点原因：</w:t>
      </w:r>
    </w:p>
    <w:p>
      <w:pPr>
        <w:ind w:firstLine="420" w:firstLineChars="200"/>
        <w:rPr>
          <w:rFonts w:ascii="Times New Roman" w:hAnsi="Times New Roman" w:eastAsia="仿宋"/>
        </w:rPr>
      </w:pPr>
      <w:r>
        <w:rPr>
          <w:rFonts w:hint="eastAsia" w:ascii="仿宋" w:hAnsi="仿宋" w:eastAsia="仿宋"/>
        </w:rPr>
        <w:t>第一，</w:t>
      </w:r>
      <w:r>
        <w:rPr>
          <w:rFonts w:ascii="仿宋" w:hAnsi="仿宋" w:eastAsia="仿宋"/>
        </w:rPr>
        <w:t>尽管行政级别相似，县级政府和区级政府</w:t>
      </w:r>
      <w:r>
        <w:rPr>
          <w:rFonts w:hint="eastAsia" w:ascii="仿宋" w:hAnsi="仿宋" w:eastAsia="仿宋"/>
        </w:rPr>
        <w:t>的财权和事权的划分截然不同，体现在下辖县的社会经济管理权限相对独立，发展的重点在乡村，财政决策相对独立、税收上缴市比例低；而市辖区与市规划统一，发展的重点在市区建设，以第二、三产业为主，财政体制不独立且税收上缴市比例高。首先，在职能定位上，</w:t>
      </w:r>
      <w:r>
        <w:rPr>
          <w:rFonts w:ascii="仿宋" w:hAnsi="仿宋" w:eastAsia="仿宋"/>
        </w:rPr>
        <w:t>县级政府和区级政府对于辖区的职能重心有很大不同。一般而言，县的管辖区域主要是农业生产区，相应的县政府的职能重心是服务当地农村经济，推动农业生产和经营的快速发展。而市辖区在本质上属于城市的行政分治区，是地级市根据城市治理和公共服务需要而设置的。</w:t>
      </w:r>
      <w:r>
        <w:rPr>
          <w:rFonts w:hint="eastAsia" w:ascii="仿宋" w:hAnsi="仿宋" w:eastAsia="仿宋"/>
        </w:rPr>
        <w:t>其次，在财政体制上，县具有独立的财政权，而</w:t>
      </w:r>
      <w:r>
        <w:rPr>
          <w:rFonts w:ascii="仿宋" w:hAnsi="仿宋" w:eastAsia="仿宋"/>
        </w:rPr>
        <w:t>地市和市辖区之间实行分税制或者财政包干制，经济建设的支出被上移给市级政府，因此区政府的支出责任主要在于辖区内部的公共服务建设支出上（范子英和赵仁杰，</w:t>
      </w:r>
      <w:r>
        <w:rPr>
          <w:rFonts w:ascii="Times New Roman" w:hAnsi="Times New Roman" w:eastAsia="仿宋"/>
        </w:rPr>
        <w:t>2020</w:t>
      </w:r>
      <w:r>
        <w:rPr>
          <w:rFonts w:ascii="仿宋" w:hAnsi="仿宋" w:eastAsia="仿宋"/>
        </w:rPr>
        <w:t>）</w:t>
      </w:r>
      <w:r>
        <w:rPr>
          <w:rFonts w:hint="eastAsia" w:ascii="仿宋" w:hAnsi="仿宋" w:eastAsia="仿宋"/>
          <w:lang w:eastAsia="zh-CN"/>
        </w:rPr>
        <w:t>。</w:t>
      </w:r>
      <w:r>
        <w:rPr>
          <w:rFonts w:ascii="仿宋" w:hAnsi="仿宋" w:eastAsia="仿宋"/>
        </w:rPr>
        <w:t>由此可见，县级政府经济发展的激励更强，生产性支出偏向更加明显；而区级政府为本地居民提供公共服务的职能则更为突出</w:t>
      </w:r>
      <w:r>
        <w:rPr>
          <w:rFonts w:hint="eastAsia" w:ascii="仿宋" w:hAnsi="仿宋" w:eastAsia="仿宋"/>
        </w:rPr>
        <w:t>。最后，在管理权限上，</w:t>
      </w:r>
      <w:bookmarkStart w:id="11" w:name="_Hlk79664914"/>
      <w:bookmarkEnd w:id="11"/>
      <w:r>
        <w:rPr>
          <w:rFonts w:ascii="仿宋" w:hAnsi="仿宋" w:eastAsia="仿宋"/>
        </w:rPr>
        <w:t>市辖区是城市治理的内部功能结构，在诸多管理权限方面受到地级市的限制，不具有县级市和县的相对独立性。县改区之后，大部分财权上收至地级市政府，原来县级政府对于经济事务的决策权被大幅削弱，与此相对应，原地方政府所承担的经济发展的义务也随之上移，其支出的责任也相应降低（卢盛峰和陈思霞，</w:t>
      </w:r>
      <w:r>
        <w:rPr>
          <w:rFonts w:ascii="Times New Roman" w:hAnsi="Times New Roman" w:eastAsia="仿宋"/>
        </w:rPr>
        <w:t>2017</w:t>
      </w:r>
      <w:r>
        <w:rPr>
          <w:rFonts w:ascii="仿宋" w:hAnsi="仿宋" w:eastAsia="仿宋"/>
        </w:rPr>
        <w:t>）。</w:t>
      </w:r>
    </w:p>
    <w:p>
      <w:pPr>
        <w:ind w:firstLine="420" w:firstLineChars="200"/>
        <w:rPr>
          <w:rFonts w:ascii="Times New Roman" w:hAnsi="Times New Roman" w:eastAsia="仿宋"/>
          <w:bCs/>
        </w:rPr>
      </w:pPr>
      <w:r>
        <w:rPr>
          <w:rFonts w:hint="eastAsia" w:ascii="仿宋" w:hAnsi="仿宋" w:eastAsia="仿宋"/>
        </w:rPr>
        <w:t>第二，</w:t>
      </w:r>
      <w:r>
        <w:rPr>
          <w:rFonts w:ascii="仿宋" w:hAnsi="仿宋" w:eastAsia="仿宋"/>
        </w:rPr>
        <w:t>市辖区作为城市主体的核心组成部分，市辖区内居民比县内居民获取公共服务的行政壁垒更小，从而可以享受到城市内部高质量的教育资源。由于分权下的地方政府竞争机制，地方间出现了严重的地方保护和市场分割（周黎安，</w:t>
      </w:r>
      <w:r>
        <w:rPr>
          <w:rFonts w:ascii="Times New Roman" w:hAnsi="Times New Roman" w:eastAsia="仿宋"/>
        </w:rPr>
        <w:t>2004</w:t>
      </w:r>
      <w:r>
        <w:rPr>
          <w:rFonts w:ascii="仿宋" w:hAnsi="仿宋" w:eastAsia="仿宋"/>
        </w:rPr>
        <w:t>）。</w:t>
      </w:r>
      <w:r>
        <w:rPr>
          <w:rFonts w:hint="eastAsia" w:ascii="仿宋" w:hAnsi="仿宋" w:eastAsia="仿宋"/>
        </w:rPr>
        <w:t>由于公共服务的外部性特征，</w:t>
      </w:r>
      <w:r>
        <w:rPr>
          <w:rFonts w:ascii="仿宋" w:hAnsi="仿宋" w:eastAsia="仿宋"/>
        </w:rPr>
        <w:t>这种依赖于行政区划的市场分割不仅体现在经济领域，在基础设施建设等公共服务方面也依旧如此</w:t>
      </w:r>
      <w:r>
        <w:rPr>
          <w:rFonts w:hint="eastAsia" w:ascii="仿宋" w:hAnsi="仿宋" w:eastAsia="仿宋"/>
        </w:rPr>
        <w:t>，因此只有城市辖区内的居民</w:t>
      </w:r>
      <w:r>
        <w:rPr>
          <w:rFonts w:ascii="仿宋" w:hAnsi="仿宋" w:eastAsia="仿宋"/>
        </w:rPr>
        <w:t>能够享受到城市内部的公共服务</w:t>
      </w:r>
      <w:r>
        <w:rPr>
          <w:rFonts w:hint="eastAsia" w:ascii="仿宋" w:hAnsi="仿宋" w:eastAsia="仿宋"/>
        </w:rPr>
        <w:t>。撤县设区以后，</w:t>
      </w:r>
      <w:r>
        <w:rPr>
          <w:rFonts w:ascii="仿宋" w:hAnsi="仿宋" w:eastAsia="仿宋"/>
        </w:rPr>
        <w:t>原本的县被纳入市一级的规划管理体系，</w:t>
      </w:r>
      <w:bookmarkStart w:id="12" w:name="_Hlk79665072"/>
      <w:r>
        <w:rPr>
          <w:rFonts w:ascii="仿宋" w:hAnsi="仿宋" w:eastAsia="仿宋"/>
        </w:rPr>
        <w:t>在城市规划、产业布局和基础设施等方面可以按照城市辖区的标准配置</w:t>
      </w:r>
      <w:bookmarkEnd w:id="12"/>
      <w:r>
        <w:rPr>
          <w:rFonts w:ascii="仿宋" w:hAnsi="仿宋" w:eastAsia="仿宋"/>
        </w:rPr>
        <w:t>（唐为和王媛，</w:t>
      </w:r>
      <w:r>
        <w:rPr>
          <w:rFonts w:ascii="Times New Roman" w:hAnsi="Times New Roman" w:eastAsia="仿宋"/>
        </w:rPr>
        <w:t>2015</w:t>
      </w:r>
      <w:r>
        <w:rPr>
          <w:rFonts w:ascii="仿宋" w:hAnsi="仿宋" w:eastAsia="仿宋"/>
        </w:rPr>
        <w:t>；</w:t>
      </w:r>
      <w:r>
        <w:rPr>
          <w:rFonts w:ascii="Times New Roman" w:hAnsi="Times New Roman" w:eastAsia="仿宋"/>
        </w:rPr>
        <w:t xml:space="preserve">Tang </w:t>
      </w:r>
      <w:r>
        <w:rPr>
          <w:rFonts w:hint="eastAsia" w:ascii="Times New Roman" w:hAnsi="Times New Roman" w:eastAsia="仿宋"/>
          <w:lang w:val="en-US" w:eastAsia="zh-CN"/>
        </w:rPr>
        <w:t>and</w:t>
      </w:r>
      <w:r>
        <w:rPr>
          <w:rFonts w:ascii="Times New Roman" w:hAnsi="Times New Roman" w:eastAsia="仿宋"/>
        </w:rPr>
        <w:t xml:space="preserve"> Hewings</w:t>
      </w:r>
      <w:r>
        <w:rPr>
          <w:rFonts w:ascii="仿宋" w:hAnsi="仿宋" w:eastAsia="仿宋"/>
        </w:rPr>
        <w:t>，</w:t>
      </w:r>
      <w:r>
        <w:rPr>
          <w:rFonts w:ascii="Times New Roman" w:hAnsi="Times New Roman" w:eastAsia="仿宋"/>
        </w:rPr>
        <w:t>2017</w:t>
      </w:r>
      <w:r>
        <w:rPr>
          <w:rFonts w:ascii="仿宋" w:hAnsi="仿宋" w:eastAsia="仿宋"/>
        </w:rPr>
        <w:t>）</w:t>
      </w:r>
      <w:r>
        <w:rPr>
          <w:rFonts w:hint="eastAsia" w:ascii="仿宋" w:hAnsi="仿宋" w:eastAsia="仿宋"/>
        </w:rPr>
        <w:t>，同时由于行政壁垒被打破，原撤并县的居民也可以享受城市内部的公共服务</w:t>
      </w:r>
      <w:r>
        <w:rPr>
          <w:rFonts w:ascii="仿宋" w:hAnsi="仿宋" w:eastAsia="仿宋"/>
        </w:rPr>
        <w:t>。</w:t>
      </w:r>
      <w:r>
        <w:rPr>
          <w:rFonts w:hint="eastAsia" w:ascii="仿宋" w:hAnsi="仿宋" w:eastAsia="仿宋"/>
        </w:rPr>
        <w:t>例如，</w:t>
      </w:r>
      <w:r>
        <w:rPr>
          <w:rFonts w:ascii="仿宋" w:hAnsi="仿宋" w:eastAsia="仿宋"/>
          <w:bCs/>
        </w:rPr>
        <w:t>南京溧水在撤县设区之前，溧水不可以报考</w:t>
      </w:r>
      <w:r>
        <w:rPr>
          <w:rFonts w:hint="eastAsia" w:ascii="仿宋" w:hAnsi="仿宋" w:eastAsia="仿宋"/>
          <w:bCs/>
        </w:rPr>
        <w:t>南京</w:t>
      </w:r>
      <w:r>
        <w:rPr>
          <w:rFonts w:ascii="仿宋" w:hAnsi="仿宋" w:eastAsia="仿宋"/>
          <w:bCs/>
        </w:rPr>
        <w:t>城区的高中，而在</w:t>
      </w:r>
      <w:r>
        <w:rPr>
          <w:rFonts w:ascii="Times New Roman" w:hAnsi="Times New Roman" w:eastAsia="仿宋"/>
          <w:bCs/>
        </w:rPr>
        <w:t>2007</w:t>
      </w:r>
      <w:r>
        <w:rPr>
          <w:rFonts w:ascii="仿宋" w:hAnsi="仿宋" w:eastAsia="仿宋"/>
          <w:bCs/>
        </w:rPr>
        <w:t>年撤县设区之后，溧水区与</w:t>
      </w:r>
      <w:r>
        <w:rPr>
          <w:rFonts w:hint="eastAsia" w:ascii="仿宋" w:hAnsi="仿宋" w:eastAsia="仿宋"/>
          <w:bCs/>
        </w:rPr>
        <w:t>南京</w:t>
      </w:r>
      <w:r>
        <w:rPr>
          <w:rFonts w:ascii="仿宋" w:hAnsi="仿宋" w:eastAsia="仿宋"/>
          <w:bCs/>
        </w:rPr>
        <w:t>城区实施了教育并轨和统一招生</w:t>
      </w:r>
      <w:r>
        <w:rPr>
          <w:rFonts w:hint="eastAsia" w:ascii="仿宋" w:hAnsi="仿宋" w:eastAsia="仿宋"/>
          <w:bCs/>
        </w:rPr>
        <w:t>。</w:t>
      </w:r>
    </w:p>
    <w:p>
      <w:pPr>
        <w:ind w:firstLine="420" w:firstLineChars="200"/>
        <w:rPr>
          <w:rFonts w:ascii="Times New Roman" w:hAnsi="Times New Roman" w:eastAsia="仿宋"/>
        </w:rPr>
      </w:pPr>
      <w:r>
        <w:rPr>
          <w:rFonts w:hint="eastAsia" w:ascii="仿宋" w:hAnsi="仿宋" w:eastAsia="仿宋"/>
          <w:bCs/>
        </w:rPr>
        <w:t>图</w:t>
      </w:r>
      <w:r>
        <w:rPr>
          <w:rFonts w:hint="eastAsia" w:ascii="宋体" w:hAnsi="宋体" w:eastAsia="宋体" w:cs="宋体"/>
          <w:bCs/>
        </w:rPr>
        <w:t>Ⅰ</w:t>
      </w:r>
      <w:r>
        <w:rPr>
          <w:rFonts w:ascii="Times New Roman" w:hAnsi="Times New Roman" w:eastAsia="仿宋"/>
          <w:bCs/>
        </w:rPr>
        <w:t>4</w:t>
      </w:r>
      <w:r>
        <w:rPr>
          <w:rFonts w:hint="eastAsia" w:ascii="仿宋" w:hAnsi="仿宋" w:eastAsia="仿宋"/>
          <w:bCs/>
        </w:rPr>
        <w:t>展示了本文的逻辑框架图。</w:t>
      </w:r>
      <w:bookmarkStart w:id="13" w:name="_Hlk126577253"/>
      <w:r>
        <w:rPr>
          <w:rFonts w:hint="eastAsia" w:ascii="仿宋" w:hAnsi="仿宋" w:eastAsia="仿宋"/>
          <w:bCs/>
        </w:rPr>
        <w:t>在本文的逻辑框架中，撤县设区一方面提高了地方政府教育投入的激励，促进了教育投入的公平性，另一方面破除了教育资源的行政壁垒，改善了资源分配的机会不均等，上述两条机制在事实上促进了公共服务的均等化和教育公平，从而促进了学龄期儿童人力资本积累水平的提升以及长期收入的提高。</w:t>
      </w:r>
      <w:bookmarkEnd w:id="13"/>
    </w:p>
    <w:p>
      <w:pPr>
        <w:ind w:firstLine="840" w:firstLineChars="400"/>
        <w:rPr>
          <w:rFonts w:ascii="Times New Roman" w:hAnsi="Times New Roman" w:eastAsia="仿宋"/>
        </w:rPr>
      </w:pPr>
      <w:bookmarkStart w:id="14" w:name="_Hlk126577212"/>
      <w:bookmarkEnd w:id="14"/>
      <w:r>
        <w:drawing>
          <wp:inline distT="0" distB="0" distL="0" distR="0">
            <wp:extent cx="4216400" cy="31832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16400" cy="3183255"/>
                    </a:xfrm>
                    <a:prstGeom prst="rect">
                      <a:avLst/>
                    </a:prstGeom>
                    <a:noFill/>
                    <a:ln>
                      <a:noFill/>
                    </a:ln>
                  </pic:spPr>
                </pic:pic>
              </a:graphicData>
            </a:graphic>
          </wp:inline>
        </w:drawing>
      </w:r>
    </w:p>
    <w:p>
      <w:pPr>
        <w:jc w:val="center"/>
        <w:rPr>
          <w:rFonts w:hint="eastAsia" w:ascii="宋体" w:hAnsi="宋体" w:eastAsia="宋体" w:cs="宋体"/>
          <w:b/>
          <w:bCs/>
          <w:sz w:val="20"/>
          <w:szCs w:val="20"/>
        </w:rPr>
      </w:pPr>
      <w:r>
        <w:rPr>
          <w:rFonts w:hint="eastAsia" w:ascii="宋体" w:hAnsi="宋体" w:eastAsia="宋体" w:cs="宋体"/>
          <w:b/>
          <w:bCs/>
          <w:sz w:val="20"/>
          <w:szCs w:val="20"/>
        </w:rPr>
        <w:t>图I4 逻辑框架图</w:t>
      </w:r>
    </w:p>
    <w:p>
      <w:pPr>
        <w:rPr>
          <w:rFonts w:ascii="Times New Roman" w:hAnsi="Times New Roman" w:eastAsia="仿宋" w:cs="Times New Roman"/>
          <w:sz w:val="36"/>
          <w:szCs w:val="36"/>
        </w:rPr>
      </w:pPr>
    </w:p>
    <w:p>
      <w:pPr>
        <w:rPr>
          <w:rFonts w:ascii="Times New Roman" w:hAnsi="Times New Roman" w:eastAsia="仿宋" w:cs="Times New Roman"/>
          <w:sz w:val="36"/>
          <w:szCs w:val="36"/>
        </w:rPr>
      </w:pPr>
    </w:p>
    <w:p>
      <w:pPr>
        <w:pStyle w:val="10"/>
        <w:bidi w:val="0"/>
        <w:ind w:left="0" w:leftChars="0" w:firstLine="0" w:firstLineChars="0"/>
        <w:jc w:val="center"/>
        <w:outlineLvl w:val="0"/>
        <w:rPr>
          <w:rFonts w:hint="eastAsia" w:ascii="楷体" w:hAnsi="楷体" w:eastAsia="楷体" w:cs="楷体"/>
          <w:sz w:val="28"/>
          <w:szCs w:val="28"/>
          <w:lang w:val="en-US" w:eastAsia="zh-CN"/>
        </w:rPr>
      </w:pPr>
      <w:r>
        <w:rPr>
          <w:rFonts w:hint="eastAsia" w:ascii="楷体" w:hAnsi="楷体" w:eastAsia="楷体"/>
          <w:sz w:val="28"/>
          <w:szCs w:val="28"/>
          <w:shd w:val="clear" w:color="auto" w:fill="FFFFFF"/>
        </w:rPr>
        <w:br w:type="page"/>
      </w:r>
      <w:bookmarkStart w:id="15" w:name="_Toc24271"/>
      <w:r>
        <w:rPr>
          <w:rFonts w:hint="eastAsia" w:ascii="楷体" w:hAnsi="楷体" w:eastAsia="楷体" w:cs="楷体"/>
          <w:sz w:val="28"/>
          <w:szCs w:val="28"/>
          <w:lang w:val="en-US" w:eastAsia="zh-CN"/>
        </w:rPr>
        <w:t>附录II 附表及附图</w:t>
      </w:r>
      <w:bookmarkEnd w:id="15"/>
    </w:p>
    <w:p>
      <w:pPr>
        <w:spacing w:line="380" w:lineRule="exact"/>
        <w:jc w:val="center"/>
        <w:rPr>
          <w:rFonts w:hint="eastAsia" w:ascii="黑体" w:hAnsi="黑体" w:eastAsia="黑体" w:cs="Times New Roman"/>
          <w:bCs/>
          <w:sz w:val="18"/>
          <w:szCs w:val="18"/>
        </w:rPr>
      </w:pPr>
    </w:p>
    <w:p>
      <w:pPr>
        <w:jc w:val="center"/>
        <w:rPr>
          <w:rFonts w:ascii="Times New Roman" w:hAnsi="Times New Roman" w:eastAsia="仿宋" w:cs="Times New Roman"/>
        </w:rPr>
      </w:pPr>
      <w:r>
        <w:rPr>
          <w:rFonts w:ascii="等线" w:hAnsi="等线" w:eastAsia="等线" w:cs="Times New Roman"/>
        </w:rPr>
        <w:drawing>
          <wp:inline distT="0" distB="0" distL="0" distR="0">
            <wp:extent cx="2480945" cy="1651000"/>
            <wp:effectExtent l="0" t="0" r="14605"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480945" cy="1651000"/>
                    </a:xfrm>
                    <a:prstGeom prst="rect">
                      <a:avLst/>
                    </a:prstGeom>
                    <a:noFill/>
                    <a:ln>
                      <a:noFill/>
                    </a:ln>
                  </pic:spPr>
                </pic:pic>
              </a:graphicData>
            </a:graphic>
          </wp:inline>
        </w:drawing>
      </w:r>
      <w:r>
        <w:rPr>
          <w:rFonts w:ascii="等线" w:hAnsi="等线" w:eastAsia="等线" w:cs="Times New Roman"/>
        </w:rPr>
        <w:drawing>
          <wp:inline distT="0" distB="0" distL="0" distR="0">
            <wp:extent cx="2480945" cy="1651000"/>
            <wp:effectExtent l="0" t="0" r="1460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480945" cy="1651000"/>
                    </a:xfrm>
                    <a:prstGeom prst="rect">
                      <a:avLst/>
                    </a:prstGeom>
                    <a:noFill/>
                    <a:ln>
                      <a:noFill/>
                    </a:ln>
                  </pic:spPr>
                </pic:pic>
              </a:graphicData>
            </a:graphic>
          </wp:inline>
        </w:drawing>
      </w:r>
    </w:p>
    <w:p>
      <w:pPr>
        <w:jc w:val="center"/>
        <w:rPr>
          <w:rFonts w:hint="eastAsia" w:ascii="仿宋" w:hAnsi="仿宋" w:eastAsia="仿宋" w:cs="仿宋"/>
          <w:sz w:val="18"/>
          <w:szCs w:val="18"/>
        </w:rPr>
      </w:pPr>
      <w:r>
        <w:rPr>
          <w:rFonts w:hint="eastAsia" w:ascii="仿宋" w:hAnsi="仿宋" w:eastAsia="仿宋" w:cs="仿宋"/>
          <w:sz w:val="18"/>
          <w:szCs w:val="18"/>
          <w:lang w:val="en-US" w:eastAsia="zh-CN"/>
        </w:rPr>
        <w:t>(a)</w:t>
      </w:r>
      <w:r>
        <w:rPr>
          <w:rFonts w:hint="eastAsia" w:ascii="仿宋" w:hAnsi="仿宋" w:eastAsia="仿宋" w:cs="仿宋"/>
          <w:sz w:val="18"/>
          <w:szCs w:val="18"/>
        </w:rPr>
        <w:t xml:space="preserve">高中入学率                         </w:t>
      </w:r>
      <w:r>
        <w:rPr>
          <w:rFonts w:hint="eastAsia" w:ascii="仿宋" w:hAnsi="仿宋" w:eastAsia="仿宋" w:cs="仿宋"/>
          <w:sz w:val="18"/>
          <w:szCs w:val="18"/>
          <w:lang w:val="en-US" w:eastAsia="zh-CN"/>
        </w:rPr>
        <w:t xml:space="preserve">      </w:t>
      </w:r>
      <w:r>
        <w:rPr>
          <w:rFonts w:hint="eastAsia" w:ascii="仿宋" w:hAnsi="仿宋" w:eastAsia="仿宋" w:cs="仿宋"/>
          <w:sz w:val="18"/>
          <w:szCs w:val="18"/>
        </w:rPr>
        <w:t xml:space="preserve"> </w:t>
      </w:r>
      <w:r>
        <w:rPr>
          <w:rFonts w:hint="eastAsia" w:ascii="仿宋" w:hAnsi="仿宋" w:eastAsia="仿宋" w:cs="仿宋"/>
          <w:sz w:val="18"/>
          <w:szCs w:val="18"/>
          <w:lang w:val="en-US" w:eastAsia="zh-CN"/>
        </w:rPr>
        <w:t>(b)</w:t>
      </w:r>
      <w:r>
        <w:rPr>
          <w:rFonts w:hint="eastAsia" w:ascii="仿宋" w:hAnsi="仿宋" w:eastAsia="仿宋" w:cs="仿宋"/>
          <w:sz w:val="18"/>
          <w:szCs w:val="18"/>
        </w:rPr>
        <w:t>大学入学率</w:t>
      </w:r>
    </w:p>
    <w:p>
      <w:pPr>
        <w:jc w:val="center"/>
        <w:rPr>
          <w:rFonts w:ascii="Times New Roman" w:hAnsi="Times New Roman" w:eastAsia="黑体" w:cs="Times New Roman"/>
          <w:szCs w:val="21"/>
        </w:rPr>
      </w:pPr>
      <w:r>
        <w:rPr>
          <w:rFonts w:ascii="等线" w:hAnsi="等线" w:eastAsia="等线" w:cs="Times New Roman"/>
        </w:rPr>
        <w:drawing>
          <wp:inline distT="0" distB="0" distL="0" distR="0">
            <wp:extent cx="2480945" cy="1651000"/>
            <wp:effectExtent l="0" t="0" r="14605"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480945" cy="1651000"/>
                    </a:xfrm>
                    <a:prstGeom prst="rect">
                      <a:avLst/>
                    </a:prstGeom>
                    <a:noFill/>
                    <a:ln>
                      <a:noFill/>
                    </a:ln>
                  </pic:spPr>
                </pic:pic>
              </a:graphicData>
            </a:graphic>
          </wp:inline>
        </w:drawing>
      </w:r>
      <w:r>
        <w:rPr>
          <w:rFonts w:ascii="Times New Roman" w:hAnsi="Times New Roman" w:eastAsia="黑体" w:cs="Times New Roman"/>
        </w:rPr>
        <w:t xml:space="preserve"> </w:t>
      </w:r>
    </w:p>
    <w:p>
      <w:pPr>
        <w:jc w:val="center"/>
        <w:rPr>
          <w:rFonts w:hint="eastAsia" w:ascii="仿宋" w:hAnsi="仿宋" w:eastAsia="仿宋" w:cs="仿宋"/>
          <w:sz w:val="18"/>
          <w:szCs w:val="18"/>
        </w:rPr>
      </w:pPr>
      <w:r>
        <w:rPr>
          <w:rFonts w:hint="eastAsia" w:ascii="仿宋" w:hAnsi="仿宋" w:eastAsia="仿宋" w:cs="仿宋"/>
          <w:sz w:val="18"/>
          <w:szCs w:val="18"/>
          <w:lang w:val="en-US" w:eastAsia="zh-CN"/>
        </w:rPr>
        <w:t>(c)</w:t>
      </w:r>
      <w:r>
        <w:rPr>
          <w:rFonts w:hint="eastAsia" w:ascii="仿宋" w:hAnsi="仿宋" w:eastAsia="仿宋" w:cs="仿宋"/>
          <w:sz w:val="18"/>
          <w:szCs w:val="18"/>
        </w:rPr>
        <w:t>受教育年限</w:t>
      </w:r>
    </w:p>
    <w:p>
      <w:pPr>
        <w:jc w:val="center"/>
        <w:rPr>
          <w:rFonts w:hint="eastAsia" w:ascii="宋体" w:hAnsi="宋体" w:eastAsia="宋体" w:cs="宋体"/>
          <w:b/>
          <w:bCs/>
          <w:sz w:val="20"/>
          <w:szCs w:val="20"/>
        </w:rPr>
      </w:pPr>
      <w:r>
        <w:rPr>
          <w:rFonts w:hint="eastAsia" w:ascii="宋体" w:hAnsi="宋体" w:eastAsia="宋体" w:cs="宋体"/>
          <w:b/>
          <w:bCs/>
          <w:sz w:val="20"/>
          <w:szCs w:val="20"/>
        </w:rPr>
        <w:t>图</w:t>
      </w:r>
      <w:r>
        <w:rPr>
          <w:rFonts w:hint="eastAsia" w:ascii="宋体" w:hAnsi="宋体" w:eastAsia="宋体" w:cs="宋体"/>
          <w:b/>
          <w:bCs/>
          <w:sz w:val="20"/>
          <w:szCs w:val="20"/>
          <w:lang w:val="en-US" w:eastAsia="zh-CN"/>
        </w:rPr>
        <w:t>A1</w:t>
      </w:r>
      <w:r>
        <w:rPr>
          <w:rFonts w:hint="eastAsia" w:ascii="宋体" w:hAnsi="宋体" w:eastAsia="宋体" w:cs="宋体"/>
          <w:b/>
          <w:bCs/>
          <w:sz w:val="20"/>
          <w:szCs w:val="20"/>
        </w:rPr>
        <w:t xml:space="preserve"> 平行趋势检验</w:t>
      </w:r>
    </w:p>
    <w:p>
      <w:pPr>
        <w:ind w:firstLine="360" w:firstLineChars="200"/>
        <w:rPr>
          <w:rFonts w:ascii="Times New Roman" w:hAnsi="Times New Roman" w:eastAsia="仿宋" w:cs="Times New Roman"/>
          <w:kern w:val="0"/>
          <w:sz w:val="18"/>
          <w:szCs w:val="18"/>
        </w:rPr>
      </w:pPr>
      <w:r>
        <w:rPr>
          <w:rFonts w:ascii="仿宋" w:hAnsi="仿宋" w:eastAsia="仿宋" w:cs="Times New Roman"/>
          <w:kern w:val="0"/>
          <w:sz w:val="18"/>
          <w:szCs w:val="18"/>
        </w:rPr>
        <w:t>注：</w:t>
      </w:r>
      <w:r>
        <w:rPr>
          <w:rFonts w:hint="eastAsia" w:ascii="仿宋" w:hAnsi="仿宋" w:eastAsia="仿宋" w:cs="Times New Roman"/>
          <w:kern w:val="0"/>
          <w:sz w:val="18"/>
          <w:szCs w:val="18"/>
        </w:rPr>
        <w:t>图</w:t>
      </w:r>
      <w:r>
        <w:rPr>
          <w:rFonts w:hint="eastAsia" w:ascii="仿宋" w:hAnsi="仿宋" w:eastAsia="仿宋" w:cs="Times New Roman"/>
          <w:kern w:val="0"/>
          <w:sz w:val="18"/>
          <w:szCs w:val="18"/>
          <w:lang w:val="en-US" w:eastAsia="zh-CN"/>
        </w:rPr>
        <w:t>A</w:t>
      </w:r>
      <w:r>
        <w:rPr>
          <w:rFonts w:hint="eastAsia" w:ascii="仿宋" w:hAnsi="仿宋" w:eastAsia="仿宋" w:cs="Times New Roman"/>
          <w:kern w:val="0"/>
          <w:sz w:val="18"/>
          <w:szCs w:val="18"/>
        </w:rPr>
        <w:t>1</w:t>
      </w:r>
      <w:r>
        <w:rPr>
          <w:rFonts w:ascii="仿宋" w:hAnsi="仿宋" w:eastAsia="仿宋" w:cs="Times New Roman"/>
          <w:kern w:val="0"/>
          <w:sz w:val="18"/>
          <w:szCs w:val="18"/>
        </w:rPr>
        <w:t>中报告的是出生群组虚拟变量与</w:t>
      </w:r>
      <w:r>
        <w:rPr>
          <w:rFonts w:hint="eastAsia" w:ascii="仿宋" w:hAnsi="仿宋" w:eastAsia="仿宋" w:cs="Times New Roman"/>
          <w:sz w:val="18"/>
          <w:szCs w:val="18"/>
        </w:rPr>
        <w:t>撤县设区</w:t>
      </w:r>
      <w:r>
        <w:rPr>
          <w:rFonts w:ascii="仿宋" w:hAnsi="仿宋" w:eastAsia="仿宋" w:cs="Times New Roman"/>
          <w:kern w:val="0"/>
          <w:sz w:val="18"/>
          <w:szCs w:val="18"/>
        </w:rPr>
        <w:t>虚拟变量交互项的估计系数及</w:t>
      </w:r>
      <w:r>
        <w:rPr>
          <w:rFonts w:ascii="Times New Roman" w:hAnsi="Times New Roman" w:eastAsia="仿宋" w:cs="Times New Roman"/>
          <w:kern w:val="0"/>
          <w:sz w:val="18"/>
          <w:szCs w:val="18"/>
        </w:rPr>
        <w:t>95%</w:t>
      </w:r>
      <w:r>
        <w:rPr>
          <w:rFonts w:ascii="仿宋" w:hAnsi="仿宋" w:eastAsia="仿宋" w:cs="Times New Roman"/>
          <w:kern w:val="0"/>
          <w:sz w:val="18"/>
          <w:szCs w:val="18"/>
        </w:rPr>
        <w:t>水平上的置信区间。横坐标衡量了个体高中入学距离</w:t>
      </w:r>
      <w:r>
        <w:rPr>
          <w:rFonts w:hint="eastAsia" w:ascii="仿宋" w:hAnsi="仿宋" w:eastAsia="仿宋" w:cs="Times New Roman"/>
          <w:sz w:val="18"/>
          <w:szCs w:val="18"/>
        </w:rPr>
        <w:t>撤县设区</w:t>
      </w:r>
      <w:r>
        <w:rPr>
          <w:rFonts w:ascii="仿宋" w:hAnsi="仿宋" w:eastAsia="仿宋" w:cs="Times New Roman"/>
          <w:kern w:val="0"/>
          <w:sz w:val="18"/>
          <w:szCs w:val="18"/>
        </w:rPr>
        <w:t>的时间（年），纵坐标衡量了回归系数。</w:t>
      </w:r>
    </w:p>
    <w:p>
      <w:pPr>
        <w:jc w:val="center"/>
        <w:rPr>
          <w:rFonts w:ascii="黑体" w:hAnsi="黑体" w:eastAsia="黑体" w:cs="Times New Roman"/>
          <w:sz w:val="18"/>
          <w:szCs w:val="18"/>
        </w:rPr>
      </w:pPr>
    </w:p>
    <w:p>
      <w:pPr>
        <w:jc w:val="center"/>
        <w:rPr>
          <w:rFonts w:ascii="黑体" w:hAnsi="黑体" w:eastAsia="黑体" w:cs="Times New Roman"/>
          <w:sz w:val="18"/>
          <w:szCs w:val="18"/>
        </w:rPr>
      </w:pPr>
    </w:p>
    <w:p>
      <w:pPr>
        <w:jc w:val="center"/>
        <w:rPr>
          <w:rFonts w:ascii="黑体" w:hAnsi="黑体" w:eastAsia="黑体" w:cs="Times New Roman"/>
          <w:sz w:val="18"/>
          <w:szCs w:val="18"/>
        </w:rPr>
      </w:pPr>
    </w:p>
    <w:p>
      <w:pPr>
        <w:jc w:val="center"/>
        <w:rPr>
          <w:rFonts w:hint="eastAsia" w:ascii="黑体" w:hAnsi="黑体" w:eastAsia="黑体" w:cs="Times New Roman"/>
          <w:sz w:val="18"/>
          <w:szCs w:val="18"/>
        </w:rPr>
      </w:pPr>
    </w:p>
    <w:p>
      <w:pPr>
        <w:rPr>
          <w:rFonts w:ascii="等线" w:hAnsi="等线" w:eastAsia="等线" w:cs="Times New Roman"/>
        </w:rPr>
      </w:pPr>
      <w:r>
        <w:rPr>
          <w:rFonts w:ascii="等线" w:hAnsi="等线" w:eastAsia="等线" w:cs="Times New Roman"/>
        </w:rPr>
        <w:br w:type="page"/>
      </w:r>
    </w:p>
    <w:p>
      <w:pPr>
        <w:spacing w:line="360" w:lineRule="auto"/>
        <w:jc w:val="center"/>
        <w:rPr>
          <w:rFonts w:hint="eastAsia" w:ascii="等线" w:hAnsi="等线" w:eastAsia="等线" w:cs="Times New Roman"/>
        </w:rPr>
      </w:pPr>
      <w:r>
        <w:rPr>
          <w:rFonts w:ascii="等线" w:hAnsi="等线" w:eastAsia="等线" w:cs="Times New Roman"/>
        </w:rPr>
        <w:drawing>
          <wp:inline distT="0" distB="0" distL="0" distR="0">
            <wp:extent cx="2480945" cy="1803400"/>
            <wp:effectExtent l="0" t="0" r="14605"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480945" cy="1803400"/>
                    </a:xfrm>
                    <a:prstGeom prst="rect">
                      <a:avLst/>
                    </a:prstGeom>
                    <a:noFill/>
                    <a:ln>
                      <a:noFill/>
                    </a:ln>
                  </pic:spPr>
                </pic:pic>
              </a:graphicData>
            </a:graphic>
          </wp:inline>
        </w:drawing>
      </w:r>
      <w:r>
        <w:rPr>
          <w:rFonts w:ascii="等线" w:hAnsi="等线" w:eastAsia="等线" w:cs="Times New Roman"/>
        </w:rPr>
        <w:drawing>
          <wp:inline distT="0" distB="0" distL="0" distR="0">
            <wp:extent cx="2480945" cy="1803400"/>
            <wp:effectExtent l="0" t="0" r="1460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480945" cy="1803400"/>
                    </a:xfrm>
                    <a:prstGeom prst="rect">
                      <a:avLst/>
                    </a:prstGeom>
                    <a:noFill/>
                    <a:ln>
                      <a:noFill/>
                    </a:ln>
                  </pic:spPr>
                </pic:pic>
              </a:graphicData>
            </a:graphic>
          </wp:inline>
        </w:drawing>
      </w:r>
      <w:r>
        <w:rPr>
          <w:rFonts w:hint="eastAsia" w:ascii="等线" w:hAnsi="等线" w:eastAsia="等线" w:cs="Times New Roman"/>
        </w:rPr>
        <w:t xml:space="preserve"> </w:t>
      </w:r>
    </w:p>
    <w:p>
      <w:pPr>
        <w:jc w:val="center"/>
        <w:rPr>
          <w:rFonts w:hint="eastAsia" w:ascii="仿宋" w:hAnsi="仿宋" w:eastAsia="仿宋" w:cs="仿宋"/>
          <w:sz w:val="18"/>
          <w:szCs w:val="18"/>
        </w:rPr>
      </w:pPr>
      <w:r>
        <w:rPr>
          <w:rFonts w:hint="eastAsia" w:ascii="仿宋" w:hAnsi="仿宋" w:eastAsia="仿宋" w:cs="仿宋"/>
          <w:sz w:val="18"/>
          <w:szCs w:val="18"/>
          <w:lang w:val="en-US" w:eastAsia="zh-CN"/>
        </w:rPr>
        <w:t>(a)</w:t>
      </w:r>
      <w:r>
        <w:rPr>
          <w:rFonts w:hint="eastAsia" w:ascii="仿宋" w:hAnsi="仿宋" w:eastAsia="仿宋" w:cs="仿宋"/>
          <w:sz w:val="18"/>
          <w:szCs w:val="18"/>
        </w:rPr>
        <w:t xml:space="preserve">高中入学率                      </w:t>
      </w:r>
      <w:r>
        <w:rPr>
          <w:rFonts w:hint="eastAsia" w:ascii="仿宋" w:hAnsi="仿宋" w:eastAsia="仿宋" w:cs="仿宋"/>
          <w:sz w:val="18"/>
          <w:szCs w:val="18"/>
          <w:lang w:val="en-US" w:eastAsia="zh-CN"/>
        </w:rPr>
        <w:t>(b)</w:t>
      </w:r>
      <w:r>
        <w:rPr>
          <w:rFonts w:hint="eastAsia" w:ascii="仿宋" w:hAnsi="仿宋" w:eastAsia="仿宋" w:cs="仿宋"/>
          <w:sz w:val="18"/>
          <w:szCs w:val="18"/>
          <w:lang w:eastAsia="zh-CN"/>
        </w:rPr>
        <w:t>大</w:t>
      </w:r>
      <w:r>
        <w:rPr>
          <w:rFonts w:hint="eastAsia" w:ascii="仿宋" w:hAnsi="仿宋" w:eastAsia="仿宋" w:cs="仿宋"/>
          <w:sz w:val="18"/>
          <w:szCs w:val="18"/>
        </w:rPr>
        <w:t>学入学率</w:t>
      </w:r>
    </w:p>
    <w:p>
      <w:pPr>
        <w:spacing w:line="360" w:lineRule="auto"/>
        <w:jc w:val="center"/>
        <w:rPr>
          <w:rFonts w:ascii="等线" w:hAnsi="等线" w:eastAsia="等线" w:cs="Times New Roman"/>
        </w:rPr>
      </w:pPr>
      <w:r>
        <w:rPr>
          <w:rFonts w:ascii="等线" w:hAnsi="等线" w:eastAsia="等线" w:cs="Times New Roman"/>
        </w:rPr>
        <w:drawing>
          <wp:inline distT="0" distB="0" distL="0" distR="0">
            <wp:extent cx="2480945" cy="1803400"/>
            <wp:effectExtent l="0" t="0" r="1460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480945" cy="1803400"/>
                    </a:xfrm>
                    <a:prstGeom prst="rect">
                      <a:avLst/>
                    </a:prstGeom>
                    <a:noFill/>
                    <a:ln>
                      <a:noFill/>
                    </a:ln>
                  </pic:spPr>
                </pic:pic>
              </a:graphicData>
            </a:graphic>
          </wp:inline>
        </w:drawing>
      </w:r>
      <w:r>
        <w:rPr>
          <w:rFonts w:hint="eastAsia" w:ascii="等线" w:hAnsi="等线" w:eastAsia="等线" w:cs="Times New Roman"/>
        </w:rPr>
        <w:t xml:space="preserve"> </w:t>
      </w:r>
    </w:p>
    <w:p>
      <w:pPr>
        <w:jc w:val="center"/>
        <w:rPr>
          <w:rFonts w:hint="eastAsia" w:ascii="仿宋" w:hAnsi="仿宋" w:eastAsia="仿宋" w:cs="仿宋"/>
          <w:sz w:val="18"/>
          <w:szCs w:val="18"/>
        </w:rPr>
      </w:pPr>
      <w:r>
        <w:rPr>
          <w:rFonts w:hint="eastAsia" w:ascii="仿宋" w:hAnsi="仿宋" w:eastAsia="仿宋" w:cs="仿宋"/>
          <w:sz w:val="18"/>
          <w:szCs w:val="18"/>
          <w:lang w:val="en-US" w:eastAsia="zh-CN"/>
        </w:rPr>
        <w:t>(c)</w:t>
      </w:r>
      <w:r>
        <w:rPr>
          <w:rFonts w:hint="eastAsia" w:ascii="仿宋" w:hAnsi="仿宋" w:eastAsia="仿宋" w:cs="仿宋"/>
          <w:sz w:val="18"/>
          <w:szCs w:val="18"/>
        </w:rPr>
        <w:t>受教育年限</w:t>
      </w:r>
    </w:p>
    <w:p>
      <w:pPr>
        <w:jc w:val="center"/>
        <w:rPr>
          <w:rFonts w:hint="eastAsia" w:ascii="宋体" w:hAnsi="宋体" w:eastAsia="宋体" w:cs="宋体"/>
          <w:b/>
          <w:bCs/>
          <w:sz w:val="20"/>
          <w:szCs w:val="20"/>
        </w:rPr>
      </w:pPr>
      <w:r>
        <w:rPr>
          <w:rFonts w:hint="eastAsia" w:ascii="宋体" w:hAnsi="宋体" w:eastAsia="宋体" w:cs="宋体"/>
          <w:b/>
          <w:bCs/>
          <w:sz w:val="20"/>
          <w:szCs w:val="20"/>
        </w:rPr>
        <w:t>图</w:t>
      </w:r>
      <w:r>
        <w:rPr>
          <w:rFonts w:hint="eastAsia" w:ascii="宋体" w:hAnsi="宋体" w:eastAsia="宋体" w:cs="宋体"/>
          <w:b/>
          <w:bCs/>
          <w:sz w:val="20"/>
          <w:szCs w:val="20"/>
          <w:lang w:val="en-US" w:eastAsia="zh-CN"/>
        </w:rPr>
        <w:t>A</w:t>
      </w:r>
      <w:r>
        <w:rPr>
          <w:rFonts w:hint="eastAsia" w:ascii="宋体" w:hAnsi="宋体" w:eastAsia="宋体" w:cs="宋体"/>
          <w:b/>
          <w:bCs/>
          <w:sz w:val="20"/>
          <w:szCs w:val="20"/>
        </w:rPr>
        <w:t>2 异质性处理效应（Borusyak et al.，2021）</w:t>
      </w:r>
    </w:p>
    <w:p>
      <w:pPr>
        <w:jc w:val="center"/>
        <w:rPr>
          <w:rFonts w:ascii="黑体" w:hAnsi="黑体" w:eastAsia="黑体" w:cs="Times New Roman"/>
          <w:sz w:val="18"/>
          <w:szCs w:val="18"/>
        </w:rPr>
      </w:pPr>
    </w:p>
    <w:p>
      <w:pPr>
        <w:rPr>
          <w:rFonts w:ascii="等线" w:hAnsi="等线" w:eastAsia="等线" w:cs="Times New Roman"/>
        </w:rPr>
      </w:pPr>
    </w:p>
    <w:p>
      <w:pPr>
        <w:rPr>
          <w:rFonts w:ascii="Times New Roman" w:hAnsi="Times New Roman" w:eastAsia="宋体" w:cs="Times New Roman"/>
        </w:rPr>
      </w:pPr>
      <w:r>
        <w:rPr>
          <w:rFonts w:ascii="等线" w:hAnsi="等线" w:eastAsia="等线" w:cs="Times New Roman"/>
        </w:rPr>
        <w:drawing>
          <wp:inline distT="0" distB="0" distL="0" distR="0">
            <wp:extent cx="2480945" cy="1651000"/>
            <wp:effectExtent l="0" t="0" r="14605"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480945" cy="1651000"/>
                    </a:xfrm>
                    <a:prstGeom prst="rect">
                      <a:avLst/>
                    </a:prstGeom>
                    <a:noFill/>
                    <a:ln>
                      <a:noFill/>
                    </a:ln>
                  </pic:spPr>
                </pic:pic>
              </a:graphicData>
            </a:graphic>
          </wp:inline>
        </w:drawing>
      </w:r>
      <w:r>
        <w:rPr>
          <w:rFonts w:hint="eastAsia" w:ascii="等线" w:hAnsi="等线" w:eastAsia="等线" w:cs="Times New Roman"/>
        </w:rPr>
        <w:t xml:space="preserve"> </w:t>
      </w:r>
      <w:r>
        <w:rPr>
          <w:rFonts w:ascii="等线" w:hAnsi="等线" w:eastAsia="等线" w:cs="Times New Roman"/>
        </w:rPr>
        <w:drawing>
          <wp:inline distT="0" distB="0" distL="0" distR="0">
            <wp:extent cx="2480945" cy="1651000"/>
            <wp:effectExtent l="0" t="0" r="14605"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480945" cy="1651000"/>
                    </a:xfrm>
                    <a:prstGeom prst="rect">
                      <a:avLst/>
                    </a:prstGeom>
                    <a:noFill/>
                    <a:ln>
                      <a:noFill/>
                    </a:ln>
                  </pic:spPr>
                </pic:pic>
              </a:graphicData>
            </a:graphic>
          </wp:inline>
        </w:drawing>
      </w:r>
    </w:p>
    <w:p>
      <w:pPr>
        <w:spacing w:line="380" w:lineRule="exact"/>
        <w:jc w:val="center"/>
        <w:rPr>
          <w:rFonts w:hint="eastAsia" w:ascii="仿宋" w:hAnsi="仿宋" w:eastAsia="仿宋" w:cs="仿宋"/>
          <w:bCs/>
          <w:sz w:val="18"/>
          <w:szCs w:val="18"/>
        </w:rPr>
      </w:pPr>
      <w:r>
        <w:rPr>
          <w:rFonts w:hint="eastAsia" w:ascii="仿宋" w:hAnsi="仿宋" w:eastAsia="仿宋" w:cs="仿宋"/>
          <w:bCs/>
          <w:sz w:val="18"/>
          <w:szCs w:val="18"/>
          <w:lang w:val="en-US" w:eastAsia="zh-CN"/>
        </w:rPr>
        <w:t>(a)</w:t>
      </w:r>
      <w:r>
        <w:rPr>
          <w:rFonts w:hint="eastAsia" w:ascii="仿宋" w:hAnsi="仿宋" w:eastAsia="仿宋" w:cs="仿宋"/>
          <w:bCs/>
          <w:sz w:val="18"/>
          <w:szCs w:val="18"/>
        </w:rPr>
        <w:t xml:space="preserve">收入                                </w:t>
      </w:r>
      <w:r>
        <w:rPr>
          <w:rFonts w:hint="eastAsia" w:ascii="仿宋" w:hAnsi="仿宋" w:eastAsia="仿宋" w:cs="仿宋"/>
          <w:bCs/>
          <w:sz w:val="18"/>
          <w:szCs w:val="18"/>
          <w:lang w:val="en-US" w:eastAsia="zh-CN"/>
        </w:rPr>
        <w:t>(b)</w:t>
      </w:r>
      <w:r>
        <w:rPr>
          <w:rFonts w:hint="eastAsia" w:ascii="仿宋" w:hAnsi="仿宋" w:eastAsia="仿宋" w:cs="仿宋"/>
          <w:bCs/>
          <w:sz w:val="18"/>
          <w:szCs w:val="18"/>
        </w:rPr>
        <w:t>消费</w:t>
      </w:r>
    </w:p>
    <w:p>
      <w:pPr>
        <w:jc w:val="center"/>
        <w:rPr>
          <w:rFonts w:hint="eastAsia" w:ascii="宋体" w:hAnsi="宋体" w:eastAsia="宋体" w:cs="宋体"/>
          <w:b/>
          <w:bCs/>
          <w:sz w:val="20"/>
          <w:szCs w:val="20"/>
        </w:rPr>
      </w:pPr>
      <w:r>
        <w:rPr>
          <w:rFonts w:hint="eastAsia" w:ascii="宋体" w:hAnsi="宋体" w:eastAsia="宋体" w:cs="宋体"/>
          <w:b/>
          <w:bCs/>
          <w:sz w:val="20"/>
          <w:szCs w:val="20"/>
        </w:rPr>
        <w:t>图</w:t>
      </w:r>
      <w:r>
        <w:rPr>
          <w:rFonts w:hint="eastAsia" w:ascii="宋体" w:hAnsi="宋体" w:eastAsia="宋体" w:cs="宋体"/>
          <w:b/>
          <w:bCs/>
          <w:sz w:val="20"/>
          <w:szCs w:val="20"/>
          <w:lang w:val="en-US" w:eastAsia="zh-CN"/>
        </w:rPr>
        <w:t>A</w:t>
      </w:r>
      <w:r>
        <w:rPr>
          <w:rFonts w:hint="eastAsia" w:ascii="宋体" w:hAnsi="宋体" w:eastAsia="宋体" w:cs="宋体"/>
          <w:b/>
          <w:bCs/>
          <w:sz w:val="20"/>
          <w:szCs w:val="20"/>
        </w:rPr>
        <w:t>3 撤县设区对于收入和消费的动态影响</w:t>
      </w:r>
    </w:p>
    <w:p>
      <w:pPr>
        <w:spacing w:line="380" w:lineRule="exact"/>
        <w:rPr>
          <w:rFonts w:hint="eastAsia" w:ascii="黑体" w:hAnsi="黑体" w:eastAsia="黑体" w:cs="Times New Roman"/>
          <w:bCs/>
          <w:sz w:val="18"/>
          <w:szCs w:val="18"/>
        </w:rPr>
      </w:pPr>
    </w:p>
    <w:p>
      <w:pPr>
        <w:rPr>
          <w:rFonts w:hint="eastAsia" w:ascii="黑体" w:hAnsi="黑体" w:eastAsia="黑体" w:cs="Times New Roman"/>
          <w:bCs/>
          <w:sz w:val="18"/>
          <w:szCs w:val="18"/>
        </w:rPr>
      </w:pPr>
      <w:r>
        <w:rPr>
          <w:rFonts w:hint="eastAsia" w:ascii="黑体" w:hAnsi="黑体" w:eastAsia="黑体" w:cs="Times New Roman"/>
          <w:bCs/>
          <w:sz w:val="18"/>
          <w:szCs w:val="18"/>
        </w:rPr>
        <w:br w:type="page"/>
      </w:r>
    </w:p>
    <w:p>
      <w:pPr>
        <w:spacing w:line="380" w:lineRule="exact"/>
        <w:jc w:val="center"/>
        <w:rPr>
          <w:rFonts w:hint="eastAsia" w:ascii="宋体" w:hAnsi="宋体" w:eastAsia="宋体" w:cs="宋体"/>
          <w:b/>
          <w:bCs w:val="0"/>
          <w:sz w:val="20"/>
          <w:szCs w:val="20"/>
        </w:rPr>
      </w:pPr>
      <w:r>
        <w:rPr>
          <w:rFonts w:hint="eastAsia" w:ascii="宋体" w:hAnsi="宋体" w:eastAsia="宋体" w:cs="宋体"/>
          <w:b/>
          <w:bCs w:val="0"/>
          <w:sz w:val="20"/>
          <w:szCs w:val="20"/>
        </w:rPr>
        <w:t>表</w:t>
      </w:r>
      <w:r>
        <w:rPr>
          <w:rFonts w:hint="eastAsia" w:ascii="宋体" w:hAnsi="宋体" w:eastAsia="宋体" w:cs="宋体"/>
          <w:b/>
          <w:bCs w:val="0"/>
          <w:sz w:val="20"/>
          <w:szCs w:val="20"/>
          <w:lang w:val="en-US" w:eastAsia="zh-CN"/>
        </w:rPr>
        <w:t>A</w:t>
      </w:r>
      <w:r>
        <w:rPr>
          <w:rFonts w:hint="eastAsia" w:ascii="宋体" w:hAnsi="宋体" w:eastAsia="宋体" w:cs="宋体"/>
          <w:b/>
          <w:bCs w:val="0"/>
          <w:sz w:val="20"/>
          <w:szCs w:val="20"/>
        </w:rPr>
        <w:t>1  描述性统计</w:t>
      </w:r>
    </w:p>
    <w:tbl>
      <w:tblPr>
        <w:tblStyle w:val="12"/>
        <w:tblW w:w="8361" w:type="dxa"/>
        <w:tblInd w:w="0" w:type="dxa"/>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20"/>
        <w:gridCol w:w="955"/>
        <w:gridCol w:w="1005"/>
        <w:gridCol w:w="1005"/>
        <w:gridCol w:w="870"/>
        <w:gridCol w:w="1006"/>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0" w:type="auto"/>
            <w:tcBorders>
              <w:top w:val="single" w:color="auto" w:sz="12" w:space="0"/>
              <w:left w:val="nil"/>
              <w:bottom w:val="single" w:color="auto" w:sz="6" w:space="0"/>
              <w:right w:val="nil"/>
              <w:insideH w:val="single" w:sz="6" w:space="0"/>
              <w:insideV w:val="nil"/>
              <w:tl2br w:val="nil"/>
              <w:tr2bl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p>
        </w:tc>
        <w:tc>
          <w:tcPr>
            <w:tcW w:w="0" w:type="auto"/>
            <w:tcBorders>
              <w:top w:val="single" w:color="auto" w:sz="12" w:space="0"/>
              <w:left w:val="nil"/>
              <w:bottom w:val="single" w:color="auto" w:sz="6" w:space="0"/>
              <w:right w:val="nil"/>
              <w:insideH w:val="single" w:sz="6" w:space="0"/>
              <w:insideV w:val="nil"/>
              <w:tl2br w:val="nil"/>
              <w:tr2bl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观测值</w:t>
            </w:r>
          </w:p>
        </w:tc>
        <w:tc>
          <w:tcPr>
            <w:tcW w:w="0" w:type="auto"/>
            <w:tcBorders>
              <w:top w:val="single" w:color="auto" w:sz="12" w:space="0"/>
              <w:left w:val="nil"/>
              <w:bottom w:val="single" w:color="auto" w:sz="6" w:space="0"/>
              <w:right w:val="nil"/>
              <w:insideH w:val="single" w:sz="6" w:space="0"/>
              <w:insideV w:val="nil"/>
              <w:tl2br w:val="nil"/>
              <w:tr2bl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平均值</w:t>
            </w:r>
          </w:p>
        </w:tc>
        <w:tc>
          <w:tcPr>
            <w:tcW w:w="0" w:type="auto"/>
            <w:tcBorders>
              <w:top w:val="single" w:color="auto" w:sz="12" w:space="0"/>
              <w:left w:val="nil"/>
              <w:bottom w:val="single" w:color="auto" w:sz="6" w:space="0"/>
              <w:right w:val="nil"/>
              <w:insideH w:val="single" w:sz="6" w:space="0"/>
              <w:insideV w:val="nil"/>
              <w:tl2br w:val="nil"/>
              <w:tr2bl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标准差</w:t>
            </w:r>
          </w:p>
        </w:tc>
        <w:tc>
          <w:tcPr>
            <w:tcW w:w="0" w:type="auto"/>
            <w:tcBorders>
              <w:top w:val="single" w:color="auto" w:sz="12" w:space="0"/>
              <w:left w:val="nil"/>
              <w:bottom w:val="single" w:color="auto" w:sz="6" w:space="0"/>
              <w:right w:val="nil"/>
              <w:insideH w:val="single" w:sz="6" w:space="0"/>
              <w:insideV w:val="nil"/>
              <w:tl2br w:val="nil"/>
              <w:tr2bl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最小值</w:t>
            </w:r>
          </w:p>
        </w:tc>
        <w:tc>
          <w:tcPr>
            <w:tcW w:w="0" w:type="auto"/>
            <w:tcBorders>
              <w:top w:val="single" w:color="auto" w:sz="12" w:space="0"/>
              <w:left w:val="nil"/>
              <w:bottom w:val="single" w:color="auto" w:sz="6" w:space="0"/>
              <w:right w:val="nil"/>
              <w:insideH w:val="single" w:sz="6" w:space="0"/>
              <w:insideV w:val="nil"/>
              <w:tl2br w:val="nil"/>
              <w:tr2bl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最大值</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b/>
                <w:bCs/>
                <w:kern w:val="0"/>
                <w:sz w:val="18"/>
                <w:szCs w:val="18"/>
              </w:rPr>
            </w:pPr>
            <w:r>
              <w:rPr>
                <w:rFonts w:ascii="Times New Roman" w:hAnsi="Times New Roman" w:eastAsia="仿宋" w:cs="Times New Roman"/>
                <w:b/>
                <w:bCs/>
                <w:kern w:val="0"/>
                <w:sz w:val="18"/>
                <w:szCs w:val="18"/>
              </w:rPr>
              <w:t>Panel A</w:t>
            </w:r>
            <w:r>
              <w:rPr>
                <w:rFonts w:ascii="仿宋" w:hAnsi="仿宋" w:eastAsia="仿宋" w:cs="Times New Roman"/>
                <w:b/>
                <w:bCs/>
                <w:kern w:val="0"/>
                <w:sz w:val="18"/>
                <w:szCs w:val="18"/>
              </w:rPr>
              <w:t>：人口普查数据</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高中入学率</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1853860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0.3621</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0.4806</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大学入学率</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1853860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0.1845</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0.3879</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研究生入学率</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1853860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0.0070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0.0834</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受教育年限</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1853860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10.3165</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3.1106</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19</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性别（男性</w:t>
            </w:r>
            <w:r>
              <w:rPr>
                <w:rFonts w:ascii="Times New Roman" w:hAnsi="Times New Roman" w:eastAsia="仿宋" w:cs="Times New Roman"/>
                <w:kern w:val="0"/>
                <w:sz w:val="18"/>
                <w:szCs w:val="18"/>
              </w:rPr>
              <w:t>=0</w:t>
            </w:r>
            <w:r>
              <w:rPr>
                <w:rFonts w:ascii="仿宋" w:hAnsi="仿宋" w:eastAsia="仿宋" w:cs="Times New Roman"/>
                <w:kern w:val="0"/>
                <w:sz w:val="18"/>
                <w:szCs w:val="18"/>
              </w:rPr>
              <w:t>；女性</w:t>
            </w:r>
            <w:r>
              <w:rPr>
                <w:rFonts w:ascii="Times New Roman" w:hAnsi="Times New Roman" w:eastAsia="仿宋" w:cs="Times New Roman"/>
                <w:kern w:val="0"/>
                <w:sz w:val="18"/>
                <w:szCs w:val="18"/>
              </w:rPr>
              <w:t>=1</w:t>
            </w:r>
            <w:r>
              <w:rPr>
                <w:rFonts w:ascii="仿宋" w:hAnsi="仿宋" w:eastAsia="仿宋" w:cs="Times New Roman"/>
                <w:kern w:val="0"/>
                <w:sz w:val="18"/>
                <w:szCs w:val="18"/>
              </w:rPr>
              <w:t>）</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1853860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0.4971</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0.5000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户口（农业户口</w:t>
            </w:r>
            <w:r>
              <w:rPr>
                <w:rFonts w:ascii="Times New Roman" w:hAnsi="Times New Roman" w:eastAsia="仿宋" w:cs="Times New Roman"/>
                <w:kern w:val="0"/>
                <w:sz w:val="18"/>
                <w:szCs w:val="18"/>
              </w:rPr>
              <w:t>=0</w:t>
            </w:r>
            <w:r>
              <w:rPr>
                <w:rFonts w:ascii="仿宋" w:hAnsi="仿宋" w:eastAsia="仿宋" w:cs="Times New Roman"/>
                <w:kern w:val="0"/>
                <w:sz w:val="18"/>
                <w:szCs w:val="18"/>
              </w:rPr>
              <w:t>；非农业户口</w:t>
            </w:r>
            <w:r>
              <w:rPr>
                <w:rFonts w:ascii="Times New Roman" w:hAnsi="Times New Roman" w:eastAsia="仿宋" w:cs="Times New Roman"/>
                <w:kern w:val="0"/>
                <w:sz w:val="18"/>
                <w:szCs w:val="18"/>
              </w:rPr>
              <w:t>=1</w:t>
            </w:r>
            <w:r>
              <w:rPr>
                <w:rFonts w:ascii="仿宋" w:hAnsi="仿宋" w:eastAsia="仿宋" w:cs="Times New Roman"/>
                <w:kern w:val="0"/>
                <w:sz w:val="18"/>
                <w:szCs w:val="18"/>
              </w:rPr>
              <w:t>）</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1853860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0.2702</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0.4441</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民族（汉族</w:t>
            </w:r>
            <w:r>
              <w:rPr>
                <w:rFonts w:ascii="Times New Roman" w:hAnsi="Times New Roman" w:eastAsia="仿宋" w:cs="Times New Roman"/>
                <w:kern w:val="0"/>
                <w:sz w:val="18"/>
                <w:szCs w:val="18"/>
              </w:rPr>
              <w:t>=0</w:t>
            </w:r>
            <w:r>
              <w:rPr>
                <w:rFonts w:ascii="仿宋" w:hAnsi="仿宋" w:eastAsia="仿宋" w:cs="Times New Roman"/>
                <w:kern w:val="0"/>
                <w:sz w:val="18"/>
                <w:szCs w:val="18"/>
              </w:rPr>
              <w:t>；其它</w:t>
            </w:r>
            <w:r>
              <w:rPr>
                <w:rFonts w:ascii="Times New Roman" w:hAnsi="Times New Roman" w:eastAsia="仿宋" w:cs="Times New Roman"/>
                <w:kern w:val="0"/>
                <w:sz w:val="18"/>
                <w:szCs w:val="18"/>
              </w:rPr>
              <w:t>=1</w:t>
            </w:r>
            <w:r>
              <w:rPr>
                <w:rFonts w:ascii="仿宋" w:hAnsi="仿宋" w:eastAsia="仿宋" w:cs="Times New Roman"/>
                <w:kern w:val="0"/>
                <w:sz w:val="18"/>
                <w:szCs w:val="18"/>
              </w:rPr>
              <w:t>）</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1853860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0.0934</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0.2910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家庭规模</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1853860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4.4731</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2.1218</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10</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父母最高受教育年限</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644982</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8.4741</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2.9099</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19</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父母是否完成高中（是</w:t>
            </w:r>
            <w:r>
              <w:rPr>
                <w:rFonts w:ascii="Times New Roman" w:hAnsi="Times New Roman" w:eastAsia="仿宋" w:cs="Times New Roman"/>
                <w:kern w:val="0"/>
                <w:sz w:val="18"/>
                <w:szCs w:val="18"/>
              </w:rPr>
              <w:t>=1</w:t>
            </w:r>
            <w:r>
              <w:rPr>
                <w:rFonts w:ascii="仿宋" w:hAnsi="仿宋" w:eastAsia="仿宋" w:cs="Times New Roman"/>
                <w:kern w:val="0"/>
                <w:sz w:val="18"/>
                <w:szCs w:val="18"/>
              </w:rPr>
              <w:t>；否</w:t>
            </w:r>
            <w:r>
              <w:rPr>
                <w:rFonts w:ascii="Times New Roman" w:hAnsi="Times New Roman" w:eastAsia="仿宋" w:cs="Times New Roman"/>
                <w:kern w:val="0"/>
                <w:sz w:val="18"/>
                <w:szCs w:val="18"/>
              </w:rPr>
              <w:t>=0</w:t>
            </w:r>
            <w:r>
              <w:rPr>
                <w:rFonts w:ascii="仿宋" w:hAnsi="仿宋" w:eastAsia="仿宋" w:cs="Times New Roman"/>
                <w:kern w:val="0"/>
                <w:sz w:val="18"/>
                <w:szCs w:val="18"/>
              </w:rPr>
              <w:t>）</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644982</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0.1900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0.3923</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父母是否完成高中（是</w:t>
            </w:r>
            <w:r>
              <w:rPr>
                <w:rFonts w:ascii="Times New Roman" w:hAnsi="Times New Roman" w:eastAsia="仿宋" w:cs="Times New Roman"/>
                <w:kern w:val="0"/>
                <w:sz w:val="18"/>
                <w:szCs w:val="18"/>
              </w:rPr>
              <w:t>=1</w:t>
            </w:r>
            <w:r>
              <w:rPr>
                <w:rFonts w:ascii="仿宋" w:hAnsi="仿宋" w:eastAsia="仿宋" w:cs="Times New Roman"/>
                <w:kern w:val="0"/>
                <w:sz w:val="18"/>
                <w:szCs w:val="18"/>
              </w:rPr>
              <w:t>；否</w:t>
            </w:r>
            <w:r>
              <w:rPr>
                <w:rFonts w:ascii="Times New Roman" w:hAnsi="Times New Roman" w:eastAsia="仿宋" w:cs="Times New Roman"/>
                <w:kern w:val="0"/>
                <w:sz w:val="18"/>
                <w:szCs w:val="18"/>
              </w:rPr>
              <w:t>=0</w:t>
            </w:r>
            <w:r>
              <w:rPr>
                <w:rFonts w:ascii="仿宋" w:hAnsi="仿宋" w:eastAsia="仿宋" w:cs="Times New Roman"/>
                <w:kern w:val="0"/>
                <w:sz w:val="18"/>
                <w:szCs w:val="18"/>
              </w:rPr>
              <w:t>）</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644982</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0.0438</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0.2046</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b/>
                <w:bCs/>
                <w:kern w:val="0"/>
                <w:sz w:val="18"/>
                <w:szCs w:val="18"/>
              </w:rPr>
              <w:t>Panel B</w:t>
            </w:r>
            <w:r>
              <w:rPr>
                <w:rFonts w:ascii="仿宋" w:hAnsi="仿宋" w:eastAsia="仿宋" w:cs="Times New Roman"/>
                <w:b/>
                <w:bCs/>
                <w:kern w:val="0"/>
                <w:sz w:val="18"/>
                <w:szCs w:val="18"/>
              </w:rPr>
              <w:t>：</w:t>
            </w:r>
            <w:r>
              <w:rPr>
                <w:rFonts w:ascii="Times New Roman" w:hAnsi="Times New Roman" w:eastAsia="仿宋" w:cs="Times New Roman"/>
                <w:b/>
                <w:bCs/>
                <w:kern w:val="0"/>
                <w:sz w:val="18"/>
                <w:szCs w:val="18"/>
              </w:rPr>
              <w:t>CFPS</w:t>
            </w:r>
            <w:r>
              <w:rPr>
                <w:rFonts w:ascii="仿宋" w:hAnsi="仿宋" w:eastAsia="仿宋" w:cs="Times New Roman"/>
                <w:b/>
                <w:bCs/>
                <w:kern w:val="0"/>
                <w:sz w:val="18"/>
                <w:szCs w:val="18"/>
              </w:rPr>
              <w:t>数据</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高中入学率</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45207</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0.4450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0.4970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大学入学率</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45207</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0.1953</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0.3964</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受教育年限</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45207</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10.4946</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3.2746</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23</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性别（男性</w:t>
            </w:r>
            <w:r>
              <w:rPr>
                <w:rFonts w:ascii="Times New Roman" w:hAnsi="Times New Roman" w:eastAsia="仿宋" w:cs="Times New Roman"/>
                <w:kern w:val="0"/>
                <w:sz w:val="18"/>
                <w:szCs w:val="18"/>
              </w:rPr>
              <w:t>=0</w:t>
            </w:r>
            <w:r>
              <w:rPr>
                <w:rFonts w:ascii="仿宋" w:hAnsi="仿宋" w:eastAsia="仿宋" w:cs="Times New Roman"/>
                <w:kern w:val="0"/>
                <w:sz w:val="18"/>
                <w:szCs w:val="18"/>
              </w:rPr>
              <w:t>；女性</w:t>
            </w:r>
            <w:r>
              <w:rPr>
                <w:rFonts w:ascii="Times New Roman" w:hAnsi="Times New Roman" w:eastAsia="仿宋" w:cs="Times New Roman"/>
                <w:kern w:val="0"/>
                <w:sz w:val="18"/>
                <w:szCs w:val="18"/>
              </w:rPr>
              <w:t>=1</w:t>
            </w:r>
            <w:r>
              <w:rPr>
                <w:rFonts w:ascii="仿宋" w:hAnsi="仿宋" w:eastAsia="仿宋" w:cs="Times New Roman"/>
                <w:kern w:val="0"/>
                <w:sz w:val="18"/>
                <w:szCs w:val="18"/>
              </w:rPr>
              <w:t>）</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45207</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0.4467</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0.4972</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户口（农业户口</w:t>
            </w:r>
            <w:r>
              <w:rPr>
                <w:rFonts w:ascii="Times New Roman" w:hAnsi="Times New Roman" w:eastAsia="仿宋" w:cs="Times New Roman"/>
                <w:kern w:val="0"/>
                <w:sz w:val="18"/>
                <w:szCs w:val="18"/>
              </w:rPr>
              <w:t>=0</w:t>
            </w:r>
            <w:r>
              <w:rPr>
                <w:rFonts w:ascii="仿宋" w:hAnsi="仿宋" w:eastAsia="仿宋" w:cs="Times New Roman"/>
                <w:kern w:val="0"/>
                <w:sz w:val="18"/>
                <w:szCs w:val="18"/>
              </w:rPr>
              <w:t>；非农业户口</w:t>
            </w:r>
            <w:r>
              <w:rPr>
                <w:rFonts w:ascii="Times New Roman" w:hAnsi="Times New Roman" w:eastAsia="仿宋" w:cs="Times New Roman"/>
                <w:kern w:val="0"/>
                <w:sz w:val="18"/>
                <w:szCs w:val="18"/>
              </w:rPr>
              <w:t>=1</w:t>
            </w:r>
            <w:r>
              <w:rPr>
                <w:rFonts w:ascii="仿宋" w:hAnsi="仿宋" w:eastAsia="仿宋" w:cs="Times New Roman"/>
                <w:kern w:val="0"/>
                <w:sz w:val="18"/>
                <w:szCs w:val="18"/>
              </w:rPr>
              <w:t>）</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45207</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0.3128</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0.4636</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民族（汉族</w:t>
            </w:r>
            <w:r>
              <w:rPr>
                <w:rFonts w:ascii="Times New Roman" w:hAnsi="Times New Roman" w:eastAsia="仿宋" w:cs="Times New Roman"/>
                <w:kern w:val="0"/>
                <w:sz w:val="18"/>
                <w:szCs w:val="18"/>
              </w:rPr>
              <w:t>=0</w:t>
            </w:r>
            <w:r>
              <w:rPr>
                <w:rFonts w:ascii="仿宋" w:hAnsi="仿宋" w:eastAsia="仿宋" w:cs="Times New Roman"/>
                <w:kern w:val="0"/>
                <w:sz w:val="18"/>
                <w:szCs w:val="18"/>
              </w:rPr>
              <w:t>；其它</w:t>
            </w:r>
            <w:r>
              <w:rPr>
                <w:rFonts w:ascii="Times New Roman" w:hAnsi="Times New Roman" w:eastAsia="仿宋" w:cs="Times New Roman"/>
                <w:kern w:val="0"/>
                <w:sz w:val="18"/>
                <w:szCs w:val="18"/>
              </w:rPr>
              <w:t>=1</w:t>
            </w:r>
            <w:r>
              <w:rPr>
                <w:rFonts w:ascii="仿宋" w:hAnsi="仿宋" w:eastAsia="仿宋" w:cs="Times New Roman"/>
                <w:kern w:val="0"/>
                <w:sz w:val="18"/>
                <w:szCs w:val="18"/>
              </w:rPr>
              <w:t>）</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45207</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0.0755</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0.2641</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家庭规模</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45207</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4.6152</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1.8560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17</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父母最高受教育年限</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45207</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7.5513</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4.0718</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23</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生均教育投入（元）对数</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27678</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7.1107</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1.4954</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11.8706</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家庭人均收入（元）</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42628</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12853.66</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12279.08</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66.67</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80000</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家庭人均工资性收入（元）</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42968</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10559.66</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11371.29</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80000</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家庭人均经营性收入（元）</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42655</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1626.30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3533.41</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27812.5</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家庭人均财产性收入（元）</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42872</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174.17</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776.71</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8400</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家庭人均转移性收入（元）</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42981</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1074.20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3254.10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40500</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家庭人均其他收入（元）</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42994</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256.26</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1072.76</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12500</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家庭人均消费性支出（元）</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42702</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12307.51</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12338.28</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894.33</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93660</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家庭人均设备及日用品支出（元）</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42765</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1507.62</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3433.55</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33533.33</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家庭人均衣着鞋帽支出（元）</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42973</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653.94</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822.33</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6666.67</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家庭人均文教娱乐支出（元）</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42929</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1387.97</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2116.05</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14000</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家庭人均食品支出（元）</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42834</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4103.82</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3784.28</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80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24000</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家庭人均居住支出（元）</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42905</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1279.41</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2806.80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30900</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家庭人均医疗保健支出（元）</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43102</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917.33</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1848.08</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20000</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家庭人均交通通讯支出（元）</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42836</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1183.60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1326.07</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9200</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b/>
                <w:bCs/>
                <w:kern w:val="0"/>
                <w:sz w:val="18"/>
                <w:szCs w:val="18"/>
              </w:rPr>
              <w:t>Panel C</w:t>
            </w:r>
            <w:r>
              <w:rPr>
                <w:rFonts w:ascii="仿宋" w:hAnsi="仿宋" w:eastAsia="仿宋" w:cs="Times New Roman"/>
                <w:b/>
                <w:bCs/>
                <w:kern w:val="0"/>
                <w:sz w:val="18"/>
                <w:szCs w:val="18"/>
              </w:rPr>
              <w:t>：</w:t>
            </w:r>
            <w:r>
              <w:rPr>
                <w:rFonts w:ascii="Times New Roman" w:hAnsi="Times New Roman" w:eastAsia="仿宋" w:cs="Times New Roman"/>
                <w:b/>
                <w:bCs/>
                <w:kern w:val="0"/>
                <w:sz w:val="18"/>
                <w:szCs w:val="18"/>
              </w:rPr>
              <w:t>CHIP</w:t>
            </w:r>
            <w:r>
              <w:rPr>
                <w:rFonts w:ascii="仿宋" w:hAnsi="仿宋" w:eastAsia="仿宋" w:cs="Times New Roman"/>
                <w:b/>
                <w:bCs/>
                <w:kern w:val="0"/>
                <w:sz w:val="18"/>
                <w:szCs w:val="18"/>
              </w:rPr>
              <w:t>数据</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是否就读重点高中（是</w:t>
            </w:r>
            <w:r>
              <w:rPr>
                <w:rFonts w:ascii="Times New Roman" w:hAnsi="Times New Roman" w:eastAsia="仿宋" w:cs="Times New Roman"/>
                <w:kern w:val="0"/>
                <w:sz w:val="18"/>
                <w:szCs w:val="18"/>
              </w:rPr>
              <w:t>=1</w:t>
            </w:r>
            <w:r>
              <w:rPr>
                <w:rFonts w:ascii="仿宋" w:hAnsi="仿宋" w:eastAsia="仿宋" w:cs="Times New Roman"/>
                <w:kern w:val="0"/>
                <w:sz w:val="18"/>
                <w:szCs w:val="18"/>
              </w:rPr>
              <w:t>；否</w:t>
            </w:r>
            <w:r>
              <w:rPr>
                <w:rFonts w:ascii="Times New Roman" w:hAnsi="Times New Roman" w:eastAsia="仿宋" w:cs="Times New Roman"/>
                <w:kern w:val="0"/>
                <w:sz w:val="18"/>
                <w:szCs w:val="18"/>
              </w:rPr>
              <w:t>=0</w:t>
            </w:r>
            <w:r>
              <w:rPr>
                <w:rFonts w:ascii="仿宋" w:hAnsi="仿宋" w:eastAsia="仿宋" w:cs="Times New Roman"/>
                <w:kern w:val="0"/>
                <w:sz w:val="18"/>
                <w:szCs w:val="18"/>
              </w:rPr>
              <w:t>）</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6816</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0.5065</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0.5000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是否参加高考（是</w:t>
            </w:r>
            <w:r>
              <w:rPr>
                <w:rFonts w:ascii="Times New Roman" w:hAnsi="Times New Roman" w:eastAsia="仿宋" w:cs="Times New Roman"/>
                <w:kern w:val="0"/>
                <w:sz w:val="18"/>
                <w:szCs w:val="18"/>
              </w:rPr>
              <w:t>=1</w:t>
            </w:r>
            <w:r>
              <w:rPr>
                <w:rFonts w:ascii="仿宋" w:hAnsi="仿宋" w:eastAsia="仿宋" w:cs="Times New Roman"/>
                <w:kern w:val="0"/>
                <w:sz w:val="18"/>
                <w:szCs w:val="18"/>
              </w:rPr>
              <w:t>；否</w:t>
            </w:r>
            <w:r>
              <w:rPr>
                <w:rFonts w:ascii="Times New Roman" w:hAnsi="Times New Roman" w:eastAsia="仿宋" w:cs="Times New Roman"/>
                <w:kern w:val="0"/>
                <w:sz w:val="18"/>
                <w:szCs w:val="18"/>
              </w:rPr>
              <w:t>=0</w:t>
            </w:r>
            <w:r>
              <w:rPr>
                <w:rFonts w:ascii="仿宋" w:hAnsi="仿宋" w:eastAsia="仿宋" w:cs="Times New Roman"/>
                <w:kern w:val="0"/>
                <w:sz w:val="18"/>
                <w:szCs w:val="18"/>
              </w:rPr>
              <w:t>）</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9207</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0.5545</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0.4971</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是否就读重点大学（是</w:t>
            </w:r>
            <w:r>
              <w:rPr>
                <w:rFonts w:ascii="Times New Roman" w:hAnsi="Times New Roman" w:eastAsia="仿宋" w:cs="Times New Roman"/>
                <w:kern w:val="0"/>
                <w:sz w:val="18"/>
                <w:szCs w:val="18"/>
              </w:rPr>
              <w:t>=1</w:t>
            </w:r>
            <w:r>
              <w:rPr>
                <w:rFonts w:ascii="仿宋" w:hAnsi="仿宋" w:eastAsia="仿宋" w:cs="Times New Roman"/>
                <w:kern w:val="0"/>
                <w:sz w:val="18"/>
                <w:szCs w:val="18"/>
              </w:rPr>
              <w:t>；否</w:t>
            </w:r>
            <w:r>
              <w:rPr>
                <w:rFonts w:ascii="Times New Roman" w:hAnsi="Times New Roman" w:eastAsia="仿宋" w:cs="Times New Roman"/>
                <w:kern w:val="0"/>
                <w:sz w:val="18"/>
                <w:szCs w:val="18"/>
              </w:rPr>
              <w:t>=0</w:t>
            </w:r>
            <w:r>
              <w:rPr>
                <w:rFonts w:ascii="仿宋" w:hAnsi="仿宋" w:eastAsia="仿宋" w:cs="Times New Roman"/>
                <w:kern w:val="0"/>
                <w:sz w:val="18"/>
                <w:szCs w:val="18"/>
              </w:rPr>
              <w:t>）</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2169</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0.1618</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0.3684</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性别（男性</w:t>
            </w:r>
            <w:r>
              <w:rPr>
                <w:rFonts w:ascii="Times New Roman" w:hAnsi="Times New Roman" w:eastAsia="仿宋" w:cs="Times New Roman"/>
                <w:kern w:val="0"/>
                <w:sz w:val="18"/>
                <w:szCs w:val="18"/>
              </w:rPr>
              <w:t>=0</w:t>
            </w:r>
            <w:r>
              <w:rPr>
                <w:rFonts w:ascii="仿宋" w:hAnsi="仿宋" w:eastAsia="仿宋" w:cs="Times New Roman"/>
                <w:kern w:val="0"/>
                <w:sz w:val="18"/>
                <w:szCs w:val="18"/>
              </w:rPr>
              <w:t>；女性</w:t>
            </w:r>
            <w:r>
              <w:rPr>
                <w:rFonts w:ascii="Times New Roman" w:hAnsi="Times New Roman" w:eastAsia="仿宋" w:cs="Times New Roman"/>
                <w:kern w:val="0"/>
                <w:sz w:val="18"/>
                <w:szCs w:val="18"/>
              </w:rPr>
              <w:t>=1</w:t>
            </w:r>
            <w:r>
              <w:rPr>
                <w:rFonts w:ascii="仿宋" w:hAnsi="仿宋" w:eastAsia="仿宋" w:cs="Times New Roman"/>
                <w:kern w:val="0"/>
                <w:sz w:val="18"/>
                <w:szCs w:val="18"/>
              </w:rPr>
              <w:t>）</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60579</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0.4864</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0.4998</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户口（农业户口</w:t>
            </w:r>
            <w:r>
              <w:rPr>
                <w:rFonts w:ascii="Times New Roman" w:hAnsi="Times New Roman" w:eastAsia="仿宋" w:cs="Times New Roman"/>
                <w:kern w:val="0"/>
                <w:sz w:val="18"/>
                <w:szCs w:val="18"/>
              </w:rPr>
              <w:t>=0</w:t>
            </w:r>
            <w:r>
              <w:rPr>
                <w:rFonts w:ascii="仿宋" w:hAnsi="仿宋" w:eastAsia="仿宋" w:cs="Times New Roman"/>
                <w:kern w:val="0"/>
                <w:sz w:val="18"/>
                <w:szCs w:val="18"/>
              </w:rPr>
              <w:t>；非农业户口</w:t>
            </w:r>
            <w:r>
              <w:rPr>
                <w:rFonts w:ascii="Times New Roman" w:hAnsi="Times New Roman" w:eastAsia="仿宋" w:cs="Times New Roman"/>
                <w:kern w:val="0"/>
                <w:sz w:val="18"/>
                <w:szCs w:val="18"/>
              </w:rPr>
              <w:t>=1</w:t>
            </w:r>
            <w:r>
              <w:rPr>
                <w:rFonts w:ascii="仿宋" w:hAnsi="仿宋" w:eastAsia="仿宋" w:cs="Times New Roman"/>
                <w:kern w:val="0"/>
                <w:sz w:val="18"/>
                <w:szCs w:val="18"/>
              </w:rPr>
              <w:t>）</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60579</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0.3195</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0.4663</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民族（汉族</w:t>
            </w:r>
            <w:r>
              <w:rPr>
                <w:rFonts w:ascii="Times New Roman" w:hAnsi="Times New Roman" w:eastAsia="仿宋" w:cs="Times New Roman"/>
                <w:kern w:val="0"/>
                <w:sz w:val="18"/>
                <w:szCs w:val="18"/>
              </w:rPr>
              <w:t>=0</w:t>
            </w:r>
            <w:r>
              <w:rPr>
                <w:rFonts w:ascii="仿宋" w:hAnsi="仿宋" w:eastAsia="仿宋" w:cs="Times New Roman"/>
                <w:kern w:val="0"/>
                <w:sz w:val="18"/>
                <w:szCs w:val="18"/>
              </w:rPr>
              <w:t>；其它</w:t>
            </w:r>
            <w:r>
              <w:rPr>
                <w:rFonts w:ascii="Times New Roman" w:hAnsi="Times New Roman" w:eastAsia="仿宋" w:cs="Times New Roman"/>
                <w:kern w:val="0"/>
                <w:sz w:val="18"/>
                <w:szCs w:val="18"/>
              </w:rPr>
              <w:t>=1</w:t>
            </w:r>
            <w:r>
              <w:rPr>
                <w:rFonts w:ascii="仿宋" w:hAnsi="仿宋" w:eastAsia="仿宋" w:cs="Times New Roman"/>
                <w:kern w:val="0"/>
                <w:sz w:val="18"/>
                <w:szCs w:val="18"/>
              </w:rPr>
              <w:t>）</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60579</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0.0693</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0.2540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家庭规模</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60579</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3.9659</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1.4212</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13</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b/>
                <w:bCs/>
                <w:kern w:val="0"/>
                <w:sz w:val="18"/>
                <w:szCs w:val="18"/>
              </w:rPr>
              <w:t>Panel D</w:t>
            </w:r>
            <w:r>
              <w:rPr>
                <w:rFonts w:ascii="仿宋" w:hAnsi="仿宋" w:eastAsia="仿宋" w:cs="Times New Roman"/>
                <w:b/>
                <w:bCs/>
                <w:kern w:val="0"/>
                <w:sz w:val="18"/>
                <w:szCs w:val="18"/>
              </w:rPr>
              <w:t>：</w:t>
            </w:r>
            <w:r>
              <w:rPr>
                <w:rFonts w:ascii="Times New Roman" w:hAnsi="Times New Roman" w:eastAsia="仿宋" w:cs="Times New Roman"/>
                <w:b/>
                <w:bCs/>
                <w:kern w:val="0"/>
                <w:sz w:val="18"/>
                <w:szCs w:val="18"/>
              </w:rPr>
              <w:t>CHNS</w:t>
            </w:r>
            <w:r>
              <w:rPr>
                <w:rFonts w:ascii="仿宋" w:hAnsi="仿宋" w:eastAsia="仿宋" w:cs="Times New Roman"/>
                <w:b/>
                <w:bCs/>
                <w:kern w:val="0"/>
                <w:sz w:val="18"/>
                <w:szCs w:val="18"/>
              </w:rPr>
              <w:t>数据</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人均家庭净收入（元）</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5221</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6914.54</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7488.91</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35.21</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49038.46</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b/>
                <w:bCs/>
                <w:kern w:val="0"/>
                <w:sz w:val="18"/>
                <w:szCs w:val="18"/>
              </w:rPr>
              <w:t>Panel E</w:t>
            </w:r>
            <w:r>
              <w:rPr>
                <w:rFonts w:ascii="仿宋" w:hAnsi="仿宋" w:eastAsia="仿宋" w:cs="Times New Roman"/>
                <w:b/>
                <w:bCs/>
                <w:kern w:val="0"/>
                <w:sz w:val="18"/>
                <w:szCs w:val="18"/>
              </w:rPr>
              <w:t>：地区层面数据</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高级别城市（是</w:t>
            </w:r>
            <w:r>
              <w:rPr>
                <w:rFonts w:ascii="Times New Roman" w:hAnsi="Times New Roman" w:eastAsia="仿宋" w:cs="Times New Roman"/>
                <w:kern w:val="0"/>
                <w:sz w:val="18"/>
                <w:szCs w:val="18"/>
              </w:rPr>
              <w:t>=1</w:t>
            </w:r>
            <w:r>
              <w:rPr>
                <w:rFonts w:ascii="仿宋" w:hAnsi="仿宋" w:eastAsia="仿宋" w:cs="Times New Roman"/>
                <w:kern w:val="0"/>
                <w:sz w:val="18"/>
                <w:szCs w:val="18"/>
              </w:rPr>
              <w:t>；否</w:t>
            </w:r>
            <w:r>
              <w:rPr>
                <w:rFonts w:ascii="Times New Roman" w:hAnsi="Times New Roman" w:eastAsia="仿宋" w:cs="Times New Roman"/>
                <w:kern w:val="0"/>
                <w:sz w:val="18"/>
                <w:szCs w:val="18"/>
              </w:rPr>
              <w:t>=0</w:t>
            </w:r>
            <w:r>
              <w:rPr>
                <w:rFonts w:ascii="仿宋" w:hAnsi="仿宋" w:eastAsia="仿宋" w:cs="Times New Roman"/>
                <w:kern w:val="0"/>
                <w:sz w:val="18"/>
                <w:szCs w:val="18"/>
              </w:rPr>
              <w:t>）</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341</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0.0909</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0.2879</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大城市（是</w:t>
            </w:r>
            <w:r>
              <w:rPr>
                <w:rFonts w:ascii="Times New Roman" w:hAnsi="Times New Roman" w:eastAsia="仿宋" w:cs="Times New Roman"/>
                <w:kern w:val="0"/>
                <w:sz w:val="18"/>
                <w:szCs w:val="18"/>
              </w:rPr>
              <w:t>=1</w:t>
            </w:r>
            <w:r>
              <w:rPr>
                <w:rFonts w:ascii="仿宋" w:hAnsi="仿宋" w:eastAsia="仿宋" w:cs="Times New Roman"/>
                <w:kern w:val="0"/>
                <w:sz w:val="18"/>
                <w:szCs w:val="18"/>
              </w:rPr>
              <w:t>；否</w:t>
            </w:r>
            <w:r>
              <w:rPr>
                <w:rFonts w:ascii="Times New Roman" w:hAnsi="Times New Roman" w:eastAsia="仿宋" w:cs="Times New Roman"/>
                <w:kern w:val="0"/>
                <w:sz w:val="18"/>
                <w:szCs w:val="18"/>
              </w:rPr>
              <w:t>=0</w:t>
            </w:r>
            <w:r>
              <w:rPr>
                <w:rFonts w:ascii="仿宋" w:hAnsi="仿宋" w:eastAsia="仿宋" w:cs="Times New Roman"/>
                <w:kern w:val="0"/>
                <w:sz w:val="18"/>
                <w:szCs w:val="18"/>
              </w:rPr>
              <w:t>）</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341</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0.1290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0.3357</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人均教育事业费（万元）对数</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18119</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4.4700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0.5660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-1.9459</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8.8515</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人均教育支出（万元）对数</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11241</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5.3899</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0.5537</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0.9921</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8.8060</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教育事业费占比</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17851</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0.2339</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0.0708</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0.0005</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0.5636</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教育支出占比</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11018</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0.2222</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0.0653</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0.0170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0.8234</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中小学教师工资转移支付补助占比</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7881</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0.0147</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0.0116</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0.0001</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0.1076</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文教部门基金支出占比</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10851</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0.2976</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0.3410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-0.0083</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1.5185</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城镇居民人均可支配收入（元）</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14300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23595.31</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9400.10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4619</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55880.23</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农村居民人均可支配收入（元）</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29345</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7237.74</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5099.79</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1009</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25010</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国民生产总值（万元）对数</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36262</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11.9166</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1.4352</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0.6931</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17.1300</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区县总人口（万人）对数</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36262</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3.4922</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0.9015</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-0.5108</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7.3205</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财政总收入（万元）对数</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36262</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8.6542</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1.2839</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1.6094</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14.7741</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第二产业产值占比</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36262</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0.4651</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0.2326</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0.0252</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0.8987</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bookmarkStart w:id="16" w:name="_Hlk81265047"/>
            <w:r>
              <w:rPr>
                <w:rFonts w:ascii="仿宋" w:hAnsi="仿宋" w:eastAsia="仿宋" w:cs="Times New Roman"/>
                <w:kern w:val="0"/>
                <w:sz w:val="18"/>
                <w:szCs w:val="18"/>
              </w:rPr>
              <w:t>生均中学学校数量</w:t>
            </w:r>
            <w:bookmarkEnd w:id="16"/>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17545</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0.0013</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0.0016</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0.0000</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0.0892</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生均中学教师数量</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17545</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0.0775</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0.1689</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0.0022</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15.5321</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市辖区与县的生均中学数量之比</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248</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0.9955</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0.2444</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0.5014</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1.5468</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 w:hRule="atLeast"/>
        </w:trPr>
        <w:tc>
          <w:tcPr>
            <w:tcW w:w="0" w:type="auto"/>
            <w:tcBorders>
              <w:top w:val="nil"/>
              <w:left w:val="nil"/>
              <w:bottom w:val="single" w:color="auto" w:sz="12" w:space="0"/>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市辖区与县的生均中学教师数量之比</w:t>
            </w:r>
          </w:p>
        </w:tc>
        <w:tc>
          <w:tcPr>
            <w:tcW w:w="0" w:type="auto"/>
            <w:tcBorders>
              <w:top w:val="nil"/>
              <w:left w:val="nil"/>
              <w:bottom w:val="single" w:color="auto" w:sz="12" w:space="0"/>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248</w:t>
            </w:r>
          </w:p>
        </w:tc>
        <w:tc>
          <w:tcPr>
            <w:tcW w:w="0" w:type="auto"/>
            <w:tcBorders>
              <w:top w:val="nil"/>
              <w:left w:val="nil"/>
              <w:bottom w:val="single" w:color="auto" w:sz="12" w:space="0"/>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1.1729</w:t>
            </w:r>
          </w:p>
        </w:tc>
        <w:tc>
          <w:tcPr>
            <w:tcW w:w="0" w:type="auto"/>
            <w:tcBorders>
              <w:top w:val="nil"/>
              <w:left w:val="nil"/>
              <w:bottom w:val="single" w:color="auto" w:sz="12" w:space="0"/>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0.2521</w:t>
            </w:r>
          </w:p>
        </w:tc>
        <w:tc>
          <w:tcPr>
            <w:tcW w:w="0" w:type="auto"/>
            <w:tcBorders>
              <w:top w:val="nil"/>
              <w:left w:val="nil"/>
              <w:bottom w:val="single" w:color="auto" w:sz="12" w:space="0"/>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0.7500</w:t>
            </w:r>
          </w:p>
        </w:tc>
        <w:tc>
          <w:tcPr>
            <w:tcW w:w="0" w:type="auto"/>
            <w:tcBorders>
              <w:top w:val="nil"/>
              <w:left w:val="nil"/>
              <w:bottom w:val="single" w:color="auto" w:sz="12" w:space="0"/>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2.0361</w:t>
            </w:r>
          </w:p>
        </w:tc>
      </w:tr>
    </w:tbl>
    <w:p>
      <w:pPr>
        <w:ind w:firstLine="360" w:firstLineChars="200"/>
        <w:rPr>
          <w:rFonts w:ascii="Times New Roman" w:hAnsi="Times New Roman" w:eastAsia="仿宋" w:cs="Times New Roman"/>
          <w:kern w:val="0"/>
          <w:sz w:val="18"/>
          <w:szCs w:val="18"/>
        </w:rPr>
      </w:pPr>
      <w:r>
        <w:rPr>
          <w:rFonts w:ascii="仿宋" w:hAnsi="仿宋" w:eastAsia="仿宋" w:cs="Times New Roman"/>
          <w:kern w:val="0"/>
          <w:sz w:val="18"/>
          <w:szCs w:val="18"/>
        </w:rPr>
        <w:t>注：（</w:t>
      </w:r>
      <w:r>
        <w:rPr>
          <w:rFonts w:ascii="Times New Roman" w:hAnsi="Times New Roman" w:eastAsia="仿宋" w:cs="Times New Roman"/>
          <w:kern w:val="0"/>
          <w:sz w:val="18"/>
          <w:szCs w:val="18"/>
        </w:rPr>
        <w:t>1</w:t>
      </w:r>
      <w:r>
        <w:rPr>
          <w:rFonts w:ascii="仿宋" w:hAnsi="仿宋" w:eastAsia="仿宋" w:cs="Times New Roman"/>
          <w:kern w:val="0"/>
          <w:sz w:val="18"/>
          <w:szCs w:val="18"/>
        </w:rPr>
        <w:t>）教育事业费数据起止年份为</w:t>
      </w:r>
      <w:r>
        <w:rPr>
          <w:rFonts w:ascii="Times New Roman" w:hAnsi="Times New Roman" w:eastAsia="仿宋" w:cs="Times New Roman"/>
          <w:kern w:val="0"/>
          <w:sz w:val="18"/>
          <w:szCs w:val="18"/>
        </w:rPr>
        <w:t>1996-2002</w:t>
      </w:r>
      <w:r>
        <w:rPr>
          <w:rFonts w:ascii="仿宋" w:hAnsi="仿宋" w:eastAsia="仿宋" w:cs="Times New Roman"/>
          <w:kern w:val="0"/>
          <w:sz w:val="18"/>
          <w:szCs w:val="18"/>
        </w:rPr>
        <w:t>年；（</w:t>
      </w:r>
      <w:r>
        <w:rPr>
          <w:rFonts w:ascii="Times New Roman" w:hAnsi="Times New Roman" w:eastAsia="仿宋" w:cs="Times New Roman"/>
          <w:kern w:val="0"/>
          <w:sz w:val="18"/>
          <w:szCs w:val="18"/>
        </w:rPr>
        <w:t>2</w:t>
      </w:r>
      <w:r>
        <w:rPr>
          <w:rFonts w:ascii="仿宋" w:hAnsi="仿宋" w:eastAsia="仿宋" w:cs="Times New Roman"/>
          <w:kern w:val="0"/>
          <w:sz w:val="18"/>
          <w:szCs w:val="18"/>
        </w:rPr>
        <w:t>）教育支出数据起止年份为</w:t>
      </w:r>
      <w:r>
        <w:rPr>
          <w:rFonts w:ascii="Times New Roman" w:hAnsi="Times New Roman" w:eastAsia="仿宋" w:cs="Times New Roman"/>
          <w:kern w:val="0"/>
          <w:sz w:val="18"/>
          <w:szCs w:val="18"/>
        </w:rPr>
        <w:t>2003-2007</w:t>
      </w:r>
      <w:r>
        <w:rPr>
          <w:rFonts w:ascii="仿宋" w:hAnsi="仿宋" w:eastAsia="仿宋" w:cs="Times New Roman"/>
          <w:kern w:val="0"/>
          <w:sz w:val="18"/>
          <w:szCs w:val="18"/>
        </w:rPr>
        <w:t>年；（</w:t>
      </w:r>
      <w:r>
        <w:rPr>
          <w:rFonts w:ascii="Times New Roman" w:hAnsi="Times New Roman" w:eastAsia="仿宋" w:cs="Times New Roman"/>
          <w:kern w:val="0"/>
          <w:sz w:val="18"/>
          <w:szCs w:val="18"/>
        </w:rPr>
        <w:t>3</w:t>
      </w:r>
      <w:r>
        <w:rPr>
          <w:rFonts w:ascii="仿宋" w:hAnsi="仿宋" w:eastAsia="仿宋" w:cs="Times New Roman"/>
          <w:kern w:val="0"/>
          <w:sz w:val="18"/>
          <w:szCs w:val="18"/>
        </w:rPr>
        <w:t>）中小学教师工资转移支付补助数据起止年份为</w:t>
      </w:r>
      <w:r>
        <w:rPr>
          <w:rFonts w:ascii="Times New Roman" w:hAnsi="Times New Roman" w:eastAsia="仿宋" w:cs="Times New Roman"/>
          <w:kern w:val="0"/>
          <w:sz w:val="18"/>
          <w:szCs w:val="18"/>
        </w:rPr>
        <w:t>2001-2006</w:t>
      </w:r>
      <w:r>
        <w:rPr>
          <w:rFonts w:ascii="仿宋" w:hAnsi="仿宋" w:eastAsia="仿宋" w:cs="Times New Roman"/>
          <w:kern w:val="0"/>
          <w:sz w:val="18"/>
          <w:szCs w:val="18"/>
        </w:rPr>
        <w:t>年；（</w:t>
      </w:r>
      <w:r>
        <w:rPr>
          <w:rFonts w:ascii="Times New Roman" w:hAnsi="Times New Roman" w:eastAsia="仿宋" w:cs="Times New Roman"/>
          <w:kern w:val="0"/>
          <w:sz w:val="18"/>
          <w:szCs w:val="18"/>
        </w:rPr>
        <w:t>4</w:t>
      </w:r>
      <w:r>
        <w:rPr>
          <w:rFonts w:ascii="仿宋" w:hAnsi="仿宋" w:eastAsia="仿宋" w:cs="Times New Roman"/>
          <w:kern w:val="0"/>
          <w:sz w:val="18"/>
          <w:szCs w:val="18"/>
        </w:rPr>
        <w:t>）文教部门基金支出数据起止年份为</w:t>
      </w:r>
      <w:r>
        <w:rPr>
          <w:rFonts w:ascii="Times New Roman" w:hAnsi="Times New Roman" w:eastAsia="仿宋" w:cs="Times New Roman"/>
          <w:kern w:val="0"/>
          <w:sz w:val="18"/>
          <w:szCs w:val="18"/>
        </w:rPr>
        <w:t>1999-2006</w:t>
      </w:r>
      <w:r>
        <w:rPr>
          <w:rFonts w:ascii="仿宋" w:hAnsi="仿宋" w:eastAsia="仿宋" w:cs="Times New Roman"/>
          <w:kern w:val="0"/>
          <w:sz w:val="18"/>
          <w:szCs w:val="18"/>
        </w:rPr>
        <w:t>年；（</w:t>
      </w:r>
      <w:r>
        <w:rPr>
          <w:rFonts w:ascii="Times New Roman" w:hAnsi="Times New Roman" w:eastAsia="仿宋" w:cs="Times New Roman"/>
          <w:kern w:val="0"/>
          <w:sz w:val="18"/>
          <w:szCs w:val="18"/>
        </w:rPr>
        <w:t>5</w:t>
      </w:r>
      <w:r>
        <w:rPr>
          <w:rFonts w:ascii="仿宋" w:hAnsi="仿宋" w:eastAsia="仿宋" w:cs="Times New Roman"/>
          <w:kern w:val="0"/>
          <w:sz w:val="18"/>
          <w:szCs w:val="18"/>
        </w:rPr>
        <w:t>）生均中学数量和生均中学教师数量数据的起止年份为</w:t>
      </w:r>
      <w:r>
        <w:rPr>
          <w:rFonts w:ascii="Times New Roman" w:hAnsi="Times New Roman" w:eastAsia="仿宋" w:cs="Times New Roman"/>
          <w:kern w:val="0"/>
          <w:sz w:val="18"/>
          <w:szCs w:val="18"/>
        </w:rPr>
        <w:t>2000</w:t>
      </w:r>
      <w:r>
        <w:rPr>
          <w:rFonts w:ascii="仿宋" w:hAnsi="仿宋" w:eastAsia="仿宋" w:cs="Times New Roman"/>
          <w:kern w:val="0"/>
          <w:sz w:val="18"/>
          <w:szCs w:val="18"/>
        </w:rPr>
        <w:t>年</w:t>
      </w:r>
      <w:r>
        <w:rPr>
          <w:rFonts w:ascii="Times New Roman" w:hAnsi="Times New Roman" w:eastAsia="仿宋" w:cs="Times New Roman"/>
          <w:kern w:val="0"/>
          <w:sz w:val="18"/>
          <w:szCs w:val="18"/>
        </w:rPr>
        <w:t>-2019</w:t>
      </w:r>
      <w:r>
        <w:rPr>
          <w:rFonts w:ascii="仿宋" w:hAnsi="仿宋" w:eastAsia="仿宋" w:cs="Times New Roman"/>
          <w:kern w:val="0"/>
          <w:sz w:val="18"/>
          <w:szCs w:val="18"/>
        </w:rPr>
        <w:t>年。</w:t>
      </w:r>
    </w:p>
    <w:p>
      <w:pPr>
        <w:spacing w:line="380" w:lineRule="exact"/>
        <w:jc w:val="center"/>
        <w:rPr>
          <w:rFonts w:ascii="黑体" w:hAnsi="黑体" w:eastAsia="黑体" w:cs="Times New Roman"/>
          <w:bCs/>
          <w:sz w:val="18"/>
          <w:szCs w:val="18"/>
        </w:rPr>
      </w:pPr>
    </w:p>
    <w:p>
      <w:pPr>
        <w:spacing w:line="380" w:lineRule="exact"/>
        <w:jc w:val="center"/>
        <w:rPr>
          <w:rFonts w:ascii="黑体" w:hAnsi="黑体" w:eastAsia="黑体" w:cs="Times New Roman"/>
          <w:bCs/>
          <w:sz w:val="18"/>
          <w:szCs w:val="18"/>
        </w:rPr>
      </w:pPr>
    </w:p>
    <w:p>
      <w:pPr>
        <w:spacing w:line="380" w:lineRule="exact"/>
        <w:jc w:val="center"/>
        <w:rPr>
          <w:rFonts w:ascii="黑体" w:hAnsi="黑体" w:eastAsia="黑体" w:cs="Times New Roman"/>
          <w:bCs/>
          <w:sz w:val="18"/>
          <w:szCs w:val="18"/>
        </w:rPr>
      </w:pPr>
    </w:p>
    <w:p>
      <w:pPr>
        <w:rPr>
          <w:rFonts w:hint="eastAsia" w:ascii="黑体" w:hAnsi="黑体" w:eastAsia="黑体" w:cs="Times New Roman"/>
          <w:bCs/>
          <w:sz w:val="18"/>
          <w:szCs w:val="18"/>
        </w:rPr>
      </w:pPr>
      <w:r>
        <w:rPr>
          <w:rFonts w:hint="eastAsia" w:ascii="黑体" w:hAnsi="黑体" w:eastAsia="黑体" w:cs="Times New Roman"/>
          <w:bCs/>
          <w:sz w:val="18"/>
          <w:szCs w:val="18"/>
        </w:rPr>
        <w:br w:type="page"/>
      </w:r>
    </w:p>
    <w:p>
      <w:pPr>
        <w:spacing w:line="380" w:lineRule="exact"/>
        <w:jc w:val="center"/>
        <w:rPr>
          <w:rFonts w:hint="eastAsia" w:ascii="宋体" w:hAnsi="宋体" w:eastAsia="宋体" w:cs="宋体"/>
          <w:b/>
          <w:bCs w:val="0"/>
          <w:sz w:val="20"/>
          <w:szCs w:val="20"/>
          <w:lang w:val="en-US" w:eastAsia="zh-CN"/>
        </w:rPr>
      </w:pPr>
      <w:r>
        <w:rPr>
          <w:rFonts w:hint="eastAsia" w:ascii="宋体" w:hAnsi="宋体" w:eastAsia="宋体" w:cs="宋体"/>
          <w:b/>
          <w:bCs w:val="0"/>
          <w:sz w:val="20"/>
          <w:szCs w:val="20"/>
          <w:lang w:val="en-US" w:eastAsia="zh-CN"/>
        </w:rPr>
        <w:t>表A2 考虑父母受教育水平</w:t>
      </w:r>
    </w:p>
    <w:tbl>
      <w:tblPr>
        <w:tblStyle w:val="7"/>
        <w:tblW w:w="5000" w:type="pct"/>
        <w:tblInd w:w="0" w:type="dxa"/>
        <w:tblLayout w:type="autofit"/>
        <w:tblCellMar>
          <w:top w:w="0" w:type="dxa"/>
          <w:left w:w="108" w:type="dxa"/>
          <w:bottom w:w="0" w:type="dxa"/>
          <w:right w:w="108" w:type="dxa"/>
        </w:tblCellMar>
      </w:tblPr>
      <w:tblGrid>
        <w:gridCol w:w="1426"/>
        <w:gridCol w:w="1215"/>
        <w:gridCol w:w="1215"/>
        <w:gridCol w:w="1216"/>
        <w:gridCol w:w="1216"/>
        <w:gridCol w:w="1117"/>
        <w:gridCol w:w="1117"/>
      </w:tblGrid>
      <w:tr>
        <w:tblPrEx>
          <w:tblCellMar>
            <w:top w:w="0" w:type="dxa"/>
            <w:left w:w="108" w:type="dxa"/>
            <w:bottom w:w="0" w:type="dxa"/>
            <w:right w:w="108" w:type="dxa"/>
          </w:tblCellMar>
        </w:tblPrEx>
        <w:tc>
          <w:tcPr>
            <w:tcW w:w="837" w:type="pct"/>
            <w:tcBorders>
              <w:top w:val="single" w:color="auto" w:sz="12" w:space="0"/>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713" w:type="pct"/>
            <w:tcBorders>
              <w:top w:val="single" w:color="auto" w:sz="12" w:space="0"/>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1</w:t>
            </w:r>
            <w:r>
              <w:rPr>
                <w:rFonts w:ascii="仿宋" w:hAnsi="仿宋" w:eastAsia="仿宋" w:cs="Times New Roman"/>
                <w:kern w:val="0"/>
                <w:sz w:val="18"/>
                <w:szCs w:val="18"/>
              </w:rPr>
              <w:t>）</w:t>
            </w:r>
          </w:p>
        </w:tc>
        <w:tc>
          <w:tcPr>
            <w:tcW w:w="713" w:type="pct"/>
            <w:tcBorders>
              <w:top w:val="single" w:color="auto" w:sz="12" w:space="0"/>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2</w:t>
            </w:r>
            <w:r>
              <w:rPr>
                <w:rFonts w:ascii="仿宋" w:hAnsi="仿宋" w:eastAsia="仿宋" w:cs="Times New Roman"/>
                <w:kern w:val="0"/>
                <w:sz w:val="18"/>
                <w:szCs w:val="18"/>
              </w:rPr>
              <w:t>）</w:t>
            </w:r>
          </w:p>
        </w:tc>
        <w:tc>
          <w:tcPr>
            <w:tcW w:w="713" w:type="pct"/>
            <w:tcBorders>
              <w:top w:val="single" w:color="auto" w:sz="12" w:space="0"/>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3</w:t>
            </w:r>
            <w:r>
              <w:rPr>
                <w:rFonts w:ascii="仿宋" w:hAnsi="仿宋" w:eastAsia="仿宋" w:cs="Times New Roman"/>
                <w:kern w:val="0"/>
                <w:sz w:val="18"/>
                <w:szCs w:val="18"/>
              </w:rPr>
              <w:t>）</w:t>
            </w:r>
          </w:p>
        </w:tc>
        <w:tc>
          <w:tcPr>
            <w:tcW w:w="713" w:type="pct"/>
            <w:tcBorders>
              <w:top w:val="single" w:color="auto" w:sz="12" w:space="0"/>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4</w:t>
            </w:r>
            <w:r>
              <w:rPr>
                <w:rFonts w:ascii="仿宋" w:hAnsi="仿宋" w:eastAsia="仿宋" w:cs="Times New Roman"/>
                <w:kern w:val="0"/>
                <w:sz w:val="18"/>
                <w:szCs w:val="18"/>
              </w:rPr>
              <w:t>）</w:t>
            </w:r>
          </w:p>
        </w:tc>
        <w:tc>
          <w:tcPr>
            <w:tcW w:w="655" w:type="pct"/>
            <w:tcBorders>
              <w:top w:val="single" w:color="auto" w:sz="12" w:space="0"/>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5</w:t>
            </w:r>
            <w:r>
              <w:rPr>
                <w:rFonts w:ascii="仿宋" w:hAnsi="仿宋" w:eastAsia="仿宋" w:cs="Times New Roman"/>
                <w:kern w:val="0"/>
                <w:sz w:val="18"/>
                <w:szCs w:val="18"/>
              </w:rPr>
              <w:t>）</w:t>
            </w:r>
          </w:p>
        </w:tc>
        <w:tc>
          <w:tcPr>
            <w:tcW w:w="655" w:type="pct"/>
            <w:tcBorders>
              <w:top w:val="single" w:color="auto" w:sz="12" w:space="0"/>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6</w:t>
            </w:r>
            <w:r>
              <w:rPr>
                <w:rFonts w:ascii="仿宋" w:hAnsi="仿宋" w:eastAsia="仿宋" w:cs="Times New Roman"/>
                <w:kern w:val="0"/>
                <w:sz w:val="18"/>
                <w:szCs w:val="18"/>
              </w:rPr>
              <w:t>）</w:t>
            </w:r>
          </w:p>
        </w:tc>
      </w:tr>
      <w:tr>
        <w:tblPrEx>
          <w:tblCellMar>
            <w:top w:w="0" w:type="dxa"/>
            <w:left w:w="108" w:type="dxa"/>
            <w:bottom w:w="0" w:type="dxa"/>
            <w:right w:w="108" w:type="dxa"/>
          </w:tblCellMar>
        </w:tblPrEx>
        <w:tc>
          <w:tcPr>
            <w:tcW w:w="837" w:type="pct"/>
            <w:tcBorders>
              <w:top w:val="single" w:color="auto" w:sz="4" w:space="0"/>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713" w:type="pct"/>
            <w:tcBorders>
              <w:top w:val="single" w:color="auto" w:sz="4" w:space="0"/>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高中入学率</w:t>
            </w:r>
          </w:p>
        </w:tc>
        <w:tc>
          <w:tcPr>
            <w:tcW w:w="713" w:type="pct"/>
            <w:tcBorders>
              <w:top w:val="single" w:color="auto" w:sz="4" w:space="0"/>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大学入学率</w:t>
            </w:r>
          </w:p>
        </w:tc>
        <w:tc>
          <w:tcPr>
            <w:tcW w:w="713" w:type="pct"/>
            <w:tcBorders>
              <w:top w:val="single" w:color="auto" w:sz="4" w:space="0"/>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受教育年限</w:t>
            </w:r>
          </w:p>
        </w:tc>
        <w:tc>
          <w:tcPr>
            <w:tcW w:w="713" w:type="pct"/>
            <w:tcBorders>
              <w:top w:val="single" w:color="auto" w:sz="4" w:space="0"/>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高中入学率</w:t>
            </w:r>
          </w:p>
        </w:tc>
        <w:tc>
          <w:tcPr>
            <w:tcW w:w="655" w:type="pct"/>
            <w:tcBorders>
              <w:top w:val="single" w:color="auto" w:sz="4" w:space="0"/>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大学入学率</w:t>
            </w:r>
          </w:p>
        </w:tc>
        <w:tc>
          <w:tcPr>
            <w:tcW w:w="655" w:type="pct"/>
            <w:tcBorders>
              <w:top w:val="single" w:color="auto" w:sz="4" w:space="0"/>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受教育年限</w:t>
            </w:r>
          </w:p>
        </w:tc>
      </w:tr>
      <w:tr>
        <w:tblPrEx>
          <w:tblCellMar>
            <w:top w:w="0" w:type="dxa"/>
            <w:left w:w="108" w:type="dxa"/>
            <w:bottom w:w="0" w:type="dxa"/>
            <w:right w:w="108" w:type="dxa"/>
          </w:tblCellMar>
        </w:tblPrEx>
        <w:tc>
          <w:tcPr>
            <w:tcW w:w="837"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i/>
                <w:iCs/>
                <w:kern w:val="0"/>
                <w:sz w:val="18"/>
                <w:szCs w:val="18"/>
              </w:rPr>
            </w:pPr>
            <m:oMathPara>
              <m:oMath>
                <m:sSub>
                  <m:sSubPr>
                    <m:ctrlPr>
                      <w:rPr>
                        <w:rFonts w:ascii="Cambria Math" w:hAnsi="Cambria Math" w:eastAsia="仿宋"/>
                        <w:i/>
                        <w:iCs/>
                        <w:kern w:val="0"/>
                        <w:sz w:val="18"/>
                        <w:szCs w:val="18"/>
                      </w:rPr>
                    </m:ctrlPr>
                  </m:sSubPr>
                  <m:e>
                    <m:r>
                      <m:rPr/>
                      <w:rPr>
                        <w:rFonts w:ascii="Cambria Math" w:hAnsi="Cambria Math" w:eastAsia="仿宋"/>
                        <w:kern w:val="0"/>
                        <w:sz w:val="18"/>
                        <w:szCs w:val="18"/>
                      </w:rPr>
                      <m:t>Treat</m:t>
                    </m:r>
                    <m:ctrlPr>
                      <w:rPr>
                        <w:rFonts w:ascii="Cambria Math" w:hAnsi="Cambria Math" w:eastAsia="仿宋"/>
                        <w:i/>
                        <w:iCs/>
                        <w:kern w:val="0"/>
                        <w:sz w:val="18"/>
                        <w:szCs w:val="18"/>
                      </w:rPr>
                    </m:ctrlPr>
                  </m:e>
                  <m:sub>
                    <m:r>
                      <m:rPr/>
                      <w:rPr>
                        <w:rFonts w:ascii="Cambria Math" w:hAnsi="Cambria Math" w:eastAsia="仿宋"/>
                        <w:kern w:val="0"/>
                        <w:sz w:val="18"/>
                        <w:szCs w:val="18"/>
                      </w:rPr>
                      <m:t>c</m:t>
                    </m:r>
                    <m:ctrlPr>
                      <w:rPr>
                        <w:rFonts w:ascii="Cambria Math" w:hAnsi="Cambria Math" w:eastAsia="仿宋"/>
                        <w:i/>
                        <w:iCs/>
                        <w:kern w:val="0"/>
                        <w:sz w:val="18"/>
                        <w:szCs w:val="18"/>
                      </w:rPr>
                    </m:ctrlPr>
                  </m:sub>
                </m:sSub>
                <m:r>
                  <m:rPr/>
                  <w:rPr>
                    <w:rFonts w:ascii="Cambria Math" w:hAnsi="Cambria Math" w:eastAsia="仿宋"/>
                    <w:kern w:val="0"/>
                    <w:sz w:val="18"/>
                    <w:szCs w:val="18"/>
                  </w:rPr>
                  <m:t>×</m:t>
                </m:r>
                <m:sSub>
                  <m:sSubPr>
                    <m:ctrlPr>
                      <w:rPr>
                        <w:rFonts w:ascii="Cambria Math" w:hAnsi="Cambria Math" w:eastAsia="仿宋"/>
                        <w:i/>
                        <w:iCs/>
                        <w:kern w:val="0"/>
                        <w:sz w:val="18"/>
                        <w:szCs w:val="18"/>
                      </w:rPr>
                    </m:ctrlPr>
                  </m:sSubPr>
                  <m:e>
                    <m:r>
                      <m:rPr/>
                      <w:rPr>
                        <w:rFonts w:ascii="Cambria Math" w:hAnsi="Cambria Math" w:eastAsia="仿宋"/>
                        <w:kern w:val="0"/>
                        <w:sz w:val="18"/>
                        <w:szCs w:val="18"/>
                      </w:rPr>
                      <m:t>Post</m:t>
                    </m:r>
                    <m:ctrlPr>
                      <w:rPr>
                        <w:rFonts w:ascii="Cambria Math" w:hAnsi="Cambria Math" w:eastAsia="仿宋"/>
                        <w:i/>
                        <w:iCs/>
                        <w:kern w:val="0"/>
                        <w:sz w:val="18"/>
                        <w:szCs w:val="18"/>
                      </w:rPr>
                    </m:ctrlPr>
                  </m:e>
                  <m:sub>
                    <m:r>
                      <m:rPr/>
                      <w:rPr>
                        <w:rFonts w:ascii="Cambria Math" w:hAnsi="Cambria Math" w:eastAsia="仿宋"/>
                        <w:kern w:val="0"/>
                        <w:sz w:val="18"/>
                        <w:szCs w:val="18"/>
                      </w:rPr>
                      <m:t>t</m:t>
                    </m:r>
                    <m:ctrlPr>
                      <w:rPr>
                        <w:rFonts w:ascii="Cambria Math" w:hAnsi="Cambria Math" w:eastAsia="仿宋"/>
                        <w:i/>
                        <w:iCs/>
                        <w:kern w:val="0"/>
                        <w:sz w:val="18"/>
                        <w:szCs w:val="18"/>
                      </w:rPr>
                    </m:ctrlPr>
                  </m:sub>
                </m:sSub>
              </m:oMath>
            </m:oMathPara>
          </w:p>
        </w:tc>
        <w:tc>
          <w:tcPr>
            <w:tcW w:w="713"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0.0230**</w:t>
            </w:r>
          </w:p>
        </w:tc>
        <w:tc>
          <w:tcPr>
            <w:tcW w:w="713"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0.0210**</w:t>
            </w:r>
          </w:p>
        </w:tc>
        <w:tc>
          <w:tcPr>
            <w:tcW w:w="713"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0.0957*</w:t>
            </w:r>
          </w:p>
        </w:tc>
        <w:tc>
          <w:tcPr>
            <w:tcW w:w="713"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0.0215**</w:t>
            </w:r>
          </w:p>
        </w:tc>
        <w:tc>
          <w:tcPr>
            <w:tcW w:w="655"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0.0199**</w:t>
            </w:r>
          </w:p>
        </w:tc>
        <w:tc>
          <w:tcPr>
            <w:tcW w:w="655"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0.0842*</w:t>
            </w:r>
          </w:p>
        </w:tc>
      </w:tr>
      <w:tr>
        <w:tblPrEx>
          <w:tblCellMar>
            <w:top w:w="0" w:type="dxa"/>
            <w:left w:w="108" w:type="dxa"/>
            <w:bottom w:w="0" w:type="dxa"/>
            <w:right w:w="108" w:type="dxa"/>
          </w:tblCellMar>
        </w:tblPrEx>
        <w:tc>
          <w:tcPr>
            <w:tcW w:w="837"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(0.0090)</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(0.0091)</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(0.0539)</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(0.0086)</w:t>
            </w:r>
          </w:p>
        </w:tc>
        <w:tc>
          <w:tcPr>
            <w:tcW w:w="65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(0.0088)</w:t>
            </w:r>
          </w:p>
        </w:tc>
        <w:tc>
          <w:tcPr>
            <w:tcW w:w="65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(0.0506)</w:t>
            </w:r>
          </w:p>
        </w:tc>
      </w:tr>
      <w:tr>
        <w:tblPrEx>
          <w:tblCellMar>
            <w:top w:w="0" w:type="dxa"/>
            <w:left w:w="108" w:type="dxa"/>
            <w:bottom w:w="0" w:type="dxa"/>
            <w:right w:w="108" w:type="dxa"/>
          </w:tblCellMar>
        </w:tblPrEx>
        <w:tc>
          <w:tcPr>
            <w:tcW w:w="837"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性别</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0.0110***</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0.0299***</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0.0739***</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0.0089***</w:t>
            </w:r>
          </w:p>
        </w:tc>
        <w:tc>
          <w:tcPr>
            <w:tcW w:w="65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0.0282***</w:t>
            </w:r>
          </w:p>
        </w:tc>
        <w:tc>
          <w:tcPr>
            <w:tcW w:w="65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0.0577***</w:t>
            </w:r>
          </w:p>
        </w:tc>
      </w:tr>
      <w:tr>
        <w:tblPrEx>
          <w:tblCellMar>
            <w:top w:w="0" w:type="dxa"/>
            <w:left w:w="108" w:type="dxa"/>
            <w:bottom w:w="0" w:type="dxa"/>
            <w:right w:w="108" w:type="dxa"/>
          </w:tblCellMar>
        </w:tblPrEx>
        <w:tc>
          <w:tcPr>
            <w:tcW w:w="837"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(0.0015)</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(0.0012)</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(0.0096)</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(0.0015)</w:t>
            </w:r>
          </w:p>
        </w:tc>
        <w:tc>
          <w:tcPr>
            <w:tcW w:w="65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(0.0012)</w:t>
            </w:r>
          </w:p>
        </w:tc>
        <w:tc>
          <w:tcPr>
            <w:tcW w:w="65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(0.0094)</w:t>
            </w:r>
          </w:p>
        </w:tc>
      </w:tr>
      <w:tr>
        <w:tblPrEx>
          <w:tblCellMar>
            <w:top w:w="0" w:type="dxa"/>
            <w:left w:w="108" w:type="dxa"/>
            <w:bottom w:w="0" w:type="dxa"/>
            <w:right w:w="108" w:type="dxa"/>
          </w:tblCellMar>
        </w:tblPrEx>
        <w:tc>
          <w:tcPr>
            <w:tcW w:w="837"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户口</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0.4465***</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0.3338***</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2.7612***</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0.3700***</w:t>
            </w:r>
          </w:p>
        </w:tc>
        <w:tc>
          <w:tcPr>
            <w:tcW w:w="65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0.2750***</w:t>
            </w:r>
          </w:p>
        </w:tc>
        <w:tc>
          <w:tcPr>
            <w:tcW w:w="65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2.1894***</w:t>
            </w:r>
          </w:p>
        </w:tc>
      </w:tr>
      <w:tr>
        <w:tblPrEx>
          <w:tblCellMar>
            <w:top w:w="0" w:type="dxa"/>
            <w:left w:w="108" w:type="dxa"/>
            <w:bottom w:w="0" w:type="dxa"/>
            <w:right w:w="108" w:type="dxa"/>
          </w:tblCellMar>
        </w:tblPrEx>
        <w:tc>
          <w:tcPr>
            <w:tcW w:w="837"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(0.0034)</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(0.0030)</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(0.0206)</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(0.0033)</w:t>
            </w:r>
          </w:p>
        </w:tc>
        <w:tc>
          <w:tcPr>
            <w:tcW w:w="65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(0.0027)</w:t>
            </w:r>
          </w:p>
        </w:tc>
        <w:tc>
          <w:tcPr>
            <w:tcW w:w="65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(0.0184)</w:t>
            </w:r>
          </w:p>
        </w:tc>
      </w:tr>
      <w:tr>
        <w:tblPrEx>
          <w:tblCellMar>
            <w:top w:w="0" w:type="dxa"/>
            <w:left w:w="108" w:type="dxa"/>
            <w:bottom w:w="0" w:type="dxa"/>
            <w:right w:w="108" w:type="dxa"/>
          </w:tblCellMar>
        </w:tblPrEx>
        <w:tc>
          <w:tcPr>
            <w:tcW w:w="837"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民族</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-0.0256***</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-0.0034</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-0.2713***</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-0.0179***</w:t>
            </w:r>
          </w:p>
        </w:tc>
        <w:tc>
          <w:tcPr>
            <w:tcW w:w="65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0.0025</w:t>
            </w:r>
          </w:p>
        </w:tc>
        <w:tc>
          <w:tcPr>
            <w:tcW w:w="65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-0.2136***</w:t>
            </w:r>
          </w:p>
        </w:tc>
      </w:tr>
      <w:tr>
        <w:tblPrEx>
          <w:tblCellMar>
            <w:top w:w="0" w:type="dxa"/>
            <w:left w:w="108" w:type="dxa"/>
            <w:bottom w:w="0" w:type="dxa"/>
            <w:right w:w="108" w:type="dxa"/>
          </w:tblCellMar>
        </w:tblPrEx>
        <w:tc>
          <w:tcPr>
            <w:tcW w:w="837"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(0.0046)</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(0.0032)</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(0.0327)</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(0.0041)</w:t>
            </w:r>
          </w:p>
        </w:tc>
        <w:tc>
          <w:tcPr>
            <w:tcW w:w="65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(0.0029)</w:t>
            </w:r>
          </w:p>
        </w:tc>
        <w:tc>
          <w:tcPr>
            <w:tcW w:w="65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(0.0280)</w:t>
            </w:r>
          </w:p>
        </w:tc>
      </w:tr>
      <w:tr>
        <w:tblPrEx>
          <w:tblCellMar>
            <w:top w:w="0" w:type="dxa"/>
            <w:left w:w="108" w:type="dxa"/>
            <w:bottom w:w="0" w:type="dxa"/>
            <w:right w:w="108" w:type="dxa"/>
          </w:tblCellMar>
        </w:tblPrEx>
        <w:tc>
          <w:tcPr>
            <w:tcW w:w="837"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家庭规模</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-0.0088***</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-0.0067***</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-0.0474***</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-0.0111***</w:t>
            </w:r>
          </w:p>
        </w:tc>
        <w:tc>
          <w:tcPr>
            <w:tcW w:w="65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-0.0085***</w:t>
            </w:r>
          </w:p>
        </w:tc>
        <w:tc>
          <w:tcPr>
            <w:tcW w:w="65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-0.0648***</w:t>
            </w:r>
          </w:p>
        </w:tc>
      </w:tr>
      <w:tr>
        <w:tblPrEx>
          <w:tblCellMar>
            <w:top w:w="0" w:type="dxa"/>
            <w:left w:w="108" w:type="dxa"/>
            <w:bottom w:w="0" w:type="dxa"/>
            <w:right w:w="108" w:type="dxa"/>
          </w:tblCellMar>
        </w:tblPrEx>
        <w:tc>
          <w:tcPr>
            <w:tcW w:w="837"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(0.0003)</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(0.0003)</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(0.0020)</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(0.0003)</w:t>
            </w:r>
          </w:p>
        </w:tc>
        <w:tc>
          <w:tcPr>
            <w:tcW w:w="65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(0.0003)</w:t>
            </w:r>
          </w:p>
        </w:tc>
        <w:tc>
          <w:tcPr>
            <w:tcW w:w="65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(0.0020)</w:t>
            </w:r>
          </w:p>
        </w:tc>
      </w:tr>
      <w:tr>
        <w:tblPrEx>
          <w:tblCellMar>
            <w:top w:w="0" w:type="dxa"/>
            <w:left w:w="108" w:type="dxa"/>
            <w:bottom w:w="0" w:type="dxa"/>
            <w:right w:w="108" w:type="dxa"/>
          </w:tblCellMar>
        </w:tblPrEx>
        <w:tc>
          <w:tcPr>
            <w:tcW w:w="837"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父母受教育年限</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0.0323***</w:t>
            </w:r>
          </w:p>
        </w:tc>
        <w:tc>
          <w:tcPr>
            <w:tcW w:w="65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0.0248***</w:t>
            </w:r>
          </w:p>
        </w:tc>
        <w:tc>
          <w:tcPr>
            <w:tcW w:w="65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0.2409***</w:t>
            </w:r>
          </w:p>
        </w:tc>
      </w:tr>
      <w:tr>
        <w:tblPrEx>
          <w:tblCellMar>
            <w:top w:w="0" w:type="dxa"/>
            <w:left w:w="108" w:type="dxa"/>
            <w:bottom w:w="0" w:type="dxa"/>
            <w:right w:w="108" w:type="dxa"/>
          </w:tblCellMar>
        </w:tblPrEx>
        <w:tc>
          <w:tcPr>
            <w:tcW w:w="837"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(0.0003)</w:t>
            </w:r>
          </w:p>
        </w:tc>
        <w:tc>
          <w:tcPr>
            <w:tcW w:w="65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(0.0004)</w:t>
            </w:r>
          </w:p>
        </w:tc>
        <w:tc>
          <w:tcPr>
            <w:tcW w:w="65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(0.0019)</w:t>
            </w:r>
          </w:p>
        </w:tc>
      </w:tr>
      <w:tr>
        <w:tblPrEx>
          <w:tblCellMar>
            <w:top w:w="0" w:type="dxa"/>
            <w:left w:w="108" w:type="dxa"/>
            <w:bottom w:w="0" w:type="dxa"/>
            <w:right w:w="108" w:type="dxa"/>
          </w:tblCellMar>
        </w:tblPrEx>
        <w:tc>
          <w:tcPr>
            <w:tcW w:w="837"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出生年份固定效应</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5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5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CellMar>
            <w:top w:w="0" w:type="dxa"/>
            <w:left w:w="108" w:type="dxa"/>
            <w:bottom w:w="0" w:type="dxa"/>
            <w:right w:w="108" w:type="dxa"/>
          </w:tblCellMar>
        </w:tblPrEx>
        <w:tc>
          <w:tcPr>
            <w:tcW w:w="837"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区县固定效应</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5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5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CellMar>
            <w:top w:w="0" w:type="dxa"/>
            <w:left w:w="108" w:type="dxa"/>
            <w:bottom w:w="0" w:type="dxa"/>
            <w:right w:w="108" w:type="dxa"/>
          </w:tblCellMar>
        </w:tblPrEx>
        <w:tc>
          <w:tcPr>
            <w:tcW w:w="837"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年份</w:t>
            </w:r>
            <w:r>
              <w:rPr>
                <w:rFonts w:ascii="Times New Roman" w:hAnsi="Times New Roman" w:eastAsia="仿宋" w:cs="Times New Roman"/>
                <w:kern w:val="0"/>
                <w:sz w:val="18"/>
                <w:szCs w:val="18"/>
              </w:rPr>
              <w:t>×</w:t>
            </w:r>
            <w:r>
              <w:rPr>
                <w:rFonts w:ascii="仿宋" w:hAnsi="仿宋" w:eastAsia="仿宋" w:cs="Times New Roman"/>
                <w:kern w:val="0"/>
                <w:sz w:val="18"/>
                <w:szCs w:val="18"/>
              </w:rPr>
              <w:t>市固定效应</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713"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5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5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CellMar>
            <w:top w:w="0" w:type="dxa"/>
            <w:left w:w="108" w:type="dxa"/>
            <w:bottom w:w="0" w:type="dxa"/>
            <w:right w:w="108" w:type="dxa"/>
          </w:tblCellMar>
        </w:tblPrEx>
        <w:tc>
          <w:tcPr>
            <w:tcW w:w="837"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观测值</w:t>
            </w:r>
          </w:p>
        </w:tc>
        <w:tc>
          <w:tcPr>
            <w:tcW w:w="713"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644982</w:t>
            </w:r>
          </w:p>
        </w:tc>
        <w:tc>
          <w:tcPr>
            <w:tcW w:w="713"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644982</w:t>
            </w:r>
          </w:p>
        </w:tc>
        <w:tc>
          <w:tcPr>
            <w:tcW w:w="713"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644982</w:t>
            </w:r>
          </w:p>
        </w:tc>
        <w:tc>
          <w:tcPr>
            <w:tcW w:w="713"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644982</w:t>
            </w:r>
          </w:p>
        </w:tc>
        <w:tc>
          <w:tcPr>
            <w:tcW w:w="655"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644982</w:t>
            </w:r>
          </w:p>
        </w:tc>
        <w:tc>
          <w:tcPr>
            <w:tcW w:w="655"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644982</w:t>
            </w:r>
          </w:p>
        </w:tc>
      </w:tr>
      <w:tr>
        <w:tblPrEx>
          <w:tblCellMar>
            <w:top w:w="0" w:type="dxa"/>
            <w:left w:w="108" w:type="dxa"/>
            <w:bottom w:w="0" w:type="dxa"/>
            <w:right w:w="108" w:type="dxa"/>
          </w:tblCellMar>
        </w:tblPrEx>
        <w:tc>
          <w:tcPr>
            <w:tcW w:w="837" w:type="pct"/>
            <w:tcBorders>
              <w:top w:val="nil"/>
              <w:left w:val="nil"/>
              <w:bottom w:val="single" w:color="auto" w:sz="12"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R2</w:t>
            </w:r>
          </w:p>
        </w:tc>
        <w:tc>
          <w:tcPr>
            <w:tcW w:w="713" w:type="pct"/>
            <w:tcBorders>
              <w:top w:val="nil"/>
              <w:left w:val="nil"/>
              <w:bottom w:val="single" w:color="auto" w:sz="12"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0.295</w:t>
            </w:r>
          </w:p>
        </w:tc>
        <w:tc>
          <w:tcPr>
            <w:tcW w:w="713" w:type="pct"/>
            <w:tcBorders>
              <w:top w:val="nil"/>
              <w:left w:val="nil"/>
              <w:bottom w:val="single" w:color="auto" w:sz="12"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0.254</w:t>
            </w:r>
          </w:p>
        </w:tc>
        <w:tc>
          <w:tcPr>
            <w:tcW w:w="713" w:type="pct"/>
            <w:tcBorders>
              <w:top w:val="nil"/>
              <w:left w:val="nil"/>
              <w:bottom w:val="single" w:color="auto" w:sz="12"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0.341</w:t>
            </w:r>
          </w:p>
        </w:tc>
        <w:tc>
          <w:tcPr>
            <w:tcW w:w="713" w:type="pct"/>
            <w:tcBorders>
              <w:top w:val="nil"/>
              <w:left w:val="nil"/>
              <w:bottom w:val="single" w:color="auto" w:sz="12"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0.321</w:t>
            </w:r>
          </w:p>
        </w:tc>
        <w:tc>
          <w:tcPr>
            <w:tcW w:w="655" w:type="pct"/>
            <w:tcBorders>
              <w:top w:val="nil"/>
              <w:left w:val="nil"/>
              <w:bottom w:val="single" w:color="auto" w:sz="12"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0.278</w:t>
            </w:r>
          </w:p>
        </w:tc>
        <w:tc>
          <w:tcPr>
            <w:tcW w:w="655" w:type="pct"/>
            <w:tcBorders>
              <w:top w:val="nil"/>
              <w:left w:val="nil"/>
              <w:bottom w:val="single" w:color="auto" w:sz="12"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0.382</w:t>
            </w:r>
          </w:p>
        </w:tc>
      </w:tr>
    </w:tbl>
    <w:p>
      <w:pPr>
        <w:spacing w:line="380" w:lineRule="exact"/>
        <w:rPr>
          <w:rFonts w:ascii="Times New Roman" w:hAnsi="Times New Roman" w:eastAsia="仿宋" w:cs="Times New Roman"/>
          <w:kern w:val="0"/>
          <w:sz w:val="18"/>
          <w:szCs w:val="18"/>
        </w:rPr>
      </w:pPr>
      <w:r>
        <w:rPr>
          <w:rFonts w:ascii="仿宋" w:hAnsi="仿宋" w:eastAsia="仿宋" w:cs="Times New Roman"/>
          <w:kern w:val="0"/>
          <w:sz w:val="18"/>
          <w:szCs w:val="18"/>
        </w:rPr>
        <w:t>注：括号中的数值为在县级层面聚类的稳健标准误</w:t>
      </w:r>
      <w:r>
        <w:rPr>
          <w:rFonts w:ascii="Times New Roman" w:hAnsi="Times New Roman" w:eastAsia="仿宋" w:cs="Times New Roman"/>
          <w:kern w:val="0"/>
          <w:sz w:val="18"/>
          <w:szCs w:val="18"/>
        </w:rPr>
        <w:t>；***、**和*分别表示在1%、5%和10%置信度水平下显著。列1-列3中并未控制父母的受教育水平，我们发现虽然交互项的系数大小显著性有所下降，但是仍在10%的显著性水平上为正。在列4-列6中，我们进一步控制了父母的教育水平，此处我们采用父母二者中较高的受教育年限衡量父母受教育水平。估计结果表明，控制父母受教育程度与否对交互项系数的影响很小。对于高中入学率、大学入学率以及受教育年限而言，交互项的系数仅降低了0.0015、0.0011和0.0115，且显著性水平几乎没有变化，因此系数显著性下降的原因可能是因为样本本身的选择性问题。我们的样本使用的是出生在1970-1992年的个体，如果2010年（18-40岁）还属于户主子女而没有独立成户，则可能样本本身就具有一些系统性差异，例如自理能力较差、能力较低等。</w:t>
      </w:r>
    </w:p>
    <w:p>
      <w:pPr>
        <w:spacing w:line="380" w:lineRule="exact"/>
        <w:jc w:val="center"/>
        <w:rPr>
          <w:rFonts w:ascii="黑体" w:hAnsi="黑体" w:eastAsia="黑体" w:cs="Times New Roman"/>
          <w:bCs/>
          <w:sz w:val="18"/>
          <w:szCs w:val="18"/>
        </w:rPr>
      </w:pPr>
    </w:p>
    <w:p>
      <w:pPr>
        <w:spacing w:line="380" w:lineRule="exact"/>
        <w:jc w:val="center"/>
        <w:rPr>
          <w:rFonts w:ascii="黑体" w:hAnsi="黑体" w:eastAsia="黑体" w:cs="Times New Roman"/>
          <w:bCs/>
          <w:sz w:val="18"/>
          <w:szCs w:val="18"/>
        </w:rPr>
      </w:pPr>
    </w:p>
    <w:p>
      <w:pPr>
        <w:spacing w:line="380" w:lineRule="exact"/>
        <w:jc w:val="center"/>
        <w:rPr>
          <w:rFonts w:ascii="黑体" w:hAnsi="黑体" w:eastAsia="黑体" w:cs="Times New Roman"/>
          <w:bCs/>
          <w:sz w:val="18"/>
          <w:szCs w:val="18"/>
        </w:rPr>
      </w:pPr>
    </w:p>
    <w:p>
      <w:pPr>
        <w:spacing w:line="380" w:lineRule="exact"/>
        <w:jc w:val="center"/>
        <w:rPr>
          <w:rFonts w:ascii="黑体" w:hAnsi="黑体" w:eastAsia="黑体" w:cs="Times New Roman"/>
          <w:bCs/>
          <w:sz w:val="18"/>
          <w:szCs w:val="18"/>
        </w:rPr>
      </w:pPr>
    </w:p>
    <w:p>
      <w:pPr>
        <w:spacing w:line="380" w:lineRule="exact"/>
        <w:jc w:val="center"/>
        <w:rPr>
          <w:rFonts w:ascii="黑体" w:hAnsi="黑体" w:eastAsia="黑体" w:cs="Times New Roman"/>
          <w:bCs/>
          <w:sz w:val="18"/>
          <w:szCs w:val="18"/>
        </w:rPr>
      </w:pPr>
    </w:p>
    <w:p>
      <w:pPr>
        <w:spacing w:line="380" w:lineRule="exact"/>
        <w:jc w:val="center"/>
        <w:rPr>
          <w:rFonts w:ascii="黑体" w:hAnsi="黑体" w:eastAsia="黑体" w:cs="Times New Roman"/>
          <w:bCs/>
          <w:sz w:val="18"/>
          <w:szCs w:val="18"/>
        </w:rPr>
      </w:pPr>
    </w:p>
    <w:p>
      <w:pPr>
        <w:spacing w:line="380" w:lineRule="exact"/>
        <w:jc w:val="center"/>
        <w:rPr>
          <w:rFonts w:ascii="黑体" w:hAnsi="黑体" w:eastAsia="黑体" w:cs="Times New Roman"/>
          <w:bCs/>
          <w:sz w:val="18"/>
          <w:szCs w:val="18"/>
        </w:rPr>
      </w:pPr>
    </w:p>
    <w:p>
      <w:pPr>
        <w:spacing w:line="380" w:lineRule="exact"/>
        <w:jc w:val="center"/>
        <w:rPr>
          <w:rFonts w:ascii="黑体" w:hAnsi="黑体" w:eastAsia="黑体" w:cs="Times New Roman"/>
          <w:bCs/>
          <w:sz w:val="18"/>
          <w:szCs w:val="18"/>
        </w:rPr>
      </w:pPr>
    </w:p>
    <w:p>
      <w:pPr>
        <w:rPr>
          <w:rFonts w:hint="eastAsia" w:ascii="黑体" w:hAnsi="黑体" w:eastAsia="黑体" w:cs="Times New Roman"/>
          <w:bCs/>
          <w:sz w:val="18"/>
          <w:szCs w:val="18"/>
        </w:rPr>
      </w:pPr>
      <w:r>
        <w:rPr>
          <w:rFonts w:hint="eastAsia" w:ascii="黑体" w:hAnsi="黑体" w:eastAsia="黑体" w:cs="Times New Roman"/>
          <w:bCs/>
          <w:sz w:val="18"/>
          <w:szCs w:val="18"/>
        </w:rPr>
        <w:br w:type="page"/>
      </w:r>
    </w:p>
    <w:p>
      <w:pPr>
        <w:spacing w:line="380" w:lineRule="exact"/>
        <w:jc w:val="center"/>
        <w:rPr>
          <w:rFonts w:hint="eastAsia" w:ascii="宋体" w:hAnsi="宋体" w:eastAsia="宋体" w:cs="宋体"/>
          <w:b/>
          <w:bCs w:val="0"/>
          <w:sz w:val="20"/>
          <w:szCs w:val="20"/>
          <w:lang w:val="en-US" w:eastAsia="zh-CN"/>
        </w:rPr>
      </w:pPr>
      <w:r>
        <w:rPr>
          <w:rFonts w:hint="eastAsia" w:ascii="宋体" w:hAnsi="宋体" w:eastAsia="宋体" w:cs="宋体"/>
          <w:b/>
          <w:bCs w:val="0"/>
          <w:sz w:val="20"/>
          <w:szCs w:val="20"/>
          <w:lang w:val="en-US" w:eastAsia="zh-CN"/>
        </w:rPr>
        <w:t>表A3 考虑人口迁移</w:t>
      </w:r>
    </w:p>
    <w:tbl>
      <w:tblPr>
        <w:tblStyle w:val="7"/>
        <w:tblW w:w="5000" w:type="pct"/>
        <w:tblInd w:w="0" w:type="dxa"/>
        <w:tblLayout w:type="autofit"/>
        <w:tblCellMar>
          <w:top w:w="0" w:type="dxa"/>
          <w:left w:w="108" w:type="dxa"/>
          <w:bottom w:w="0" w:type="dxa"/>
          <w:right w:w="108" w:type="dxa"/>
        </w:tblCellMar>
      </w:tblPr>
      <w:tblGrid>
        <w:gridCol w:w="2789"/>
        <w:gridCol w:w="1911"/>
        <w:gridCol w:w="1911"/>
        <w:gridCol w:w="1911"/>
      </w:tblGrid>
      <w:tr>
        <w:tblPrEx>
          <w:tblCellMar>
            <w:top w:w="0" w:type="dxa"/>
            <w:left w:w="108" w:type="dxa"/>
            <w:bottom w:w="0" w:type="dxa"/>
            <w:right w:w="108" w:type="dxa"/>
          </w:tblCellMar>
        </w:tblPrEx>
        <w:tc>
          <w:tcPr>
            <w:tcW w:w="1636" w:type="pct"/>
            <w:tcBorders>
              <w:top w:val="single" w:color="auto" w:sz="12"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1121" w:type="pct"/>
            <w:tcBorders>
              <w:top w:val="single" w:color="auto" w:sz="12"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1</w:t>
            </w:r>
            <w:r>
              <w:rPr>
                <w:rFonts w:ascii="仿宋" w:hAnsi="仿宋" w:eastAsia="仿宋" w:cs="Times New Roman"/>
                <w:kern w:val="0"/>
                <w:sz w:val="18"/>
                <w:szCs w:val="18"/>
              </w:rPr>
              <w:t>）</w:t>
            </w:r>
          </w:p>
        </w:tc>
        <w:tc>
          <w:tcPr>
            <w:tcW w:w="1121" w:type="pct"/>
            <w:tcBorders>
              <w:top w:val="single" w:color="auto" w:sz="12"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2</w:t>
            </w:r>
            <w:r>
              <w:rPr>
                <w:rFonts w:ascii="仿宋" w:hAnsi="仿宋" w:eastAsia="仿宋" w:cs="Times New Roman"/>
                <w:kern w:val="0"/>
                <w:sz w:val="18"/>
                <w:szCs w:val="18"/>
              </w:rPr>
              <w:t>）</w:t>
            </w:r>
          </w:p>
        </w:tc>
        <w:tc>
          <w:tcPr>
            <w:tcW w:w="1121" w:type="pct"/>
            <w:tcBorders>
              <w:top w:val="single" w:color="auto" w:sz="12"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3</w:t>
            </w:r>
            <w:r>
              <w:rPr>
                <w:rFonts w:ascii="仿宋" w:hAnsi="仿宋" w:eastAsia="仿宋" w:cs="Times New Roman"/>
                <w:kern w:val="0"/>
                <w:sz w:val="18"/>
                <w:szCs w:val="18"/>
              </w:rPr>
              <w:t>）</w:t>
            </w:r>
          </w:p>
        </w:tc>
      </w:tr>
      <w:tr>
        <w:tblPrEx>
          <w:tblCellMar>
            <w:top w:w="0" w:type="dxa"/>
            <w:left w:w="108" w:type="dxa"/>
            <w:bottom w:w="0" w:type="dxa"/>
            <w:right w:w="108" w:type="dxa"/>
          </w:tblCellMar>
        </w:tblPrEx>
        <w:tc>
          <w:tcPr>
            <w:tcW w:w="1636" w:type="pct"/>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1121" w:type="pct"/>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高中入学率</w:t>
            </w:r>
          </w:p>
        </w:tc>
        <w:tc>
          <w:tcPr>
            <w:tcW w:w="1121" w:type="pct"/>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大学入学率</w:t>
            </w:r>
          </w:p>
        </w:tc>
        <w:tc>
          <w:tcPr>
            <w:tcW w:w="1121" w:type="pct"/>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受教育年限</w:t>
            </w:r>
          </w:p>
        </w:tc>
      </w:tr>
      <w:tr>
        <w:tblPrEx>
          <w:tblCellMar>
            <w:top w:w="0" w:type="dxa"/>
            <w:left w:w="108" w:type="dxa"/>
            <w:bottom w:w="0" w:type="dxa"/>
            <w:right w:w="108" w:type="dxa"/>
          </w:tblCellMar>
        </w:tblPrEx>
        <w:tc>
          <w:tcPr>
            <w:tcW w:w="1636"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i/>
                <w:iCs/>
                <w:kern w:val="0"/>
                <w:sz w:val="18"/>
                <w:szCs w:val="18"/>
              </w:rPr>
            </w:pPr>
            <m:oMathPara>
              <m:oMath>
                <m:sSub>
                  <m:sSubPr>
                    <m:ctrlPr>
                      <w:rPr>
                        <w:rFonts w:ascii="Cambria Math" w:hAnsi="Cambria Math" w:eastAsia="仿宋"/>
                        <w:i/>
                        <w:iCs/>
                        <w:kern w:val="0"/>
                        <w:sz w:val="18"/>
                        <w:szCs w:val="18"/>
                      </w:rPr>
                    </m:ctrlPr>
                  </m:sSubPr>
                  <m:e>
                    <m:r>
                      <m:rPr/>
                      <w:rPr>
                        <w:rFonts w:ascii="Cambria Math" w:hAnsi="Cambria Math" w:eastAsia="仿宋"/>
                        <w:kern w:val="0"/>
                        <w:sz w:val="18"/>
                        <w:szCs w:val="18"/>
                      </w:rPr>
                      <m:t>Treat</m:t>
                    </m:r>
                    <m:ctrlPr>
                      <w:rPr>
                        <w:rFonts w:ascii="Cambria Math" w:hAnsi="Cambria Math" w:eastAsia="仿宋"/>
                        <w:i/>
                        <w:iCs/>
                        <w:kern w:val="0"/>
                        <w:sz w:val="18"/>
                        <w:szCs w:val="18"/>
                      </w:rPr>
                    </m:ctrlPr>
                  </m:e>
                  <m:sub>
                    <m:r>
                      <m:rPr/>
                      <w:rPr>
                        <w:rFonts w:ascii="Cambria Math" w:hAnsi="Cambria Math" w:eastAsia="仿宋"/>
                        <w:kern w:val="0"/>
                        <w:sz w:val="18"/>
                        <w:szCs w:val="18"/>
                      </w:rPr>
                      <m:t>c</m:t>
                    </m:r>
                    <m:ctrlPr>
                      <w:rPr>
                        <w:rFonts w:ascii="Cambria Math" w:hAnsi="Cambria Math" w:eastAsia="仿宋"/>
                        <w:i/>
                        <w:iCs/>
                        <w:kern w:val="0"/>
                        <w:sz w:val="18"/>
                        <w:szCs w:val="18"/>
                      </w:rPr>
                    </m:ctrlPr>
                  </m:sub>
                </m:sSub>
                <m:r>
                  <m:rPr/>
                  <w:rPr>
                    <w:rFonts w:ascii="Cambria Math" w:hAnsi="Cambria Math" w:eastAsia="仿宋"/>
                    <w:kern w:val="0"/>
                    <w:sz w:val="18"/>
                    <w:szCs w:val="18"/>
                  </w:rPr>
                  <m:t>×</m:t>
                </m:r>
                <m:sSub>
                  <m:sSubPr>
                    <m:ctrlPr>
                      <w:rPr>
                        <w:rFonts w:ascii="Cambria Math" w:hAnsi="Cambria Math" w:eastAsia="仿宋"/>
                        <w:i/>
                        <w:iCs/>
                        <w:kern w:val="0"/>
                        <w:sz w:val="18"/>
                        <w:szCs w:val="18"/>
                      </w:rPr>
                    </m:ctrlPr>
                  </m:sSubPr>
                  <m:e>
                    <m:r>
                      <m:rPr/>
                      <w:rPr>
                        <w:rFonts w:ascii="Cambria Math" w:hAnsi="Cambria Math" w:eastAsia="仿宋"/>
                        <w:kern w:val="0"/>
                        <w:sz w:val="18"/>
                        <w:szCs w:val="18"/>
                      </w:rPr>
                      <m:t>Post</m:t>
                    </m:r>
                    <m:ctrlPr>
                      <w:rPr>
                        <w:rFonts w:ascii="Cambria Math" w:hAnsi="Cambria Math" w:eastAsia="仿宋"/>
                        <w:i/>
                        <w:iCs/>
                        <w:kern w:val="0"/>
                        <w:sz w:val="18"/>
                        <w:szCs w:val="18"/>
                      </w:rPr>
                    </m:ctrlPr>
                  </m:e>
                  <m:sub>
                    <m:r>
                      <m:rPr/>
                      <w:rPr>
                        <w:rFonts w:ascii="Cambria Math" w:hAnsi="Cambria Math" w:eastAsia="仿宋"/>
                        <w:kern w:val="0"/>
                        <w:sz w:val="18"/>
                        <w:szCs w:val="18"/>
                      </w:rPr>
                      <m:t>t</m:t>
                    </m:r>
                    <m:ctrlPr>
                      <w:rPr>
                        <w:rFonts w:ascii="Cambria Math" w:hAnsi="Cambria Math" w:eastAsia="仿宋"/>
                        <w:i/>
                        <w:iCs/>
                        <w:kern w:val="0"/>
                        <w:sz w:val="18"/>
                        <w:szCs w:val="18"/>
                      </w:rPr>
                    </m:ctrlPr>
                  </m:sub>
                </m:sSub>
              </m:oMath>
            </m:oMathPara>
          </w:p>
        </w:tc>
        <w:tc>
          <w:tcPr>
            <w:tcW w:w="1121"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0.0405***</w:t>
            </w:r>
          </w:p>
        </w:tc>
        <w:tc>
          <w:tcPr>
            <w:tcW w:w="1121"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0.0238***</w:t>
            </w:r>
          </w:p>
        </w:tc>
        <w:tc>
          <w:tcPr>
            <w:tcW w:w="1121"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0.1431***</w:t>
            </w:r>
          </w:p>
        </w:tc>
      </w:tr>
      <w:tr>
        <w:tblPrEx>
          <w:tblCellMar>
            <w:top w:w="0" w:type="dxa"/>
            <w:left w:w="108" w:type="dxa"/>
            <w:bottom w:w="0" w:type="dxa"/>
            <w:right w:w="108" w:type="dxa"/>
          </w:tblCellMar>
        </w:tblPrEx>
        <w:tc>
          <w:tcPr>
            <w:tcW w:w="1636"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1121"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(0.0089)</w:t>
            </w:r>
          </w:p>
        </w:tc>
        <w:tc>
          <w:tcPr>
            <w:tcW w:w="1121"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(0.0087)</w:t>
            </w:r>
          </w:p>
        </w:tc>
        <w:tc>
          <w:tcPr>
            <w:tcW w:w="1121"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(0.0522)</w:t>
            </w:r>
          </w:p>
        </w:tc>
      </w:tr>
      <w:tr>
        <w:tblPrEx>
          <w:tblCellMar>
            <w:top w:w="0" w:type="dxa"/>
            <w:left w:w="108" w:type="dxa"/>
            <w:bottom w:w="0" w:type="dxa"/>
            <w:right w:w="108" w:type="dxa"/>
          </w:tblCellMar>
        </w:tblPrEx>
        <w:tc>
          <w:tcPr>
            <w:tcW w:w="1636"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性别</w:t>
            </w:r>
          </w:p>
        </w:tc>
        <w:tc>
          <w:tcPr>
            <w:tcW w:w="1121"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-0.0323***</w:t>
            </w:r>
          </w:p>
        </w:tc>
        <w:tc>
          <w:tcPr>
            <w:tcW w:w="1121"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-0.0036***</w:t>
            </w:r>
          </w:p>
        </w:tc>
        <w:tc>
          <w:tcPr>
            <w:tcW w:w="1121"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-0.3158***</w:t>
            </w:r>
          </w:p>
        </w:tc>
      </w:tr>
      <w:tr>
        <w:tblPrEx>
          <w:tblCellMar>
            <w:top w:w="0" w:type="dxa"/>
            <w:left w:w="108" w:type="dxa"/>
            <w:bottom w:w="0" w:type="dxa"/>
            <w:right w:w="108" w:type="dxa"/>
          </w:tblCellMar>
        </w:tblPrEx>
        <w:tc>
          <w:tcPr>
            <w:tcW w:w="1636"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1121"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(0.0010)</w:t>
            </w:r>
          </w:p>
        </w:tc>
        <w:tc>
          <w:tcPr>
            <w:tcW w:w="1121"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(0.0007)</w:t>
            </w:r>
          </w:p>
        </w:tc>
        <w:tc>
          <w:tcPr>
            <w:tcW w:w="1121"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(0.0085)</w:t>
            </w:r>
          </w:p>
        </w:tc>
      </w:tr>
      <w:tr>
        <w:tblPrEx>
          <w:tblCellMar>
            <w:top w:w="0" w:type="dxa"/>
            <w:left w:w="108" w:type="dxa"/>
            <w:bottom w:w="0" w:type="dxa"/>
            <w:right w:w="108" w:type="dxa"/>
          </w:tblCellMar>
        </w:tblPrEx>
        <w:tc>
          <w:tcPr>
            <w:tcW w:w="1636"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户口</w:t>
            </w:r>
          </w:p>
        </w:tc>
        <w:tc>
          <w:tcPr>
            <w:tcW w:w="1121"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0.4980***</w:t>
            </w:r>
          </w:p>
        </w:tc>
        <w:tc>
          <w:tcPr>
            <w:tcW w:w="1121"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0.3232***</w:t>
            </w:r>
          </w:p>
        </w:tc>
        <w:tc>
          <w:tcPr>
            <w:tcW w:w="1121"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3.1275***</w:t>
            </w:r>
          </w:p>
        </w:tc>
      </w:tr>
      <w:tr>
        <w:tblPrEx>
          <w:tblCellMar>
            <w:top w:w="0" w:type="dxa"/>
            <w:left w:w="108" w:type="dxa"/>
            <w:bottom w:w="0" w:type="dxa"/>
            <w:right w:w="108" w:type="dxa"/>
          </w:tblCellMar>
        </w:tblPrEx>
        <w:tc>
          <w:tcPr>
            <w:tcW w:w="1636"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1121"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(0.0035)</w:t>
            </w:r>
          </w:p>
        </w:tc>
        <w:tc>
          <w:tcPr>
            <w:tcW w:w="1121"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(0.0032)</w:t>
            </w:r>
          </w:p>
        </w:tc>
        <w:tc>
          <w:tcPr>
            <w:tcW w:w="1121"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(0.0233)</w:t>
            </w:r>
          </w:p>
        </w:tc>
      </w:tr>
      <w:tr>
        <w:tblPrEx>
          <w:tblCellMar>
            <w:top w:w="0" w:type="dxa"/>
            <w:left w:w="108" w:type="dxa"/>
            <w:bottom w:w="0" w:type="dxa"/>
            <w:right w:w="108" w:type="dxa"/>
          </w:tblCellMar>
        </w:tblPrEx>
        <w:tc>
          <w:tcPr>
            <w:tcW w:w="1636"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民族</w:t>
            </w:r>
          </w:p>
        </w:tc>
        <w:tc>
          <w:tcPr>
            <w:tcW w:w="1121"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-0.0150***</w:t>
            </w:r>
          </w:p>
        </w:tc>
        <w:tc>
          <w:tcPr>
            <w:tcW w:w="1121"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0.0046*</w:t>
            </w:r>
          </w:p>
        </w:tc>
        <w:tc>
          <w:tcPr>
            <w:tcW w:w="1121"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-0.3594***</w:t>
            </w:r>
          </w:p>
        </w:tc>
      </w:tr>
      <w:tr>
        <w:tblPrEx>
          <w:tblCellMar>
            <w:top w:w="0" w:type="dxa"/>
            <w:left w:w="108" w:type="dxa"/>
            <w:bottom w:w="0" w:type="dxa"/>
            <w:right w:w="108" w:type="dxa"/>
          </w:tblCellMar>
        </w:tblPrEx>
        <w:tc>
          <w:tcPr>
            <w:tcW w:w="1636"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1121"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(0.0033)</w:t>
            </w:r>
          </w:p>
        </w:tc>
        <w:tc>
          <w:tcPr>
            <w:tcW w:w="1121"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(0.0024)</w:t>
            </w:r>
          </w:p>
        </w:tc>
        <w:tc>
          <w:tcPr>
            <w:tcW w:w="1121"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(0.0315)</w:t>
            </w:r>
          </w:p>
        </w:tc>
      </w:tr>
      <w:tr>
        <w:tblPrEx>
          <w:tblCellMar>
            <w:top w:w="0" w:type="dxa"/>
            <w:left w:w="108" w:type="dxa"/>
            <w:bottom w:w="0" w:type="dxa"/>
            <w:right w:w="108" w:type="dxa"/>
          </w:tblCellMar>
        </w:tblPrEx>
        <w:tc>
          <w:tcPr>
            <w:tcW w:w="1636"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家庭规模</w:t>
            </w:r>
          </w:p>
        </w:tc>
        <w:tc>
          <w:tcPr>
            <w:tcW w:w="1121"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-0.0023***</w:t>
            </w:r>
          </w:p>
        </w:tc>
        <w:tc>
          <w:tcPr>
            <w:tcW w:w="1121"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-0.0008**</w:t>
            </w:r>
          </w:p>
        </w:tc>
        <w:tc>
          <w:tcPr>
            <w:tcW w:w="1121"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-0.0067***</w:t>
            </w:r>
          </w:p>
        </w:tc>
      </w:tr>
      <w:tr>
        <w:tblPrEx>
          <w:tblCellMar>
            <w:top w:w="0" w:type="dxa"/>
            <w:left w:w="108" w:type="dxa"/>
            <w:bottom w:w="0" w:type="dxa"/>
            <w:right w:w="108" w:type="dxa"/>
          </w:tblCellMar>
        </w:tblPrEx>
        <w:tc>
          <w:tcPr>
            <w:tcW w:w="1636"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1121"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(0.0003)</w:t>
            </w:r>
          </w:p>
        </w:tc>
        <w:tc>
          <w:tcPr>
            <w:tcW w:w="1121"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(0.0004)</w:t>
            </w:r>
          </w:p>
        </w:tc>
        <w:tc>
          <w:tcPr>
            <w:tcW w:w="1121"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(0.0023)</w:t>
            </w:r>
          </w:p>
        </w:tc>
      </w:tr>
      <w:tr>
        <w:tblPrEx>
          <w:tblCellMar>
            <w:top w:w="0" w:type="dxa"/>
            <w:left w:w="108" w:type="dxa"/>
            <w:bottom w:w="0" w:type="dxa"/>
            <w:right w:w="108" w:type="dxa"/>
          </w:tblCellMar>
        </w:tblPrEx>
        <w:tc>
          <w:tcPr>
            <w:tcW w:w="1636"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出生年份固定效应</w:t>
            </w:r>
          </w:p>
        </w:tc>
        <w:tc>
          <w:tcPr>
            <w:tcW w:w="1121"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21"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21"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CellMar>
            <w:top w:w="0" w:type="dxa"/>
            <w:left w:w="108" w:type="dxa"/>
            <w:bottom w:w="0" w:type="dxa"/>
            <w:right w:w="108" w:type="dxa"/>
          </w:tblCellMar>
        </w:tblPrEx>
        <w:tc>
          <w:tcPr>
            <w:tcW w:w="1636"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区县固定效应</w:t>
            </w:r>
          </w:p>
        </w:tc>
        <w:tc>
          <w:tcPr>
            <w:tcW w:w="1121"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21"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21"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CellMar>
            <w:top w:w="0" w:type="dxa"/>
            <w:left w:w="108" w:type="dxa"/>
            <w:bottom w:w="0" w:type="dxa"/>
            <w:right w:w="108" w:type="dxa"/>
          </w:tblCellMar>
        </w:tblPrEx>
        <w:tc>
          <w:tcPr>
            <w:tcW w:w="1636" w:type="pct"/>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年份</w:t>
            </w:r>
            <w:r>
              <w:rPr>
                <w:rFonts w:ascii="Times New Roman" w:hAnsi="Times New Roman" w:eastAsia="仿宋" w:cs="Times New Roman"/>
                <w:kern w:val="0"/>
                <w:sz w:val="18"/>
                <w:szCs w:val="18"/>
              </w:rPr>
              <w:t>×</w:t>
            </w:r>
            <w:r>
              <w:rPr>
                <w:rFonts w:ascii="仿宋" w:hAnsi="仿宋" w:eastAsia="仿宋" w:cs="Times New Roman"/>
                <w:kern w:val="0"/>
                <w:sz w:val="18"/>
                <w:szCs w:val="18"/>
              </w:rPr>
              <w:t>市固定效应</w:t>
            </w:r>
          </w:p>
        </w:tc>
        <w:tc>
          <w:tcPr>
            <w:tcW w:w="1121" w:type="pct"/>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21" w:type="pct"/>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21" w:type="pct"/>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CellMar>
            <w:top w:w="0" w:type="dxa"/>
            <w:left w:w="108" w:type="dxa"/>
            <w:bottom w:w="0" w:type="dxa"/>
            <w:right w:w="108" w:type="dxa"/>
          </w:tblCellMar>
        </w:tblPrEx>
        <w:tc>
          <w:tcPr>
            <w:tcW w:w="1636"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观测值</w:t>
            </w:r>
          </w:p>
        </w:tc>
        <w:tc>
          <w:tcPr>
            <w:tcW w:w="1121"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918348</w:t>
            </w:r>
          </w:p>
        </w:tc>
        <w:tc>
          <w:tcPr>
            <w:tcW w:w="1121"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918348</w:t>
            </w:r>
          </w:p>
        </w:tc>
        <w:tc>
          <w:tcPr>
            <w:tcW w:w="1121"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918348</w:t>
            </w:r>
          </w:p>
        </w:tc>
      </w:tr>
      <w:tr>
        <w:tblPrEx>
          <w:tblCellMar>
            <w:top w:w="0" w:type="dxa"/>
            <w:left w:w="108" w:type="dxa"/>
            <w:bottom w:w="0" w:type="dxa"/>
            <w:right w:w="108" w:type="dxa"/>
          </w:tblCellMar>
        </w:tblPrEx>
        <w:tc>
          <w:tcPr>
            <w:tcW w:w="1636" w:type="pct"/>
            <w:tcBorders>
              <w:top w:val="nil"/>
              <w:left w:val="nil"/>
              <w:bottom w:val="single" w:color="auto" w:sz="12"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R</w:t>
            </w:r>
            <w:r>
              <w:rPr>
                <w:rFonts w:ascii="Times New Roman" w:hAnsi="Times New Roman" w:eastAsia="仿宋" w:cs="Times New Roman"/>
                <w:kern w:val="0"/>
                <w:sz w:val="18"/>
                <w:szCs w:val="18"/>
                <w:vertAlign w:val="superscript"/>
              </w:rPr>
              <w:t>2</w:t>
            </w:r>
          </w:p>
        </w:tc>
        <w:tc>
          <w:tcPr>
            <w:tcW w:w="1121" w:type="pct"/>
            <w:tcBorders>
              <w:top w:val="nil"/>
              <w:left w:val="nil"/>
              <w:bottom w:val="single" w:color="auto" w:sz="12"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0.404</w:t>
            </w:r>
          </w:p>
        </w:tc>
        <w:tc>
          <w:tcPr>
            <w:tcW w:w="1121" w:type="pct"/>
            <w:tcBorders>
              <w:top w:val="nil"/>
              <w:left w:val="nil"/>
              <w:bottom w:val="single" w:color="auto" w:sz="12"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0.346</w:t>
            </w:r>
          </w:p>
        </w:tc>
        <w:tc>
          <w:tcPr>
            <w:tcW w:w="1121" w:type="pct"/>
            <w:tcBorders>
              <w:top w:val="nil"/>
              <w:left w:val="nil"/>
              <w:bottom w:val="single" w:color="auto" w:sz="12"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0.461</w:t>
            </w:r>
          </w:p>
        </w:tc>
      </w:tr>
    </w:tbl>
    <w:p>
      <w:pPr>
        <w:ind w:firstLine="360" w:firstLineChars="200"/>
        <w:rPr>
          <w:rFonts w:ascii="Times New Roman" w:hAnsi="Times New Roman" w:eastAsia="仿宋" w:cs="Times New Roman"/>
          <w:kern w:val="0"/>
          <w:sz w:val="18"/>
          <w:szCs w:val="18"/>
        </w:rPr>
      </w:pPr>
      <w:r>
        <w:rPr>
          <w:rFonts w:ascii="仿宋" w:hAnsi="仿宋" w:eastAsia="仿宋" w:cs="Times New Roman"/>
          <w:kern w:val="0"/>
          <w:sz w:val="18"/>
          <w:szCs w:val="18"/>
        </w:rPr>
        <w:t>注：括号中的数值为在县级层面聚类的稳健标准误；</w:t>
      </w:r>
      <w:r>
        <w:rPr>
          <w:rFonts w:ascii="Times New Roman" w:hAnsi="Times New Roman" w:eastAsia="仿宋" w:cs="Times New Roman"/>
          <w:kern w:val="0"/>
          <w:sz w:val="18"/>
          <w:szCs w:val="18"/>
        </w:rPr>
        <w:t>***</w:t>
      </w:r>
      <w:r>
        <w:rPr>
          <w:rFonts w:ascii="仿宋" w:hAnsi="仿宋" w:eastAsia="仿宋" w:cs="Times New Roman"/>
          <w:kern w:val="0"/>
          <w:sz w:val="18"/>
          <w:szCs w:val="18"/>
        </w:rPr>
        <w:t>、</w:t>
      </w:r>
      <w:r>
        <w:rPr>
          <w:rFonts w:ascii="Times New Roman" w:hAnsi="Times New Roman" w:eastAsia="仿宋" w:cs="Times New Roman"/>
          <w:kern w:val="0"/>
          <w:sz w:val="18"/>
          <w:szCs w:val="18"/>
        </w:rPr>
        <w:t>**</w:t>
      </w:r>
      <w:r>
        <w:rPr>
          <w:rFonts w:ascii="仿宋" w:hAnsi="仿宋" w:eastAsia="仿宋" w:cs="Times New Roman"/>
          <w:kern w:val="0"/>
          <w:sz w:val="18"/>
          <w:szCs w:val="18"/>
        </w:rPr>
        <w:t>和</w:t>
      </w:r>
      <w:r>
        <w:rPr>
          <w:rFonts w:ascii="Times New Roman" w:hAnsi="Times New Roman" w:eastAsia="仿宋" w:cs="Times New Roman"/>
          <w:kern w:val="0"/>
          <w:sz w:val="18"/>
          <w:szCs w:val="18"/>
        </w:rPr>
        <w:t>*</w:t>
      </w:r>
      <w:r>
        <w:rPr>
          <w:rFonts w:ascii="仿宋" w:hAnsi="仿宋" w:eastAsia="仿宋" w:cs="Times New Roman"/>
          <w:kern w:val="0"/>
          <w:sz w:val="18"/>
          <w:szCs w:val="18"/>
        </w:rPr>
        <w:t>分别表示在</w:t>
      </w:r>
      <w:r>
        <w:rPr>
          <w:rFonts w:ascii="Times New Roman" w:hAnsi="Times New Roman" w:eastAsia="仿宋" w:cs="Times New Roman"/>
          <w:kern w:val="0"/>
          <w:sz w:val="18"/>
          <w:szCs w:val="18"/>
        </w:rPr>
        <w:t>1%</w:t>
      </w:r>
      <w:r>
        <w:rPr>
          <w:rFonts w:ascii="仿宋" w:hAnsi="仿宋" w:eastAsia="仿宋" w:cs="Times New Roman"/>
          <w:kern w:val="0"/>
          <w:sz w:val="18"/>
          <w:szCs w:val="18"/>
        </w:rPr>
        <w:t>、</w:t>
      </w:r>
      <w:r>
        <w:rPr>
          <w:rFonts w:ascii="Times New Roman" w:hAnsi="Times New Roman" w:eastAsia="仿宋" w:cs="Times New Roman"/>
          <w:kern w:val="0"/>
          <w:sz w:val="18"/>
          <w:szCs w:val="18"/>
        </w:rPr>
        <w:t>5%</w:t>
      </w:r>
      <w:r>
        <w:rPr>
          <w:rFonts w:ascii="仿宋" w:hAnsi="仿宋" w:eastAsia="仿宋" w:cs="Times New Roman"/>
          <w:kern w:val="0"/>
          <w:sz w:val="18"/>
          <w:szCs w:val="18"/>
        </w:rPr>
        <w:t>和</w:t>
      </w:r>
      <w:r>
        <w:rPr>
          <w:rFonts w:ascii="Times New Roman" w:hAnsi="Times New Roman" w:eastAsia="仿宋" w:cs="Times New Roman"/>
          <w:kern w:val="0"/>
          <w:sz w:val="18"/>
          <w:szCs w:val="18"/>
        </w:rPr>
        <w:t>10%</w:t>
      </w:r>
      <w:r>
        <w:rPr>
          <w:rFonts w:ascii="仿宋" w:hAnsi="仿宋" w:eastAsia="仿宋" w:cs="Times New Roman"/>
          <w:kern w:val="0"/>
          <w:sz w:val="18"/>
          <w:szCs w:val="18"/>
        </w:rPr>
        <w:t>置信度水平下显著。所有回归中均控制了个体的性别、民族、户口以及家庭规模。</w:t>
      </w:r>
    </w:p>
    <w:p>
      <w:pPr>
        <w:jc w:val="center"/>
        <w:rPr>
          <w:rFonts w:ascii="黑体" w:hAnsi="黑体" w:eastAsia="黑体" w:cs="Times New Roman"/>
          <w:bCs/>
          <w:sz w:val="18"/>
          <w:szCs w:val="18"/>
        </w:rPr>
      </w:pPr>
      <w:r>
        <w:rPr>
          <w:rFonts w:ascii="Times New Roman" w:hAnsi="Times New Roman" w:eastAsia="黑体" w:cs="Times New Roman"/>
          <w:sz w:val="18"/>
          <w:szCs w:val="18"/>
        </w:rPr>
        <w:t xml:space="preserve"> </w:t>
      </w:r>
    </w:p>
    <w:p>
      <w:pPr>
        <w:jc w:val="center"/>
        <w:rPr>
          <w:rFonts w:ascii="黑体" w:hAnsi="黑体" w:eastAsia="黑体" w:cs="Times New Roman"/>
          <w:bCs/>
          <w:sz w:val="18"/>
          <w:szCs w:val="18"/>
        </w:rPr>
      </w:pPr>
    </w:p>
    <w:p>
      <w:pPr>
        <w:jc w:val="center"/>
        <w:rPr>
          <w:rFonts w:ascii="黑体" w:hAnsi="黑体" w:eastAsia="黑体" w:cs="Times New Roman"/>
          <w:bCs/>
          <w:sz w:val="18"/>
          <w:szCs w:val="18"/>
        </w:rPr>
      </w:pPr>
    </w:p>
    <w:p>
      <w:pPr>
        <w:jc w:val="center"/>
        <w:rPr>
          <w:rFonts w:ascii="黑体" w:hAnsi="黑体" w:eastAsia="黑体" w:cs="Times New Roman"/>
          <w:bCs/>
          <w:sz w:val="18"/>
          <w:szCs w:val="18"/>
        </w:rPr>
      </w:pPr>
    </w:p>
    <w:p>
      <w:pPr>
        <w:jc w:val="center"/>
        <w:rPr>
          <w:rFonts w:ascii="黑体" w:hAnsi="黑体" w:eastAsia="黑体" w:cs="Times New Roman"/>
          <w:bCs/>
          <w:sz w:val="18"/>
          <w:szCs w:val="18"/>
        </w:rPr>
      </w:pPr>
    </w:p>
    <w:p>
      <w:pPr>
        <w:jc w:val="center"/>
        <w:rPr>
          <w:rFonts w:ascii="黑体" w:hAnsi="黑体" w:eastAsia="黑体" w:cs="Times New Roman"/>
          <w:bCs/>
          <w:sz w:val="18"/>
          <w:szCs w:val="18"/>
        </w:rPr>
      </w:pPr>
    </w:p>
    <w:p>
      <w:pPr>
        <w:jc w:val="center"/>
        <w:rPr>
          <w:rFonts w:ascii="黑体" w:hAnsi="黑体" w:eastAsia="黑体" w:cs="Times New Roman"/>
          <w:bCs/>
          <w:sz w:val="18"/>
          <w:szCs w:val="18"/>
        </w:rPr>
      </w:pPr>
    </w:p>
    <w:p>
      <w:pPr>
        <w:rPr>
          <w:rFonts w:hint="eastAsia" w:ascii="黑体" w:hAnsi="黑体" w:eastAsia="黑体" w:cs="Times New Roman"/>
          <w:bCs/>
          <w:sz w:val="18"/>
          <w:szCs w:val="18"/>
          <w:lang w:val="en-US" w:eastAsia="zh-CN"/>
        </w:rPr>
      </w:pPr>
      <w:r>
        <w:rPr>
          <w:rFonts w:hint="eastAsia" w:ascii="黑体" w:hAnsi="黑体" w:eastAsia="黑体" w:cs="Times New Roman"/>
          <w:bCs/>
          <w:sz w:val="18"/>
          <w:szCs w:val="18"/>
          <w:lang w:val="en-US" w:eastAsia="zh-CN"/>
        </w:rPr>
        <w:br w:type="page"/>
      </w:r>
    </w:p>
    <w:p>
      <w:pPr>
        <w:spacing w:line="380" w:lineRule="exact"/>
        <w:jc w:val="center"/>
        <w:rPr>
          <w:rFonts w:hint="eastAsia" w:ascii="宋体" w:hAnsi="宋体" w:eastAsia="宋体" w:cs="宋体"/>
          <w:b/>
          <w:bCs w:val="0"/>
          <w:sz w:val="20"/>
          <w:szCs w:val="20"/>
          <w:lang w:val="en-US" w:eastAsia="zh-CN"/>
        </w:rPr>
      </w:pPr>
      <w:r>
        <w:rPr>
          <w:rFonts w:hint="eastAsia" w:ascii="宋体" w:hAnsi="宋体" w:eastAsia="宋体" w:cs="宋体"/>
          <w:b/>
          <w:bCs w:val="0"/>
          <w:sz w:val="20"/>
          <w:szCs w:val="20"/>
          <w:lang w:val="en-US" w:eastAsia="zh-CN"/>
        </w:rPr>
        <w:t>表A4  排除人口迁移的影响（CFPS）</w:t>
      </w:r>
    </w:p>
    <w:tbl>
      <w:tblPr>
        <w:tblStyle w:val="12"/>
        <w:tblW w:w="5000"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03"/>
        <w:gridCol w:w="1140"/>
        <w:gridCol w:w="1139"/>
        <w:gridCol w:w="1137"/>
        <w:gridCol w:w="1135"/>
        <w:gridCol w:w="1135"/>
        <w:gridCol w:w="1133"/>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tcBorders>
              <w:top w:val="single" w:color="auto" w:sz="12" w:space="0"/>
              <w:left w:val="nil"/>
              <w:bottom w:val="nil"/>
              <w:right w:val="nil"/>
              <w:insideV w:val="nil"/>
              <w:tl2br w:val="nil"/>
              <w:tr2bl w:val="nil"/>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669" w:type="pct"/>
            <w:tcBorders>
              <w:top w:val="single" w:color="auto" w:sz="12" w:space="0"/>
              <w:left w:val="nil"/>
              <w:bottom w:val="nil"/>
              <w:right w:val="nil"/>
              <w:insideV w:val="nil"/>
              <w:tl2br w:val="nil"/>
              <w:tr2bl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1</w:t>
            </w:r>
            <w:r>
              <w:rPr>
                <w:rFonts w:ascii="仿宋" w:hAnsi="仿宋" w:eastAsia="仿宋" w:cs="Times New Roman"/>
                <w:kern w:val="0"/>
                <w:sz w:val="18"/>
                <w:szCs w:val="18"/>
              </w:rPr>
              <w:t>）</w:t>
            </w:r>
          </w:p>
        </w:tc>
        <w:tc>
          <w:tcPr>
            <w:tcW w:w="668" w:type="pct"/>
            <w:tcBorders>
              <w:top w:val="single" w:color="auto" w:sz="12" w:space="0"/>
              <w:left w:val="nil"/>
              <w:bottom w:val="nil"/>
              <w:right w:val="nil"/>
              <w:insideV w:val="nil"/>
              <w:tl2br w:val="nil"/>
              <w:tr2bl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2</w:t>
            </w:r>
            <w:r>
              <w:rPr>
                <w:rFonts w:ascii="仿宋" w:hAnsi="仿宋" w:eastAsia="仿宋" w:cs="Times New Roman"/>
                <w:kern w:val="0"/>
                <w:sz w:val="18"/>
                <w:szCs w:val="18"/>
              </w:rPr>
              <w:t>）</w:t>
            </w:r>
          </w:p>
        </w:tc>
        <w:tc>
          <w:tcPr>
            <w:tcW w:w="667" w:type="pct"/>
            <w:tcBorders>
              <w:top w:val="single" w:color="auto" w:sz="12" w:space="0"/>
              <w:left w:val="nil"/>
              <w:bottom w:val="nil"/>
              <w:right w:val="nil"/>
              <w:insideV w:val="nil"/>
              <w:tl2br w:val="nil"/>
              <w:tr2bl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3</w:t>
            </w:r>
            <w:r>
              <w:rPr>
                <w:rFonts w:ascii="仿宋" w:hAnsi="仿宋" w:eastAsia="仿宋" w:cs="Times New Roman"/>
                <w:kern w:val="0"/>
                <w:sz w:val="18"/>
                <w:szCs w:val="18"/>
              </w:rPr>
              <w:t>）</w:t>
            </w:r>
          </w:p>
        </w:tc>
        <w:tc>
          <w:tcPr>
            <w:tcW w:w="666" w:type="pct"/>
            <w:tcBorders>
              <w:top w:val="single" w:color="auto" w:sz="12" w:space="0"/>
              <w:left w:val="nil"/>
              <w:bottom w:val="nil"/>
              <w:right w:val="nil"/>
              <w:insideV w:val="nil"/>
              <w:tl2br w:val="nil"/>
              <w:tr2bl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4</w:t>
            </w:r>
            <w:r>
              <w:rPr>
                <w:rFonts w:ascii="仿宋" w:hAnsi="仿宋" w:eastAsia="仿宋" w:cs="Times New Roman"/>
                <w:kern w:val="0"/>
                <w:sz w:val="18"/>
                <w:szCs w:val="18"/>
              </w:rPr>
              <w:t>）</w:t>
            </w:r>
          </w:p>
        </w:tc>
        <w:tc>
          <w:tcPr>
            <w:tcW w:w="666" w:type="pct"/>
            <w:tcBorders>
              <w:top w:val="single" w:color="auto" w:sz="12" w:space="0"/>
              <w:left w:val="nil"/>
              <w:bottom w:val="nil"/>
              <w:right w:val="nil"/>
              <w:insideV w:val="nil"/>
              <w:tl2br w:val="nil"/>
              <w:tr2bl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5</w:t>
            </w:r>
            <w:r>
              <w:rPr>
                <w:rFonts w:ascii="仿宋" w:hAnsi="仿宋" w:eastAsia="仿宋" w:cs="Times New Roman"/>
                <w:kern w:val="0"/>
                <w:sz w:val="18"/>
                <w:szCs w:val="18"/>
              </w:rPr>
              <w:t>）</w:t>
            </w:r>
          </w:p>
        </w:tc>
        <w:tc>
          <w:tcPr>
            <w:tcW w:w="665" w:type="pct"/>
            <w:tcBorders>
              <w:top w:val="single" w:color="auto" w:sz="12" w:space="0"/>
              <w:left w:val="nil"/>
              <w:bottom w:val="nil"/>
              <w:right w:val="nil"/>
              <w:insideV w:val="nil"/>
              <w:tl2br w:val="nil"/>
              <w:tr2bl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6</w:t>
            </w:r>
            <w:r>
              <w:rPr>
                <w:rFonts w:ascii="仿宋" w:hAnsi="仿宋" w:eastAsia="仿宋" w:cs="Times New Roman"/>
                <w:kern w:val="0"/>
                <w:sz w:val="18"/>
                <w:szCs w:val="18"/>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2004" w:type="pct"/>
            <w:gridSpan w:val="3"/>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以</w:t>
            </w:r>
            <w:r>
              <w:rPr>
                <w:rFonts w:ascii="Times New Roman" w:hAnsi="Times New Roman" w:eastAsia="仿宋" w:cs="Times New Roman"/>
                <w:kern w:val="0"/>
                <w:sz w:val="18"/>
                <w:szCs w:val="18"/>
              </w:rPr>
              <w:t>12</w:t>
            </w:r>
            <w:r>
              <w:rPr>
                <w:rFonts w:ascii="仿宋" w:hAnsi="仿宋" w:eastAsia="仿宋" w:cs="Times New Roman"/>
                <w:kern w:val="0"/>
                <w:sz w:val="18"/>
                <w:szCs w:val="18"/>
              </w:rPr>
              <w:t>岁居住地作为实际接受教育</w:t>
            </w:r>
            <w:r>
              <w:rPr>
                <w:rFonts w:hint="eastAsia" w:ascii="仿宋" w:hAnsi="仿宋" w:eastAsia="仿宋" w:cs="Times New Roman"/>
                <w:kern w:val="0"/>
                <w:sz w:val="18"/>
                <w:szCs w:val="18"/>
              </w:rPr>
              <w:t>地</w:t>
            </w:r>
          </w:p>
        </w:tc>
        <w:tc>
          <w:tcPr>
            <w:tcW w:w="1997" w:type="pct"/>
            <w:gridSpan w:val="3"/>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保留</w:t>
            </w:r>
            <w:r>
              <w:rPr>
                <w:rFonts w:ascii="Times New Roman" w:hAnsi="Times New Roman" w:eastAsia="仿宋" w:cs="Times New Roman"/>
                <w:kern w:val="0"/>
                <w:sz w:val="18"/>
                <w:szCs w:val="18"/>
              </w:rPr>
              <w:t>12</w:t>
            </w:r>
            <w:r>
              <w:rPr>
                <w:rFonts w:ascii="仿宋" w:hAnsi="仿宋" w:eastAsia="仿宋" w:cs="Times New Roman"/>
                <w:kern w:val="0"/>
                <w:sz w:val="18"/>
                <w:szCs w:val="18"/>
              </w:rPr>
              <w:t>岁居住地与所在地相同的样本</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669" w:type="pct"/>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高中入学率</w:t>
            </w:r>
          </w:p>
        </w:tc>
        <w:tc>
          <w:tcPr>
            <w:tcW w:w="668" w:type="pct"/>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大学入学率</w:t>
            </w:r>
          </w:p>
        </w:tc>
        <w:tc>
          <w:tcPr>
            <w:tcW w:w="667" w:type="pct"/>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受教育年限</w:t>
            </w:r>
          </w:p>
        </w:tc>
        <w:tc>
          <w:tcPr>
            <w:tcW w:w="666" w:type="pct"/>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高中入学率</w:t>
            </w:r>
          </w:p>
        </w:tc>
        <w:tc>
          <w:tcPr>
            <w:tcW w:w="666" w:type="pct"/>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大学入学率</w:t>
            </w:r>
          </w:p>
        </w:tc>
        <w:tc>
          <w:tcPr>
            <w:tcW w:w="665" w:type="pct"/>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受教育年限</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999"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i/>
                <w:iCs/>
                <w:kern w:val="0"/>
                <w:sz w:val="18"/>
                <w:szCs w:val="18"/>
              </w:rPr>
            </w:pPr>
            <m:oMathPara>
              <m:oMath>
                <m:sSub>
                  <m:sSubPr>
                    <m:ctrlPr>
                      <w:rPr>
                        <w:rFonts w:ascii="Cambria Math" w:hAnsi="Cambria Math" w:eastAsia="仿宋" w:cs="Times New Roman"/>
                        <w:i/>
                        <w:iCs/>
                        <w:kern w:val="0"/>
                        <w:sz w:val="18"/>
                        <w:szCs w:val="18"/>
                      </w:rPr>
                    </m:ctrlPr>
                  </m:sSubPr>
                  <m:e>
                    <m:r>
                      <m:rPr/>
                      <w:rPr>
                        <w:rFonts w:ascii="Cambria Math" w:hAnsi="Cambria Math" w:eastAsia="仿宋" w:cs="Times New Roman"/>
                        <w:kern w:val="0"/>
                        <w:sz w:val="18"/>
                        <w:szCs w:val="18"/>
                      </w:rPr>
                      <m:t>Treat</m:t>
                    </m:r>
                    <m:ctrlPr>
                      <w:rPr>
                        <w:rFonts w:ascii="Cambria Math" w:hAnsi="Cambria Math" w:eastAsia="仿宋" w:cs="Times New Roman"/>
                        <w:i/>
                        <w:iCs/>
                        <w:kern w:val="0"/>
                        <w:sz w:val="18"/>
                        <w:szCs w:val="18"/>
                      </w:rPr>
                    </m:ctrlPr>
                  </m:e>
                  <m:sub>
                    <m:r>
                      <m:rPr/>
                      <w:rPr>
                        <w:rFonts w:ascii="Cambria Math" w:hAnsi="Cambria Math" w:eastAsia="仿宋" w:cs="Times New Roman"/>
                        <w:kern w:val="0"/>
                        <w:sz w:val="18"/>
                        <w:szCs w:val="18"/>
                      </w:rPr>
                      <m:t>c</m:t>
                    </m:r>
                    <m:ctrlPr>
                      <w:rPr>
                        <w:rFonts w:ascii="Cambria Math" w:hAnsi="Cambria Math" w:eastAsia="仿宋" w:cs="Times New Roman"/>
                        <w:i/>
                        <w:iCs/>
                        <w:kern w:val="0"/>
                        <w:sz w:val="18"/>
                        <w:szCs w:val="18"/>
                      </w:rPr>
                    </m:ctrlPr>
                  </m:sub>
                </m:sSub>
                <m:r>
                  <m:rPr/>
                  <w:rPr>
                    <w:rFonts w:ascii="Cambria Math" w:hAnsi="Cambria Math" w:eastAsia="仿宋" w:cs="Times New Roman"/>
                    <w:kern w:val="0"/>
                    <w:sz w:val="18"/>
                    <w:szCs w:val="18"/>
                  </w:rPr>
                  <m:t>×</m:t>
                </m:r>
                <m:sSub>
                  <m:sSubPr>
                    <m:ctrlPr>
                      <w:rPr>
                        <w:rFonts w:ascii="Cambria Math" w:hAnsi="Cambria Math" w:eastAsia="仿宋" w:cs="Times New Roman"/>
                        <w:i/>
                        <w:iCs/>
                        <w:kern w:val="0"/>
                        <w:sz w:val="18"/>
                        <w:szCs w:val="18"/>
                      </w:rPr>
                    </m:ctrlPr>
                  </m:sSubPr>
                  <m:e>
                    <m:r>
                      <m:rPr/>
                      <w:rPr>
                        <w:rFonts w:ascii="Cambria Math" w:hAnsi="Cambria Math" w:eastAsia="仿宋" w:cs="Times New Roman"/>
                        <w:kern w:val="0"/>
                        <w:sz w:val="18"/>
                        <w:szCs w:val="18"/>
                      </w:rPr>
                      <m:t>Post</m:t>
                    </m:r>
                    <m:ctrlPr>
                      <w:rPr>
                        <w:rFonts w:ascii="Cambria Math" w:hAnsi="Cambria Math" w:eastAsia="仿宋" w:cs="Times New Roman"/>
                        <w:i/>
                        <w:iCs/>
                        <w:kern w:val="0"/>
                        <w:sz w:val="18"/>
                        <w:szCs w:val="18"/>
                      </w:rPr>
                    </m:ctrlPr>
                  </m:e>
                  <m:sub>
                    <m:r>
                      <m:rPr/>
                      <w:rPr>
                        <w:rFonts w:ascii="Cambria Math" w:hAnsi="Cambria Math" w:eastAsia="仿宋" w:cs="Times New Roman"/>
                        <w:kern w:val="0"/>
                        <w:sz w:val="18"/>
                        <w:szCs w:val="18"/>
                      </w:rPr>
                      <m:t>t</m:t>
                    </m:r>
                    <m:ctrlPr>
                      <w:rPr>
                        <w:rFonts w:ascii="Cambria Math" w:hAnsi="Cambria Math" w:eastAsia="仿宋" w:cs="Times New Roman"/>
                        <w:i/>
                        <w:iCs/>
                        <w:kern w:val="0"/>
                        <w:sz w:val="18"/>
                        <w:szCs w:val="18"/>
                      </w:rPr>
                    </m:ctrlPr>
                  </m:sub>
                </m:sSub>
              </m:oMath>
            </m:oMathPara>
          </w:p>
        </w:tc>
        <w:tc>
          <w:tcPr>
            <w:tcW w:w="669"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0.1704***</w:t>
            </w:r>
          </w:p>
        </w:tc>
        <w:tc>
          <w:tcPr>
            <w:tcW w:w="668"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0.1099**</w:t>
            </w:r>
          </w:p>
        </w:tc>
        <w:tc>
          <w:tcPr>
            <w:tcW w:w="667"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0.6788***</w:t>
            </w:r>
          </w:p>
        </w:tc>
        <w:tc>
          <w:tcPr>
            <w:tcW w:w="666"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0.1416***</w:t>
            </w:r>
          </w:p>
        </w:tc>
        <w:tc>
          <w:tcPr>
            <w:tcW w:w="666" w:type="pct"/>
            <w:tcBorders>
              <w:top w:val="single" w:color="auto" w:sz="4" w:space="0"/>
              <w:left w:val="nil"/>
              <w:bottom w:val="nil"/>
              <w:right w:val="nil"/>
            </w:tcBorders>
            <w:vAlign w:val="center"/>
          </w:tcPr>
          <w:p>
            <w:pPr>
              <w:autoSpaceDE w:val="0"/>
              <w:autoSpaceDN w:val="0"/>
              <w:adjustRightInd w:val="0"/>
              <w:jc w:val="center"/>
              <w:rPr>
                <w:rFonts w:hint="eastAsia" w:ascii="Times New Roman" w:hAnsi="Times New Roman" w:eastAsia="仿宋" w:cs="Times New Roman"/>
                <w:kern w:val="0"/>
                <w:sz w:val="18"/>
                <w:szCs w:val="18"/>
              </w:rPr>
            </w:pPr>
            <w:r>
              <w:rPr>
                <w:rFonts w:hint="eastAsia" w:ascii="Times New Roman" w:hAnsi="Times New Roman" w:eastAsia="仿宋" w:cs="Times New Roman"/>
                <w:kern w:val="0"/>
                <w:sz w:val="18"/>
                <w:szCs w:val="18"/>
              </w:rPr>
              <w:t>0.0886**</w:t>
            </w:r>
          </w:p>
        </w:tc>
        <w:tc>
          <w:tcPr>
            <w:tcW w:w="665" w:type="pct"/>
            <w:tcBorders>
              <w:top w:val="single" w:color="auto" w:sz="4" w:space="0"/>
              <w:left w:val="nil"/>
              <w:bottom w:val="nil"/>
              <w:right w:val="nil"/>
            </w:tcBorders>
            <w:vAlign w:val="center"/>
          </w:tcPr>
          <w:p>
            <w:pPr>
              <w:autoSpaceDE w:val="0"/>
              <w:autoSpaceDN w:val="0"/>
              <w:adjustRightInd w:val="0"/>
              <w:jc w:val="center"/>
              <w:rPr>
                <w:rFonts w:hint="eastAsia" w:ascii="Times New Roman" w:hAnsi="Times New Roman" w:eastAsia="仿宋" w:cs="Times New Roman"/>
                <w:kern w:val="0"/>
                <w:sz w:val="18"/>
                <w:szCs w:val="18"/>
              </w:rPr>
            </w:pPr>
            <w:r>
              <w:rPr>
                <w:rFonts w:hint="eastAsia" w:ascii="Times New Roman" w:hAnsi="Times New Roman" w:eastAsia="仿宋" w:cs="Times New Roman"/>
                <w:kern w:val="0"/>
                <w:sz w:val="18"/>
                <w:szCs w:val="18"/>
              </w:rPr>
              <w:t>0.5724***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tcBorders>
              <w:top w:val="nil"/>
              <w:left w:val="nil"/>
              <w:bottom w:val="nil"/>
              <w:right w:val="nil"/>
            </w:tcBorders>
            <w:vAlign w:val="center"/>
          </w:tcPr>
          <w:p>
            <w:pPr>
              <w:autoSpaceDE w:val="0"/>
              <w:autoSpaceDN w:val="0"/>
              <w:adjustRightInd w:val="0"/>
              <w:jc w:val="center"/>
              <w:rPr>
                <w:rFonts w:hint="eastAsia" w:ascii="Times New Roman" w:hAnsi="Times New Roman" w:eastAsia="仿宋" w:cs="Times New Roman"/>
                <w:kern w:val="0"/>
                <w:sz w:val="18"/>
                <w:szCs w:val="18"/>
              </w:rPr>
            </w:pPr>
          </w:p>
        </w:tc>
        <w:tc>
          <w:tcPr>
            <w:tcW w:w="669"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(0.0416)</w:t>
            </w:r>
          </w:p>
        </w:tc>
        <w:tc>
          <w:tcPr>
            <w:tcW w:w="668"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(0.0462)</w:t>
            </w:r>
          </w:p>
        </w:tc>
        <w:tc>
          <w:tcPr>
            <w:tcW w:w="667"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(0.2427)</w:t>
            </w:r>
          </w:p>
        </w:tc>
        <w:tc>
          <w:tcPr>
            <w:tcW w:w="666"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(0.0380)</w:t>
            </w:r>
          </w:p>
        </w:tc>
        <w:tc>
          <w:tcPr>
            <w:tcW w:w="666" w:type="pct"/>
            <w:tcBorders>
              <w:top w:val="nil"/>
              <w:left w:val="nil"/>
              <w:bottom w:val="nil"/>
              <w:right w:val="nil"/>
            </w:tcBorders>
            <w:vAlign w:val="center"/>
          </w:tcPr>
          <w:p>
            <w:pPr>
              <w:autoSpaceDE w:val="0"/>
              <w:autoSpaceDN w:val="0"/>
              <w:adjustRightInd w:val="0"/>
              <w:jc w:val="center"/>
              <w:rPr>
                <w:rFonts w:hint="eastAsia" w:ascii="Times New Roman" w:hAnsi="Times New Roman" w:eastAsia="仿宋" w:cs="Times New Roman"/>
                <w:kern w:val="0"/>
                <w:sz w:val="18"/>
                <w:szCs w:val="18"/>
              </w:rPr>
            </w:pPr>
            <w:r>
              <w:rPr>
                <w:rFonts w:hint="eastAsia" w:ascii="Times New Roman" w:hAnsi="Times New Roman" w:eastAsia="仿宋" w:cs="Times New Roman"/>
                <w:kern w:val="0"/>
                <w:sz w:val="18"/>
                <w:szCs w:val="18"/>
              </w:rPr>
              <w:t>(0.0404)</w:t>
            </w:r>
          </w:p>
        </w:tc>
        <w:tc>
          <w:tcPr>
            <w:tcW w:w="665" w:type="pct"/>
            <w:tcBorders>
              <w:top w:val="nil"/>
              <w:left w:val="nil"/>
              <w:bottom w:val="nil"/>
              <w:right w:val="nil"/>
            </w:tcBorders>
            <w:vAlign w:val="center"/>
          </w:tcPr>
          <w:p>
            <w:pPr>
              <w:autoSpaceDE w:val="0"/>
              <w:autoSpaceDN w:val="0"/>
              <w:adjustRightInd w:val="0"/>
              <w:jc w:val="center"/>
              <w:rPr>
                <w:rFonts w:hint="eastAsia" w:ascii="Times New Roman" w:hAnsi="Times New Roman" w:eastAsia="仿宋" w:cs="Times New Roman"/>
                <w:kern w:val="0"/>
                <w:sz w:val="18"/>
                <w:szCs w:val="18"/>
              </w:rPr>
            </w:pPr>
            <w:r>
              <w:rPr>
                <w:rFonts w:hint="eastAsia" w:ascii="Times New Roman" w:hAnsi="Times New Roman" w:eastAsia="仿宋" w:cs="Times New Roman"/>
                <w:kern w:val="0"/>
                <w:sz w:val="18"/>
                <w:szCs w:val="18"/>
              </w:rPr>
              <w:t>(0.2040)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tcBorders>
              <w:top w:val="nil"/>
              <w:left w:val="nil"/>
              <w:bottom w:val="nil"/>
              <w:right w:val="nil"/>
            </w:tcBorders>
            <w:vAlign w:val="center"/>
          </w:tcPr>
          <w:p>
            <w:pPr>
              <w:autoSpaceDE w:val="0"/>
              <w:autoSpaceDN w:val="0"/>
              <w:adjustRightInd w:val="0"/>
              <w:jc w:val="center"/>
              <w:rPr>
                <w:rFonts w:hint="eastAsia" w:ascii="Times New Roman" w:hAnsi="Times New Roman" w:eastAsia="仿宋" w:cs="Times New Roman"/>
                <w:kern w:val="0"/>
                <w:sz w:val="18"/>
                <w:szCs w:val="18"/>
              </w:rPr>
            </w:pPr>
            <w:r>
              <w:rPr>
                <w:rFonts w:ascii="仿宋" w:hAnsi="仿宋" w:eastAsia="仿宋" w:cs="Times New Roman"/>
                <w:kern w:val="0"/>
                <w:sz w:val="18"/>
                <w:szCs w:val="18"/>
              </w:rPr>
              <w:t>控制变量</w:t>
            </w:r>
          </w:p>
        </w:tc>
        <w:tc>
          <w:tcPr>
            <w:tcW w:w="669"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68"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67"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66"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66"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6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出生年份固定效应</w:t>
            </w:r>
          </w:p>
        </w:tc>
        <w:tc>
          <w:tcPr>
            <w:tcW w:w="669"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68"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67"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66"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66"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6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区县固定效应</w:t>
            </w:r>
          </w:p>
        </w:tc>
        <w:tc>
          <w:tcPr>
            <w:tcW w:w="669"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68"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67"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66"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66"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6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年份</w:t>
            </w:r>
            <w:r>
              <w:rPr>
                <w:rFonts w:ascii="Times New Roman" w:hAnsi="Times New Roman" w:eastAsia="仿宋" w:cs="Times New Roman"/>
                <w:kern w:val="0"/>
                <w:sz w:val="18"/>
                <w:szCs w:val="18"/>
              </w:rPr>
              <w:t>×</w:t>
            </w:r>
            <w:r>
              <w:rPr>
                <w:rFonts w:ascii="仿宋" w:hAnsi="仿宋" w:eastAsia="仿宋" w:cs="Times New Roman"/>
                <w:kern w:val="0"/>
                <w:sz w:val="18"/>
                <w:szCs w:val="18"/>
              </w:rPr>
              <w:t>市固定效应</w:t>
            </w:r>
          </w:p>
        </w:tc>
        <w:tc>
          <w:tcPr>
            <w:tcW w:w="669" w:type="pct"/>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68" w:type="pct"/>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67" w:type="pct"/>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66" w:type="pct"/>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66" w:type="pct"/>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65" w:type="pct"/>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观测值</w:t>
            </w:r>
          </w:p>
        </w:tc>
        <w:tc>
          <w:tcPr>
            <w:tcW w:w="669"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41449</w:t>
            </w:r>
          </w:p>
        </w:tc>
        <w:tc>
          <w:tcPr>
            <w:tcW w:w="668"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41449</w:t>
            </w:r>
          </w:p>
        </w:tc>
        <w:tc>
          <w:tcPr>
            <w:tcW w:w="667"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41449</w:t>
            </w:r>
          </w:p>
        </w:tc>
        <w:tc>
          <w:tcPr>
            <w:tcW w:w="666"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39134</w:t>
            </w:r>
          </w:p>
        </w:tc>
        <w:tc>
          <w:tcPr>
            <w:tcW w:w="666" w:type="pct"/>
            <w:tcBorders>
              <w:top w:val="single" w:color="auto" w:sz="4" w:space="0"/>
              <w:left w:val="nil"/>
              <w:bottom w:val="nil"/>
              <w:right w:val="nil"/>
            </w:tcBorders>
            <w:vAlign w:val="center"/>
          </w:tcPr>
          <w:p>
            <w:pPr>
              <w:autoSpaceDE w:val="0"/>
              <w:autoSpaceDN w:val="0"/>
              <w:adjustRightInd w:val="0"/>
              <w:jc w:val="center"/>
              <w:rPr>
                <w:rFonts w:hint="eastAsia" w:ascii="Times New Roman" w:hAnsi="Times New Roman" w:eastAsia="仿宋" w:cs="Times New Roman"/>
                <w:kern w:val="0"/>
                <w:sz w:val="18"/>
                <w:szCs w:val="18"/>
              </w:rPr>
            </w:pPr>
            <w:r>
              <w:rPr>
                <w:rFonts w:hint="eastAsia" w:ascii="Times New Roman" w:hAnsi="Times New Roman" w:eastAsia="仿宋" w:cs="Times New Roman"/>
                <w:kern w:val="0"/>
                <w:sz w:val="18"/>
                <w:szCs w:val="18"/>
              </w:rPr>
              <w:t>39134</w:t>
            </w:r>
          </w:p>
        </w:tc>
        <w:tc>
          <w:tcPr>
            <w:tcW w:w="665" w:type="pct"/>
            <w:tcBorders>
              <w:top w:val="single" w:color="auto" w:sz="4" w:space="0"/>
              <w:left w:val="nil"/>
              <w:bottom w:val="nil"/>
              <w:right w:val="nil"/>
            </w:tcBorders>
            <w:vAlign w:val="center"/>
          </w:tcPr>
          <w:p>
            <w:pPr>
              <w:autoSpaceDE w:val="0"/>
              <w:autoSpaceDN w:val="0"/>
              <w:adjustRightInd w:val="0"/>
              <w:jc w:val="center"/>
              <w:rPr>
                <w:rFonts w:hint="eastAsia" w:ascii="Times New Roman" w:hAnsi="Times New Roman" w:eastAsia="仿宋" w:cs="Times New Roman"/>
                <w:kern w:val="0"/>
                <w:sz w:val="18"/>
                <w:szCs w:val="18"/>
              </w:rPr>
            </w:pPr>
            <w:r>
              <w:rPr>
                <w:rFonts w:hint="eastAsia" w:ascii="Times New Roman" w:hAnsi="Times New Roman" w:eastAsia="仿宋" w:cs="Times New Roman"/>
                <w:kern w:val="0"/>
                <w:sz w:val="18"/>
                <w:szCs w:val="18"/>
              </w:rPr>
              <w:t>39134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tcBorders>
              <w:top w:val="nil"/>
              <w:left w:val="nil"/>
              <w:bottom w:val="single" w:color="auto" w:sz="12" w:space="0"/>
              <w:right w:val="nil"/>
            </w:tcBorders>
            <w:vAlign w:val="center"/>
          </w:tcPr>
          <w:p>
            <w:pPr>
              <w:autoSpaceDE w:val="0"/>
              <w:autoSpaceDN w:val="0"/>
              <w:adjustRightInd w:val="0"/>
              <w:jc w:val="center"/>
              <w:rPr>
                <w:rFonts w:hint="eastAsia" w:ascii="Times New Roman" w:hAnsi="Times New Roman" w:eastAsia="仿宋" w:cs="Times New Roman"/>
                <w:kern w:val="0"/>
                <w:sz w:val="18"/>
                <w:szCs w:val="18"/>
              </w:rPr>
            </w:pPr>
            <w:r>
              <w:rPr>
                <w:rFonts w:ascii="Times New Roman" w:hAnsi="Times New Roman" w:eastAsia="仿宋" w:cs="Times New Roman"/>
                <w:kern w:val="0"/>
                <w:sz w:val="18"/>
                <w:szCs w:val="18"/>
              </w:rPr>
              <w:t>R</w:t>
            </w:r>
            <w:r>
              <w:rPr>
                <w:rFonts w:ascii="Times New Roman" w:hAnsi="Times New Roman" w:eastAsia="仿宋" w:cs="Times New Roman"/>
                <w:kern w:val="0"/>
                <w:sz w:val="18"/>
                <w:szCs w:val="18"/>
                <w:vertAlign w:val="superscript"/>
              </w:rPr>
              <w:t>2</w:t>
            </w:r>
          </w:p>
        </w:tc>
        <w:tc>
          <w:tcPr>
            <w:tcW w:w="669" w:type="pct"/>
            <w:tcBorders>
              <w:top w:val="nil"/>
              <w:left w:val="nil"/>
              <w:bottom w:val="single" w:color="auto" w:sz="12"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0.457</w:t>
            </w:r>
          </w:p>
        </w:tc>
        <w:tc>
          <w:tcPr>
            <w:tcW w:w="668" w:type="pct"/>
            <w:tcBorders>
              <w:top w:val="nil"/>
              <w:left w:val="nil"/>
              <w:bottom w:val="single" w:color="auto" w:sz="12"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0.373</w:t>
            </w:r>
          </w:p>
        </w:tc>
        <w:tc>
          <w:tcPr>
            <w:tcW w:w="667" w:type="pct"/>
            <w:tcBorders>
              <w:top w:val="nil"/>
              <w:left w:val="nil"/>
              <w:bottom w:val="single" w:color="auto" w:sz="12"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0.479</w:t>
            </w:r>
          </w:p>
        </w:tc>
        <w:tc>
          <w:tcPr>
            <w:tcW w:w="666" w:type="pct"/>
            <w:tcBorders>
              <w:top w:val="nil"/>
              <w:left w:val="nil"/>
              <w:bottom w:val="single" w:color="auto" w:sz="12"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0.455</w:t>
            </w:r>
          </w:p>
        </w:tc>
        <w:tc>
          <w:tcPr>
            <w:tcW w:w="666" w:type="pct"/>
            <w:tcBorders>
              <w:top w:val="nil"/>
              <w:left w:val="nil"/>
              <w:bottom w:val="single" w:color="auto" w:sz="12" w:space="0"/>
              <w:right w:val="nil"/>
            </w:tcBorders>
            <w:vAlign w:val="center"/>
          </w:tcPr>
          <w:p>
            <w:pPr>
              <w:autoSpaceDE w:val="0"/>
              <w:autoSpaceDN w:val="0"/>
              <w:adjustRightInd w:val="0"/>
              <w:jc w:val="center"/>
              <w:rPr>
                <w:rFonts w:hint="eastAsia" w:ascii="Times New Roman" w:hAnsi="Times New Roman" w:eastAsia="仿宋" w:cs="Times New Roman"/>
                <w:kern w:val="0"/>
                <w:sz w:val="18"/>
                <w:szCs w:val="18"/>
              </w:rPr>
            </w:pPr>
            <w:r>
              <w:rPr>
                <w:rFonts w:hint="eastAsia" w:ascii="Times New Roman" w:hAnsi="Times New Roman" w:eastAsia="仿宋" w:cs="Times New Roman"/>
                <w:kern w:val="0"/>
                <w:sz w:val="18"/>
                <w:szCs w:val="18"/>
              </w:rPr>
              <w:t>0.373</w:t>
            </w:r>
          </w:p>
        </w:tc>
        <w:tc>
          <w:tcPr>
            <w:tcW w:w="665" w:type="pct"/>
            <w:tcBorders>
              <w:top w:val="nil"/>
              <w:left w:val="nil"/>
              <w:bottom w:val="single" w:color="auto" w:sz="12" w:space="0"/>
              <w:right w:val="nil"/>
            </w:tcBorders>
            <w:vAlign w:val="center"/>
          </w:tcPr>
          <w:p>
            <w:pPr>
              <w:autoSpaceDE w:val="0"/>
              <w:autoSpaceDN w:val="0"/>
              <w:adjustRightInd w:val="0"/>
              <w:jc w:val="center"/>
              <w:rPr>
                <w:rFonts w:hint="eastAsia" w:ascii="Times New Roman" w:hAnsi="Times New Roman" w:eastAsia="仿宋" w:cs="Times New Roman"/>
                <w:kern w:val="0"/>
                <w:sz w:val="18"/>
                <w:szCs w:val="18"/>
              </w:rPr>
            </w:pPr>
            <w:r>
              <w:rPr>
                <w:rFonts w:hint="eastAsia" w:ascii="Times New Roman" w:hAnsi="Times New Roman" w:eastAsia="仿宋" w:cs="Times New Roman"/>
                <w:kern w:val="0"/>
                <w:sz w:val="18"/>
                <w:szCs w:val="18"/>
              </w:rPr>
              <w:t>0.476</w:t>
            </w:r>
          </w:p>
        </w:tc>
      </w:tr>
    </w:tbl>
    <w:p>
      <w:pPr>
        <w:ind w:firstLine="360" w:firstLineChars="200"/>
        <w:rPr>
          <w:rFonts w:hint="eastAsia" w:ascii="Times New Roman" w:hAnsi="Times New Roman" w:eastAsia="仿宋" w:cs="Times New Roman"/>
          <w:kern w:val="0"/>
          <w:sz w:val="18"/>
          <w:szCs w:val="18"/>
        </w:rPr>
      </w:pPr>
      <w:r>
        <w:rPr>
          <w:rFonts w:ascii="仿宋" w:hAnsi="仿宋" w:eastAsia="仿宋" w:cs="Times New Roman"/>
          <w:kern w:val="0"/>
          <w:sz w:val="18"/>
          <w:szCs w:val="18"/>
        </w:rPr>
        <w:t>注：括号中的数值为在县级层面聚类的稳健标准误；</w:t>
      </w:r>
      <w:r>
        <w:rPr>
          <w:rFonts w:ascii="Times New Roman" w:hAnsi="Times New Roman" w:eastAsia="仿宋" w:cs="Times New Roman"/>
          <w:kern w:val="0"/>
          <w:sz w:val="18"/>
          <w:szCs w:val="18"/>
        </w:rPr>
        <w:t>***</w:t>
      </w:r>
      <w:r>
        <w:rPr>
          <w:rFonts w:ascii="仿宋" w:hAnsi="仿宋" w:eastAsia="仿宋" w:cs="Times New Roman"/>
          <w:kern w:val="0"/>
          <w:sz w:val="18"/>
          <w:szCs w:val="18"/>
        </w:rPr>
        <w:t>、</w:t>
      </w:r>
      <w:r>
        <w:rPr>
          <w:rFonts w:ascii="Times New Roman" w:hAnsi="Times New Roman" w:eastAsia="仿宋" w:cs="Times New Roman"/>
          <w:kern w:val="0"/>
          <w:sz w:val="18"/>
          <w:szCs w:val="18"/>
        </w:rPr>
        <w:t>**</w:t>
      </w:r>
      <w:r>
        <w:rPr>
          <w:rFonts w:ascii="仿宋" w:hAnsi="仿宋" w:eastAsia="仿宋" w:cs="Times New Roman"/>
          <w:kern w:val="0"/>
          <w:sz w:val="18"/>
          <w:szCs w:val="18"/>
        </w:rPr>
        <w:t>和</w:t>
      </w:r>
      <w:r>
        <w:rPr>
          <w:rFonts w:ascii="Times New Roman" w:hAnsi="Times New Roman" w:eastAsia="仿宋" w:cs="Times New Roman"/>
          <w:kern w:val="0"/>
          <w:sz w:val="18"/>
          <w:szCs w:val="18"/>
        </w:rPr>
        <w:t>*</w:t>
      </w:r>
      <w:r>
        <w:rPr>
          <w:rFonts w:ascii="仿宋" w:hAnsi="仿宋" w:eastAsia="仿宋" w:cs="Times New Roman"/>
          <w:kern w:val="0"/>
          <w:sz w:val="18"/>
          <w:szCs w:val="18"/>
        </w:rPr>
        <w:t>分别表示在</w:t>
      </w:r>
      <w:r>
        <w:rPr>
          <w:rFonts w:ascii="Times New Roman" w:hAnsi="Times New Roman" w:eastAsia="仿宋" w:cs="Times New Roman"/>
          <w:kern w:val="0"/>
          <w:sz w:val="18"/>
          <w:szCs w:val="18"/>
        </w:rPr>
        <w:t>1%</w:t>
      </w:r>
      <w:r>
        <w:rPr>
          <w:rFonts w:ascii="仿宋" w:hAnsi="仿宋" w:eastAsia="仿宋" w:cs="Times New Roman"/>
          <w:kern w:val="0"/>
          <w:sz w:val="18"/>
          <w:szCs w:val="18"/>
        </w:rPr>
        <w:t>、</w:t>
      </w:r>
      <w:r>
        <w:rPr>
          <w:rFonts w:ascii="Times New Roman" w:hAnsi="Times New Roman" w:eastAsia="仿宋" w:cs="Times New Roman"/>
          <w:kern w:val="0"/>
          <w:sz w:val="18"/>
          <w:szCs w:val="18"/>
        </w:rPr>
        <w:t>5%</w:t>
      </w:r>
      <w:r>
        <w:rPr>
          <w:rFonts w:ascii="仿宋" w:hAnsi="仿宋" w:eastAsia="仿宋" w:cs="Times New Roman"/>
          <w:kern w:val="0"/>
          <w:sz w:val="18"/>
          <w:szCs w:val="18"/>
        </w:rPr>
        <w:t>和</w:t>
      </w:r>
      <w:r>
        <w:rPr>
          <w:rFonts w:ascii="Times New Roman" w:hAnsi="Times New Roman" w:eastAsia="仿宋" w:cs="Times New Roman"/>
          <w:kern w:val="0"/>
          <w:sz w:val="18"/>
          <w:szCs w:val="18"/>
        </w:rPr>
        <w:t>10%</w:t>
      </w:r>
      <w:r>
        <w:rPr>
          <w:rFonts w:ascii="仿宋" w:hAnsi="仿宋" w:eastAsia="仿宋" w:cs="Times New Roman"/>
          <w:kern w:val="0"/>
          <w:sz w:val="18"/>
          <w:szCs w:val="18"/>
        </w:rPr>
        <w:t>置信度水平下显著。控制变量包括个体的性别、民族、户口以及家庭规模</w:t>
      </w:r>
      <w:r>
        <w:rPr>
          <w:rFonts w:hint="eastAsia" w:ascii="仿宋" w:hAnsi="仿宋" w:eastAsia="仿宋" w:cs="Times New Roman"/>
          <w:kern w:val="0"/>
          <w:sz w:val="18"/>
          <w:szCs w:val="18"/>
        </w:rPr>
        <w:t>、父母受教育水平</w:t>
      </w:r>
      <w:r>
        <w:rPr>
          <w:rFonts w:ascii="仿宋" w:hAnsi="仿宋" w:eastAsia="仿宋" w:cs="Times New Roman"/>
          <w:kern w:val="0"/>
          <w:sz w:val="18"/>
          <w:szCs w:val="18"/>
        </w:rPr>
        <w:t>。</w:t>
      </w:r>
    </w:p>
    <w:p>
      <w:pPr>
        <w:jc w:val="center"/>
        <w:rPr>
          <w:rFonts w:ascii="Times New Roman" w:hAnsi="Times New Roman" w:eastAsia="黑体" w:cs="Times New Roman"/>
          <w:sz w:val="18"/>
          <w:szCs w:val="18"/>
        </w:rPr>
      </w:pPr>
      <w:r>
        <w:rPr>
          <w:rFonts w:ascii="Times New Roman" w:hAnsi="Times New Roman" w:eastAsia="黑体" w:cs="Times New Roman"/>
          <w:sz w:val="18"/>
          <w:szCs w:val="18"/>
        </w:rPr>
        <w:t xml:space="preserve"> </w:t>
      </w:r>
    </w:p>
    <w:p>
      <w:pPr>
        <w:jc w:val="center"/>
        <w:rPr>
          <w:rFonts w:ascii="Times New Roman" w:hAnsi="Times New Roman" w:eastAsia="黑体" w:cs="Times New Roman"/>
          <w:sz w:val="18"/>
          <w:szCs w:val="18"/>
        </w:rPr>
      </w:pPr>
      <w:r>
        <w:rPr>
          <w:rFonts w:ascii="Times New Roman" w:hAnsi="Times New Roman" w:eastAsia="黑体" w:cs="Times New Roman"/>
          <w:sz w:val="18"/>
          <w:szCs w:val="18"/>
        </w:rPr>
        <w:t xml:space="preserve"> </w:t>
      </w:r>
    </w:p>
    <w:p>
      <w:pPr>
        <w:jc w:val="center"/>
        <w:rPr>
          <w:rFonts w:ascii="Times New Roman" w:hAnsi="Times New Roman" w:eastAsia="黑体" w:cs="Times New Roman"/>
          <w:sz w:val="18"/>
          <w:szCs w:val="18"/>
        </w:rPr>
      </w:pPr>
      <w:r>
        <w:rPr>
          <w:rFonts w:ascii="Times New Roman" w:hAnsi="Times New Roman" w:eastAsia="黑体" w:cs="Times New Roman"/>
          <w:sz w:val="18"/>
          <w:szCs w:val="18"/>
        </w:rPr>
        <w:t xml:space="preserve"> </w:t>
      </w:r>
    </w:p>
    <w:p>
      <w:pPr>
        <w:rPr>
          <w:rFonts w:hint="eastAsia" w:ascii="黑体" w:hAnsi="黑体" w:eastAsia="黑体" w:cs="Times New Roman"/>
          <w:bCs/>
          <w:sz w:val="18"/>
          <w:szCs w:val="18"/>
        </w:rPr>
      </w:pPr>
      <w:r>
        <w:rPr>
          <w:rFonts w:ascii="Times New Roman" w:hAnsi="Times New Roman" w:eastAsia="黑体" w:cs="Times New Roman"/>
          <w:sz w:val="18"/>
          <w:szCs w:val="18"/>
        </w:rPr>
        <w:t xml:space="preserve"> </w:t>
      </w:r>
    </w:p>
    <w:p>
      <w:pPr>
        <w:rPr>
          <w:rFonts w:hint="eastAsia" w:ascii="黑体" w:hAnsi="黑体" w:eastAsia="黑体" w:cs="Times New Roman"/>
          <w:bCs/>
          <w:sz w:val="18"/>
          <w:szCs w:val="18"/>
        </w:rPr>
      </w:pPr>
      <w:r>
        <w:rPr>
          <w:rFonts w:hint="eastAsia" w:ascii="黑体" w:hAnsi="黑体" w:eastAsia="黑体" w:cs="Times New Roman"/>
          <w:bCs/>
          <w:sz w:val="18"/>
          <w:szCs w:val="18"/>
        </w:rPr>
        <w:br w:type="page"/>
      </w:r>
    </w:p>
    <w:p>
      <w:pPr>
        <w:spacing w:line="380" w:lineRule="exact"/>
        <w:jc w:val="center"/>
        <w:rPr>
          <w:rFonts w:hint="eastAsia" w:ascii="宋体" w:hAnsi="宋体" w:eastAsia="宋体" w:cs="宋体"/>
          <w:b/>
          <w:bCs w:val="0"/>
          <w:sz w:val="20"/>
          <w:szCs w:val="20"/>
          <w:lang w:val="en-US" w:eastAsia="zh-CN"/>
        </w:rPr>
      </w:pPr>
      <w:r>
        <w:rPr>
          <w:rFonts w:hint="eastAsia" w:ascii="宋体" w:hAnsi="宋体" w:eastAsia="宋体" w:cs="宋体"/>
          <w:b/>
          <w:bCs w:val="0"/>
          <w:sz w:val="20"/>
          <w:szCs w:val="20"/>
          <w:lang w:val="en-US" w:eastAsia="zh-CN"/>
        </w:rPr>
        <w:t>表A5  PSM-DID及以2010年之后的设区县作为控制组</w:t>
      </w:r>
    </w:p>
    <w:tbl>
      <w:tblPr>
        <w:tblStyle w:val="12"/>
        <w:tblW w:w="9112" w:type="dxa"/>
        <w:tblInd w:w="-40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06"/>
        <w:gridCol w:w="1217"/>
        <w:gridCol w:w="1217"/>
        <w:gridCol w:w="1218"/>
        <w:gridCol w:w="1218"/>
        <w:gridCol w:w="1218"/>
        <w:gridCol w:w="1218"/>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12" w:space="0"/>
              <w:left w:val="nil"/>
              <w:bottom w:val="single" w:color="auto" w:sz="4" w:space="0"/>
              <w:right w:val="nil"/>
              <w:insideV w:val="nil"/>
              <w:tl2br w:val="nil"/>
              <w:tr2bl w:val="nil"/>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0" w:type="auto"/>
            <w:gridSpan w:val="3"/>
            <w:tcBorders>
              <w:top w:val="single" w:color="auto" w:sz="12" w:space="0"/>
              <w:left w:val="single" w:color="auto" w:sz="4" w:space="0"/>
              <w:bottom w:val="single" w:color="auto" w:sz="4" w:space="0"/>
              <w:right w:val="nil"/>
              <w:insideV w:val="nil"/>
              <w:tl2br w:val="nil"/>
              <w:tr2bl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PSM-DID</w:t>
            </w:r>
          </w:p>
        </w:tc>
        <w:tc>
          <w:tcPr>
            <w:tcW w:w="0" w:type="auto"/>
            <w:gridSpan w:val="3"/>
            <w:tcBorders>
              <w:top w:val="single" w:color="auto" w:sz="12" w:space="0"/>
              <w:left w:val="single" w:color="auto" w:sz="4" w:space="0"/>
              <w:bottom w:val="single" w:color="auto" w:sz="4" w:space="0"/>
              <w:right w:val="nil"/>
              <w:insideV w:val="nil"/>
              <w:tl2br w:val="nil"/>
              <w:tr2bl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将</w:t>
            </w:r>
            <w:r>
              <w:rPr>
                <w:rFonts w:ascii="Times New Roman" w:hAnsi="Times New Roman" w:eastAsia="仿宋" w:cs="Times New Roman"/>
                <w:kern w:val="0"/>
                <w:sz w:val="18"/>
                <w:szCs w:val="18"/>
              </w:rPr>
              <w:t>2010</w:t>
            </w:r>
            <w:r>
              <w:rPr>
                <w:rFonts w:ascii="仿宋" w:hAnsi="仿宋" w:eastAsia="仿宋" w:cs="Times New Roman"/>
                <w:kern w:val="0"/>
                <w:sz w:val="18"/>
                <w:szCs w:val="18"/>
              </w:rPr>
              <w:t>年以后设区的县作为控制组</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0" w:type="auto"/>
            <w:tcBorders>
              <w:top w:val="single" w:color="auto" w:sz="4" w:space="0"/>
              <w:left w:val="nil"/>
              <w:bottom w:val="nil"/>
              <w:right w:val="single" w:color="auto" w:sz="4" w:space="0"/>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0" w:type="auto"/>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1</w:t>
            </w:r>
            <w:r>
              <w:rPr>
                <w:rFonts w:ascii="仿宋" w:hAnsi="仿宋" w:eastAsia="仿宋" w:cs="Times New Roman"/>
                <w:kern w:val="0"/>
                <w:sz w:val="18"/>
                <w:szCs w:val="18"/>
              </w:rPr>
              <w:t>）</w:t>
            </w:r>
          </w:p>
        </w:tc>
        <w:tc>
          <w:tcPr>
            <w:tcW w:w="0" w:type="auto"/>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2</w:t>
            </w:r>
            <w:r>
              <w:rPr>
                <w:rFonts w:ascii="仿宋" w:hAnsi="仿宋" w:eastAsia="仿宋" w:cs="Times New Roman"/>
                <w:kern w:val="0"/>
                <w:sz w:val="18"/>
                <w:szCs w:val="18"/>
              </w:rPr>
              <w:t>）</w:t>
            </w:r>
          </w:p>
        </w:tc>
        <w:tc>
          <w:tcPr>
            <w:tcW w:w="0" w:type="auto"/>
            <w:tcBorders>
              <w:top w:val="single" w:color="auto" w:sz="4" w:space="0"/>
              <w:left w:val="nil"/>
              <w:bottom w:val="nil"/>
              <w:right w:val="single" w:color="auto" w:sz="4" w:space="0"/>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3</w:t>
            </w:r>
            <w:r>
              <w:rPr>
                <w:rFonts w:ascii="仿宋" w:hAnsi="仿宋" w:eastAsia="仿宋" w:cs="Times New Roman"/>
                <w:kern w:val="0"/>
                <w:sz w:val="18"/>
                <w:szCs w:val="18"/>
              </w:rPr>
              <w:t>）</w:t>
            </w:r>
          </w:p>
        </w:tc>
        <w:tc>
          <w:tcPr>
            <w:tcW w:w="0" w:type="auto"/>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4</w:t>
            </w:r>
            <w:r>
              <w:rPr>
                <w:rFonts w:ascii="仿宋" w:hAnsi="仿宋" w:eastAsia="仿宋" w:cs="Times New Roman"/>
                <w:kern w:val="0"/>
                <w:sz w:val="18"/>
                <w:szCs w:val="18"/>
              </w:rPr>
              <w:t>）</w:t>
            </w:r>
          </w:p>
        </w:tc>
        <w:tc>
          <w:tcPr>
            <w:tcW w:w="0" w:type="auto"/>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5</w:t>
            </w:r>
            <w:r>
              <w:rPr>
                <w:rFonts w:ascii="仿宋" w:hAnsi="仿宋" w:eastAsia="仿宋" w:cs="Times New Roman"/>
                <w:kern w:val="0"/>
                <w:sz w:val="18"/>
                <w:szCs w:val="18"/>
              </w:rPr>
              <w:t>）</w:t>
            </w:r>
          </w:p>
        </w:tc>
        <w:tc>
          <w:tcPr>
            <w:tcW w:w="0" w:type="auto"/>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6</w:t>
            </w:r>
            <w:r>
              <w:rPr>
                <w:rFonts w:ascii="仿宋" w:hAnsi="仿宋" w:eastAsia="仿宋" w:cs="Times New Roman"/>
                <w:kern w:val="0"/>
                <w:sz w:val="18"/>
                <w:szCs w:val="18"/>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 w:hRule="atLeast"/>
        </w:trPr>
        <w:tc>
          <w:tcPr>
            <w:tcW w:w="0" w:type="auto"/>
            <w:tcBorders>
              <w:top w:val="nil"/>
              <w:left w:val="nil"/>
              <w:bottom w:val="single" w:color="auto" w:sz="4" w:space="0"/>
              <w:right w:val="single" w:color="auto" w:sz="4" w:space="0"/>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0" w:type="auto"/>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高中入学率</w:t>
            </w:r>
          </w:p>
        </w:tc>
        <w:tc>
          <w:tcPr>
            <w:tcW w:w="0" w:type="auto"/>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大学入学率</w:t>
            </w:r>
          </w:p>
        </w:tc>
        <w:tc>
          <w:tcPr>
            <w:tcW w:w="0" w:type="auto"/>
            <w:tcBorders>
              <w:top w:val="nil"/>
              <w:left w:val="nil"/>
              <w:bottom w:val="single" w:color="auto" w:sz="4" w:space="0"/>
              <w:right w:val="single" w:color="auto" w:sz="4" w:space="0"/>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受教育年限</w:t>
            </w:r>
          </w:p>
        </w:tc>
        <w:tc>
          <w:tcPr>
            <w:tcW w:w="0" w:type="auto"/>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高中入学率</w:t>
            </w:r>
          </w:p>
        </w:tc>
        <w:tc>
          <w:tcPr>
            <w:tcW w:w="0" w:type="auto"/>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大学入学率</w:t>
            </w:r>
          </w:p>
        </w:tc>
        <w:tc>
          <w:tcPr>
            <w:tcW w:w="0" w:type="auto"/>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受教育年限</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left w:val="nil"/>
              <w:bottom w:val="nil"/>
              <w:right w:val="single" w:color="auto" w:sz="4" w:space="0"/>
            </w:tcBorders>
            <w:vAlign w:val="center"/>
          </w:tcPr>
          <w:p>
            <w:pPr>
              <w:autoSpaceDE w:val="0"/>
              <w:autoSpaceDN w:val="0"/>
              <w:adjustRightInd w:val="0"/>
              <w:jc w:val="center"/>
              <w:rPr>
                <w:rFonts w:ascii="Times New Roman" w:hAnsi="Times New Roman" w:eastAsia="仿宋" w:cs="Times New Roman"/>
                <w:i/>
                <w:iCs/>
                <w:kern w:val="0"/>
                <w:sz w:val="18"/>
                <w:szCs w:val="18"/>
              </w:rPr>
            </w:pPr>
            <m:oMathPara>
              <m:oMath>
                <m:sSub>
                  <m:sSubPr>
                    <m:ctrlPr>
                      <w:rPr>
                        <w:rFonts w:ascii="Cambria Math" w:hAnsi="Cambria Math" w:eastAsia="仿宋" w:cs="Times New Roman"/>
                        <w:i/>
                        <w:iCs/>
                        <w:kern w:val="0"/>
                        <w:sz w:val="18"/>
                        <w:szCs w:val="18"/>
                      </w:rPr>
                    </m:ctrlPr>
                  </m:sSubPr>
                  <m:e>
                    <m:r>
                      <m:rPr/>
                      <w:rPr>
                        <w:rFonts w:ascii="Cambria Math" w:hAnsi="Cambria Math" w:eastAsia="仿宋" w:cs="Times New Roman"/>
                        <w:kern w:val="0"/>
                        <w:sz w:val="18"/>
                        <w:szCs w:val="18"/>
                      </w:rPr>
                      <m:t>Treat</m:t>
                    </m:r>
                    <m:ctrlPr>
                      <w:rPr>
                        <w:rFonts w:ascii="Cambria Math" w:hAnsi="Cambria Math" w:eastAsia="仿宋" w:cs="Times New Roman"/>
                        <w:i/>
                        <w:iCs/>
                        <w:kern w:val="0"/>
                        <w:sz w:val="18"/>
                        <w:szCs w:val="18"/>
                      </w:rPr>
                    </m:ctrlPr>
                  </m:e>
                  <m:sub>
                    <m:r>
                      <m:rPr/>
                      <w:rPr>
                        <w:rFonts w:ascii="Cambria Math" w:hAnsi="Cambria Math" w:eastAsia="仿宋" w:cs="Times New Roman"/>
                        <w:kern w:val="0"/>
                        <w:sz w:val="18"/>
                        <w:szCs w:val="18"/>
                      </w:rPr>
                      <m:t>c</m:t>
                    </m:r>
                    <m:ctrlPr>
                      <w:rPr>
                        <w:rFonts w:ascii="Cambria Math" w:hAnsi="Cambria Math" w:eastAsia="仿宋" w:cs="Times New Roman"/>
                        <w:i/>
                        <w:iCs/>
                        <w:kern w:val="0"/>
                        <w:sz w:val="18"/>
                        <w:szCs w:val="18"/>
                      </w:rPr>
                    </m:ctrlPr>
                  </m:sub>
                </m:sSub>
                <m:r>
                  <m:rPr/>
                  <w:rPr>
                    <w:rFonts w:ascii="Cambria Math" w:hAnsi="Cambria Math" w:eastAsia="仿宋" w:cs="Times New Roman"/>
                    <w:kern w:val="0"/>
                    <w:sz w:val="18"/>
                    <w:szCs w:val="18"/>
                  </w:rPr>
                  <m:t>×</m:t>
                </m:r>
                <m:sSub>
                  <m:sSubPr>
                    <m:ctrlPr>
                      <w:rPr>
                        <w:rFonts w:ascii="Cambria Math" w:hAnsi="Cambria Math" w:eastAsia="仿宋" w:cs="Times New Roman"/>
                        <w:i/>
                        <w:iCs/>
                        <w:kern w:val="0"/>
                        <w:sz w:val="18"/>
                        <w:szCs w:val="18"/>
                      </w:rPr>
                    </m:ctrlPr>
                  </m:sSubPr>
                  <m:e>
                    <m:r>
                      <m:rPr/>
                      <w:rPr>
                        <w:rFonts w:ascii="Cambria Math" w:hAnsi="Cambria Math" w:eastAsia="仿宋" w:cs="Times New Roman"/>
                        <w:kern w:val="0"/>
                        <w:sz w:val="18"/>
                        <w:szCs w:val="18"/>
                      </w:rPr>
                      <m:t>Post</m:t>
                    </m:r>
                    <m:ctrlPr>
                      <w:rPr>
                        <w:rFonts w:ascii="Cambria Math" w:hAnsi="Cambria Math" w:eastAsia="仿宋" w:cs="Times New Roman"/>
                        <w:i/>
                        <w:iCs/>
                        <w:kern w:val="0"/>
                        <w:sz w:val="18"/>
                        <w:szCs w:val="18"/>
                      </w:rPr>
                    </m:ctrlPr>
                  </m:e>
                  <m:sub>
                    <m:r>
                      <m:rPr/>
                      <w:rPr>
                        <w:rFonts w:ascii="Cambria Math" w:hAnsi="Cambria Math" w:eastAsia="仿宋" w:cs="Times New Roman"/>
                        <w:kern w:val="0"/>
                        <w:sz w:val="18"/>
                        <w:szCs w:val="18"/>
                      </w:rPr>
                      <m:t>t</m:t>
                    </m:r>
                    <m:ctrlPr>
                      <w:rPr>
                        <w:rFonts w:ascii="Cambria Math" w:hAnsi="Cambria Math" w:eastAsia="仿宋" w:cs="Times New Roman"/>
                        <w:i/>
                        <w:iCs/>
                        <w:kern w:val="0"/>
                        <w:sz w:val="18"/>
                        <w:szCs w:val="18"/>
                      </w:rPr>
                    </m:ctrlPr>
                  </m:sub>
                </m:sSub>
              </m:oMath>
            </m:oMathPara>
          </w:p>
        </w:tc>
        <w:tc>
          <w:tcPr>
            <w:tcW w:w="0" w:type="auto"/>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0.0343***</w:t>
            </w:r>
          </w:p>
        </w:tc>
        <w:tc>
          <w:tcPr>
            <w:tcW w:w="0" w:type="auto"/>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0.0447***</w:t>
            </w:r>
          </w:p>
        </w:tc>
        <w:tc>
          <w:tcPr>
            <w:tcW w:w="0" w:type="auto"/>
            <w:tcBorders>
              <w:top w:val="single" w:color="auto" w:sz="4" w:space="0"/>
              <w:left w:val="nil"/>
              <w:bottom w:val="nil"/>
              <w:right w:val="single" w:color="auto" w:sz="4" w:space="0"/>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0.2524***</w:t>
            </w:r>
          </w:p>
        </w:tc>
        <w:tc>
          <w:tcPr>
            <w:tcW w:w="0" w:type="auto"/>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0.0287***</w:t>
            </w:r>
          </w:p>
        </w:tc>
        <w:tc>
          <w:tcPr>
            <w:tcW w:w="0" w:type="auto"/>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0.0456***</w:t>
            </w:r>
          </w:p>
        </w:tc>
        <w:tc>
          <w:tcPr>
            <w:tcW w:w="0" w:type="auto"/>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0.2057***</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nil"/>
              <w:left w:val="nil"/>
              <w:bottom w:val="nil"/>
              <w:right w:val="single" w:color="auto" w:sz="4" w:space="0"/>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(0.0103)</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(0.0105)</w:t>
            </w:r>
          </w:p>
        </w:tc>
        <w:tc>
          <w:tcPr>
            <w:tcW w:w="0" w:type="auto"/>
            <w:tcBorders>
              <w:top w:val="nil"/>
              <w:left w:val="nil"/>
              <w:bottom w:val="nil"/>
              <w:right w:val="single" w:color="auto" w:sz="4" w:space="0"/>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(0.0638)</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(0.0105)</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(0.0134)</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(0.0775)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nil"/>
              <w:left w:val="nil"/>
              <w:bottom w:val="nil"/>
              <w:right w:val="single" w:color="auto" w:sz="4" w:space="0"/>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控制变量</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single" w:color="auto" w:sz="4" w:space="0"/>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nil"/>
              <w:left w:val="nil"/>
              <w:bottom w:val="nil"/>
              <w:right w:val="single" w:color="auto" w:sz="4" w:space="0"/>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出生年份固定效应</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single" w:color="auto" w:sz="4" w:space="0"/>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nil"/>
              <w:left w:val="nil"/>
              <w:bottom w:val="nil"/>
              <w:right w:val="single" w:color="auto" w:sz="4" w:space="0"/>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区县固定效应</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single" w:color="auto" w:sz="4" w:space="0"/>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nil"/>
              <w:left w:val="nil"/>
              <w:bottom w:val="single" w:color="auto" w:sz="4" w:space="0"/>
              <w:right w:val="single" w:color="auto" w:sz="4" w:space="0"/>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年份</w:t>
            </w:r>
            <w:r>
              <w:rPr>
                <w:rFonts w:ascii="Times New Roman" w:hAnsi="Times New Roman" w:eastAsia="仿宋" w:cs="Times New Roman"/>
                <w:kern w:val="0"/>
                <w:sz w:val="18"/>
                <w:szCs w:val="18"/>
              </w:rPr>
              <w:t>×</w:t>
            </w:r>
            <w:r>
              <w:rPr>
                <w:rFonts w:ascii="仿宋" w:hAnsi="仿宋" w:eastAsia="仿宋" w:cs="Times New Roman"/>
                <w:kern w:val="0"/>
                <w:sz w:val="18"/>
                <w:szCs w:val="18"/>
              </w:rPr>
              <w:t>市固定效应</w:t>
            </w:r>
          </w:p>
        </w:tc>
        <w:tc>
          <w:tcPr>
            <w:tcW w:w="0" w:type="auto"/>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single" w:color="auto" w:sz="4" w:space="0"/>
              <w:right w:val="single" w:color="auto" w:sz="4" w:space="0"/>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left w:val="nil"/>
              <w:bottom w:val="nil"/>
              <w:right w:val="single" w:color="auto" w:sz="4" w:space="0"/>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观测值</w:t>
            </w:r>
          </w:p>
        </w:tc>
        <w:tc>
          <w:tcPr>
            <w:tcW w:w="0" w:type="auto"/>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1540873</w:t>
            </w:r>
          </w:p>
        </w:tc>
        <w:tc>
          <w:tcPr>
            <w:tcW w:w="0" w:type="auto"/>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1540873</w:t>
            </w:r>
          </w:p>
        </w:tc>
        <w:tc>
          <w:tcPr>
            <w:tcW w:w="0" w:type="auto"/>
            <w:tcBorders>
              <w:top w:val="single" w:color="auto" w:sz="4" w:space="0"/>
              <w:left w:val="nil"/>
              <w:bottom w:val="nil"/>
              <w:right w:val="single" w:color="auto" w:sz="4" w:space="0"/>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1540873</w:t>
            </w:r>
          </w:p>
        </w:tc>
        <w:tc>
          <w:tcPr>
            <w:tcW w:w="0" w:type="auto"/>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282337</w:t>
            </w:r>
          </w:p>
        </w:tc>
        <w:tc>
          <w:tcPr>
            <w:tcW w:w="0" w:type="auto"/>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282337</w:t>
            </w:r>
          </w:p>
        </w:tc>
        <w:tc>
          <w:tcPr>
            <w:tcW w:w="0" w:type="auto"/>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282337</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nil"/>
              <w:left w:val="nil"/>
              <w:bottom w:val="single" w:color="auto" w:sz="12" w:space="0"/>
              <w:right w:val="single" w:color="auto" w:sz="4" w:space="0"/>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R</w:t>
            </w:r>
            <w:r>
              <w:rPr>
                <w:rFonts w:ascii="Times New Roman" w:hAnsi="Times New Roman" w:eastAsia="仿宋" w:cs="Times New Roman"/>
                <w:kern w:val="0"/>
                <w:sz w:val="18"/>
                <w:szCs w:val="18"/>
                <w:vertAlign w:val="superscript"/>
              </w:rPr>
              <w:t>2</w:t>
            </w:r>
          </w:p>
        </w:tc>
        <w:tc>
          <w:tcPr>
            <w:tcW w:w="0" w:type="auto"/>
            <w:tcBorders>
              <w:top w:val="nil"/>
              <w:left w:val="nil"/>
              <w:bottom w:val="single" w:color="auto" w:sz="12"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0.358</w:t>
            </w:r>
          </w:p>
        </w:tc>
        <w:tc>
          <w:tcPr>
            <w:tcW w:w="0" w:type="auto"/>
            <w:tcBorders>
              <w:top w:val="nil"/>
              <w:left w:val="nil"/>
              <w:bottom w:val="single" w:color="auto" w:sz="12"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0.337</w:t>
            </w:r>
          </w:p>
        </w:tc>
        <w:tc>
          <w:tcPr>
            <w:tcW w:w="0" w:type="auto"/>
            <w:tcBorders>
              <w:top w:val="nil"/>
              <w:left w:val="nil"/>
              <w:bottom w:val="single" w:color="auto" w:sz="12" w:space="0"/>
              <w:right w:val="single" w:color="auto" w:sz="4" w:space="0"/>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0.423</w:t>
            </w:r>
          </w:p>
        </w:tc>
        <w:tc>
          <w:tcPr>
            <w:tcW w:w="0" w:type="auto"/>
            <w:tcBorders>
              <w:top w:val="nil"/>
              <w:left w:val="nil"/>
              <w:bottom w:val="single" w:color="auto" w:sz="12"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0.343</w:t>
            </w:r>
          </w:p>
        </w:tc>
        <w:tc>
          <w:tcPr>
            <w:tcW w:w="0" w:type="auto"/>
            <w:tcBorders>
              <w:top w:val="nil"/>
              <w:left w:val="nil"/>
              <w:bottom w:val="single" w:color="auto" w:sz="12"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0.343</w:t>
            </w:r>
          </w:p>
        </w:tc>
        <w:tc>
          <w:tcPr>
            <w:tcW w:w="0" w:type="auto"/>
            <w:tcBorders>
              <w:top w:val="nil"/>
              <w:left w:val="nil"/>
              <w:bottom w:val="single" w:color="auto" w:sz="12"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0.412</w:t>
            </w:r>
          </w:p>
        </w:tc>
      </w:tr>
    </w:tbl>
    <w:p>
      <w:pPr>
        <w:ind w:firstLine="360" w:firstLineChars="200"/>
        <w:rPr>
          <w:rFonts w:ascii="Times New Roman" w:hAnsi="Times New Roman" w:eastAsia="仿宋" w:cs="Times New Roman"/>
          <w:kern w:val="0"/>
          <w:sz w:val="18"/>
          <w:szCs w:val="18"/>
        </w:rPr>
      </w:pPr>
      <w:r>
        <w:rPr>
          <w:rFonts w:ascii="仿宋" w:hAnsi="仿宋" w:eastAsia="仿宋" w:cs="Times New Roman"/>
          <w:kern w:val="0"/>
          <w:sz w:val="18"/>
          <w:szCs w:val="18"/>
        </w:rPr>
        <w:t>注：括号中的数值为在县级层面聚类的稳健标准误；</w:t>
      </w:r>
      <w:r>
        <w:rPr>
          <w:rFonts w:ascii="Times New Roman" w:hAnsi="Times New Roman" w:eastAsia="仿宋" w:cs="Times New Roman"/>
          <w:kern w:val="0"/>
          <w:sz w:val="18"/>
          <w:szCs w:val="18"/>
        </w:rPr>
        <w:t>***</w:t>
      </w:r>
      <w:r>
        <w:rPr>
          <w:rFonts w:ascii="仿宋" w:hAnsi="仿宋" w:eastAsia="仿宋" w:cs="Times New Roman"/>
          <w:kern w:val="0"/>
          <w:sz w:val="18"/>
          <w:szCs w:val="18"/>
        </w:rPr>
        <w:t>、</w:t>
      </w:r>
      <w:r>
        <w:rPr>
          <w:rFonts w:ascii="Times New Roman" w:hAnsi="Times New Roman" w:eastAsia="仿宋" w:cs="Times New Roman"/>
          <w:kern w:val="0"/>
          <w:sz w:val="18"/>
          <w:szCs w:val="18"/>
        </w:rPr>
        <w:t>**</w:t>
      </w:r>
      <w:r>
        <w:rPr>
          <w:rFonts w:ascii="仿宋" w:hAnsi="仿宋" w:eastAsia="仿宋" w:cs="Times New Roman"/>
          <w:kern w:val="0"/>
          <w:sz w:val="18"/>
          <w:szCs w:val="18"/>
        </w:rPr>
        <w:t>和</w:t>
      </w:r>
      <w:r>
        <w:rPr>
          <w:rFonts w:ascii="Times New Roman" w:hAnsi="Times New Roman" w:eastAsia="仿宋" w:cs="Times New Roman"/>
          <w:kern w:val="0"/>
          <w:sz w:val="18"/>
          <w:szCs w:val="18"/>
        </w:rPr>
        <w:t>*</w:t>
      </w:r>
      <w:r>
        <w:rPr>
          <w:rFonts w:ascii="仿宋" w:hAnsi="仿宋" w:eastAsia="仿宋" w:cs="Times New Roman"/>
          <w:kern w:val="0"/>
          <w:sz w:val="18"/>
          <w:szCs w:val="18"/>
        </w:rPr>
        <w:t>分别表示在</w:t>
      </w:r>
      <w:r>
        <w:rPr>
          <w:rFonts w:ascii="Times New Roman" w:hAnsi="Times New Roman" w:eastAsia="仿宋" w:cs="Times New Roman"/>
          <w:kern w:val="0"/>
          <w:sz w:val="18"/>
          <w:szCs w:val="18"/>
        </w:rPr>
        <w:t>1%</w:t>
      </w:r>
      <w:r>
        <w:rPr>
          <w:rFonts w:ascii="仿宋" w:hAnsi="仿宋" w:eastAsia="仿宋" w:cs="Times New Roman"/>
          <w:kern w:val="0"/>
          <w:sz w:val="18"/>
          <w:szCs w:val="18"/>
        </w:rPr>
        <w:t>、</w:t>
      </w:r>
      <w:r>
        <w:rPr>
          <w:rFonts w:ascii="Times New Roman" w:hAnsi="Times New Roman" w:eastAsia="仿宋" w:cs="Times New Roman"/>
          <w:kern w:val="0"/>
          <w:sz w:val="18"/>
          <w:szCs w:val="18"/>
        </w:rPr>
        <w:t>5%</w:t>
      </w:r>
      <w:r>
        <w:rPr>
          <w:rFonts w:ascii="仿宋" w:hAnsi="仿宋" w:eastAsia="仿宋" w:cs="Times New Roman"/>
          <w:kern w:val="0"/>
          <w:sz w:val="18"/>
          <w:szCs w:val="18"/>
        </w:rPr>
        <w:t>和</w:t>
      </w:r>
      <w:r>
        <w:rPr>
          <w:rFonts w:ascii="Times New Roman" w:hAnsi="Times New Roman" w:eastAsia="仿宋" w:cs="Times New Roman"/>
          <w:kern w:val="0"/>
          <w:sz w:val="18"/>
          <w:szCs w:val="18"/>
        </w:rPr>
        <w:t>10%</w:t>
      </w:r>
      <w:r>
        <w:rPr>
          <w:rFonts w:ascii="仿宋" w:hAnsi="仿宋" w:eastAsia="仿宋" w:cs="Times New Roman"/>
          <w:kern w:val="0"/>
          <w:sz w:val="18"/>
          <w:szCs w:val="18"/>
        </w:rPr>
        <w:t>置信度水平下显著。控制变量包括个体的性别、民族、户口以及家庭规模。</w:t>
      </w:r>
    </w:p>
    <w:p>
      <w:pPr>
        <w:spacing w:line="380" w:lineRule="exact"/>
        <w:jc w:val="center"/>
        <w:rPr>
          <w:rFonts w:ascii="黑体" w:hAnsi="黑体" w:eastAsia="黑体" w:cs="Times New Roman"/>
          <w:bCs/>
          <w:sz w:val="18"/>
          <w:szCs w:val="18"/>
        </w:rPr>
      </w:pPr>
    </w:p>
    <w:p>
      <w:pPr>
        <w:spacing w:line="380" w:lineRule="exact"/>
        <w:jc w:val="center"/>
        <w:rPr>
          <w:rFonts w:ascii="黑体" w:hAnsi="黑体" w:eastAsia="黑体" w:cs="Times New Roman"/>
          <w:bCs/>
          <w:sz w:val="18"/>
          <w:szCs w:val="18"/>
        </w:rPr>
      </w:pPr>
    </w:p>
    <w:p>
      <w:pPr>
        <w:spacing w:line="380" w:lineRule="exact"/>
        <w:jc w:val="center"/>
        <w:rPr>
          <w:rFonts w:ascii="黑体" w:hAnsi="黑体" w:eastAsia="黑体" w:cs="Times New Roman"/>
          <w:bCs/>
          <w:sz w:val="18"/>
          <w:szCs w:val="18"/>
        </w:rPr>
      </w:pPr>
    </w:p>
    <w:p>
      <w:pPr>
        <w:spacing w:line="380" w:lineRule="exact"/>
        <w:jc w:val="center"/>
        <w:rPr>
          <w:rFonts w:ascii="黑体" w:hAnsi="黑体" w:eastAsia="黑体" w:cs="Times New Roman"/>
          <w:bCs/>
          <w:sz w:val="18"/>
          <w:szCs w:val="18"/>
        </w:rPr>
      </w:pPr>
    </w:p>
    <w:p>
      <w:pPr>
        <w:spacing w:line="380" w:lineRule="exact"/>
        <w:jc w:val="center"/>
        <w:rPr>
          <w:rFonts w:ascii="黑体" w:hAnsi="黑体" w:eastAsia="黑体" w:cs="Times New Roman"/>
          <w:bCs/>
          <w:sz w:val="18"/>
          <w:szCs w:val="18"/>
        </w:rPr>
      </w:pPr>
    </w:p>
    <w:p>
      <w:pPr>
        <w:rPr>
          <w:rFonts w:hint="eastAsia" w:ascii="黑体" w:hAnsi="黑体" w:eastAsia="黑体" w:cs="Times New Roman"/>
          <w:bCs/>
          <w:sz w:val="18"/>
          <w:szCs w:val="18"/>
        </w:rPr>
      </w:pPr>
      <w:r>
        <w:rPr>
          <w:rFonts w:hint="eastAsia" w:ascii="黑体" w:hAnsi="黑体" w:eastAsia="黑体" w:cs="Times New Roman"/>
          <w:bCs/>
          <w:sz w:val="18"/>
          <w:szCs w:val="18"/>
        </w:rPr>
        <w:br w:type="page"/>
      </w:r>
    </w:p>
    <w:p>
      <w:pPr>
        <w:spacing w:line="380" w:lineRule="exact"/>
        <w:jc w:val="center"/>
        <w:rPr>
          <w:rFonts w:hint="eastAsia" w:ascii="宋体" w:hAnsi="宋体" w:eastAsia="宋体" w:cs="宋体"/>
          <w:b/>
          <w:bCs w:val="0"/>
          <w:sz w:val="20"/>
          <w:szCs w:val="20"/>
          <w:lang w:val="en-US" w:eastAsia="zh-CN"/>
        </w:rPr>
      </w:pPr>
      <w:r>
        <w:rPr>
          <w:rFonts w:hint="eastAsia" w:ascii="宋体" w:hAnsi="宋体" w:eastAsia="宋体" w:cs="宋体"/>
          <w:b/>
          <w:bCs w:val="0"/>
          <w:sz w:val="20"/>
          <w:szCs w:val="20"/>
          <w:lang w:val="en-US" w:eastAsia="zh-CN"/>
        </w:rPr>
        <w:t>表A6  更换控制组</w:t>
      </w:r>
    </w:p>
    <w:tbl>
      <w:tblPr>
        <w:tblStyle w:val="12"/>
        <w:tblW w:w="5000"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03"/>
        <w:gridCol w:w="1140"/>
        <w:gridCol w:w="1139"/>
        <w:gridCol w:w="1137"/>
        <w:gridCol w:w="1135"/>
        <w:gridCol w:w="1135"/>
        <w:gridCol w:w="1133"/>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tcBorders>
              <w:top w:val="single" w:color="auto" w:sz="12" w:space="0"/>
              <w:left w:val="nil"/>
              <w:bottom w:val="nil"/>
              <w:right w:val="nil"/>
              <w:insideV w:val="nil"/>
              <w:tl2br w:val="nil"/>
              <w:tr2bl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p>
        </w:tc>
        <w:tc>
          <w:tcPr>
            <w:tcW w:w="669" w:type="pct"/>
            <w:tcBorders>
              <w:top w:val="single" w:color="auto" w:sz="12" w:space="0"/>
              <w:left w:val="nil"/>
              <w:bottom w:val="nil"/>
              <w:right w:val="nil"/>
              <w:insideV w:val="nil"/>
              <w:tl2br w:val="nil"/>
              <w:tr2bl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1</w:t>
            </w:r>
            <w:r>
              <w:rPr>
                <w:rFonts w:ascii="仿宋" w:hAnsi="仿宋" w:eastAsia="仿宋" w:cs="Times New Roman"/>
                <w:kern w:val="0"/>
                <w:sz w:val="18"/>
                <w:szCs w:val="18"/>
              </w:rPr>
              <w:t>）</w:t>
            </w:r>
          </w:p>
        </w:tc>
        <w:tc>
          <w:tcPr>
            <w:tcW w:w="668" w:type="pct"/>
            <w:tcBorders>
              <w:top w:val="single" w:color="auto" w:sz="12" w:space="0"/>
              <w:left w:val="nil"/>
              <w:bottom w:val="nil"/>
              <w:right w:val="nil"/>
              <w:insideV w:val="nil"/>
              <w:tl2br w:val="nil"/>
              <w:tr2bl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2</w:t>
            </w:r>
            <w:r>
              <w:rPr>
                <w:rFonts w:ascii="仿宋" w:hAnsi="仿宋" w:eastAsia="仿宋" w:cs="Times New Roman"/>
                <w:kern w:val="0"/>
                <w:sz w:val="18"/>
                <w:szCs w:val="18"/>
              </w:rPr>
              <w:t>）</w:t>
            </w:r>
          </w:p>
        </w:tc>
        <w:tc>
          <w:tcPr>
            <w:tcW w:w="667" w:type="pct"/>
            <w:tcBorders>
              <w:top w:val="single" w:color="auto" w:sz="12" w:space="0"/>
              <w:left w:val="nil"/>
              <w:bottom w:val="nil"/>
              <w:right w:val="nil"/>
              <w:insideV w:val="nil"/>
              <w:tl2br w:val="nil"/>
              <w:tr2bl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3</w:t>
            </w:r>
            <w:r>
              <w:rPr>
                <w:rFonts w:ascii="仿宋" w:hAnsi="仿宋" w:eastAsia="仿宋" w:cs="Times New Roman"/>
                <w:kern w:val="0"/>
                <w:sz w:val="18"/>
                <w:szCs w:val="18"/>
              </w:rPr>
              <w:t>）</w:t>
            </w:r>
          </w:p>
        </w:tc>
        <w:tc>
          <w:tcPr>
            <w:tcW w:w="666" w:type="pct"/>
            <w:tcBorders>
              <w:top w:val="single" w:color="auto" w:sz="12" w:space="0"/>
              <w:left w:val="nil"/>
              <w:bottom w:val="nil"/>
              <w:right w:val="nil"/>
              <w:insideV w:val="nil"/>
              <w:tl2br w:val="nil"/>
              <w:tr2bl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4</w:t>
            </w:r>
            <w:r>
              <w:rPr>
                <w:rFonts w:ascii="仿宋" w:hAnsi="仿宋" w:eastAsia="仿宋" w:cs="Times New Roman"/>
                <w:kern w:val="0"/>
                <w:sz w:val="18"/>
                <w:szCs w:val="18"/>
              </w:rPr>
              <w:t>）</w:t>
            </w:r>
          </w:p>
        </w:tc>
        <w:tc>
          <w:tcPr>
            <w:tcW w:w="666" w:type="pct"/>
            <w:tcBorders>
              <w:top w:val="single" w:color="auto" w:sz="12" w:space="0"/>
              <w:left w:val="nil"/>
              <w:bottom w:val="nil"/>
              <w:right w:val="nil"/>
              <w:insideV w:val="nil"/>
              <w:tl2br w:val="nil"/>
              <w:tr2bl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5</w:t>
            </w:r>
            <w:r>
              <w:rPr>
                <w:rFonts w:ascii="仿宋" w:hAnsi="仿宋" w:eastAsia="仿宋" w:cs="Times New Roman"/>
                <w:kern w:val="0"/>
                <w:sz w:val="18"/>
                <w:szCs w:val="18"/>
              </w:rPr>
              <w:t>）</w:t>
            </w:r>
          </w:p>
        </w:tc>
        <w:tc>
          <w:tcPr>
            <w:tcW w:w="665" w:type="pct"/>
            <w:tcBorders>
              <w:top w:val="single" w:color="auto" w:sz="12" w:space="0"/>
              <w:left w:val="nil"/>
              <w:bottom w:val="nil"/>
              <w:right w:val="nil"/>
              <w:insideV w:val="nil"/>
              <w:tl2br w:val="nil"/>
              <w:tr2bl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6</w:t>
            </w:r>
            <w:r>
              <w:rPr>
                <w:rFonts w:ascii="仿宋" w:hAnsi="仿宋" w:eastAsia="仿宋" w:cs="Times New Roman"/>
                <w:kern w:val="0"/>
                <w:sz w:val="18"/>
                <w:szCs w:val="18"/>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p>
        </w:tc>
        <w:tc>
          <w:tcPr>
            <w:tcW w:w="2004" w:type="pct"/>
            <w:gridSpan w:val="3"/>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hint="eastAsia" w:ascii="仿宋" w:hAnsi="仿宋" w:eastAsia="仿宋" w:cs="Times New Roman"/>
                <w:kern w:val="0"/>
                <w:sz w:val="18"/>
                <w:szCs w:val="18"/>
              </w:rPr>
              <w:t>相邻县</w:t>
            </w:r>
          </w:p>
        </w:tc>
        <w:tc>
          <w:tcPr>
            <w:tcW w:w="1997" w:type="pct"/>
            <w:gridSpan w:val="3"/>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hint="eastAsia" w:ascii="仿宋" w:hAnsi="仿宋" w:eastAsia="仿宋" w:cs="Times New Roman"/>
                <w:kern w:val="0"/>
                <w:sz w:val="18"/>
                <w:szCs w:val="18"/>
              </w:rPr>
              <w:t>距离最近县</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tcBorders>
              <w:top w:val="nil"/>
              <w:left w:val="nil"/>
              <w:bottom w:val="single" w:color="auto" w:sz="4" w:space="0"/>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p>
        </w:tc>
        <w:tc>
          <w:tcPr>
            <w:tcW w:w="669" w:type="pct"/>
            <w:tcBorders>
              <w:top w:val="nil"/>
              <w:left w:val="nil"/>
              <w:bottom w:val="single" w:color="auto" w:sz="4" w:space="0"/>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高中入学率</w:t>
            </w:r>
          </w:p>
        </w:tc>
        <w:tc>
          <w:tcPr>
            <w:tcW w:w="668" w:type="pct"/>
            <w:tcBorders>
              <w:top w:val="nil"/>
              <w:left w:val="nil"/>
              <w:bottom w:val="single" w:color="auto" w:sz="4" w:space="0"/>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大学入学率</w:t>
            </w:r>
          </w:p>
        </w:tc>
        <w:tc>
          <w:tcPr>
            <w:tcW w:w="667" w:type="pct"/>
            <w:tcBorders>
              <w:top w:val="nil"/>
              <w:left w:val="nil"/>
              <w:bottom w:val="single" w:color="auto" w:sz="4" w:space="0"/>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受教育年限</w:t>
            </w:r>
          </w:p>
        </w:tc>
        <w:tc>
          <w:tcPr>
            <w:tcW w:w="666" w:type="pct"/>
            <w:tcBorders>
              <w:top w:val="nil"/>
              <w:left w:val="nil"/>
              <w:bottom w:val="single" w:color="auto" w:sz="4" w:space="0"/>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高中入学率</w:t>
            </w:r>
          </w:p>
        </w:tc>
        <w:tc>
          <w:tcPr>
            <w:tcW w:w="666" w:type="pct"/>
            <w:tcBorders>
              <w:top w:val="nil"/>
              <w:left w:val="nil"/>
              <w:bottom w:val="single" w:color="auto" w:sz="4" w:space="0"/>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大学入学率</w:t>
            </w:r>
          </w:p>
        </w:tc>
        <w:tc>
          <w:tcPr>
            <w:tcW w:w="665" w:type="pct"/>
            <w:tcBorders>
              <w:top w:val="nil"/>
              <w:left w:val="nil"/>
              <w:bottom w:val="single" w:color="auto" w:sz="4" w:space="0"/>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受教育年限</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tcBorders>
              <w:top w:val="single" w:color="auto" w:sz="4" w:space="0"/>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i/>
                <w:iCs/>
                <w:kern w:val="0"/>
                <w:sz w:val="18"/>
                <w:szCs w:val="18"/>
              </w:rPr>
            </w:pPr>
            <m:oMathPara>
              <m:oMath>
                <m:sSub>
                  <m:sSubPr>
                    <m:ctrlPr>
                      <w:rPr>
                        <w:rFonts w:ascii="Cambria Math" w:hAnsi="Cambria Math" w:eastAsia="仿宋" w:cs="Times New Roman"/>
                        <w:i/>
                        <w:iCs/>
                        <w:kern w:val="0"/>
                        <w:sz w:val="18"/>
                        <w:szCs w:val="18"/>
                      </w:rPr>
                    </m:ctrlPr>
                  </m:sSubPr>
                  <m:e>
                    <m:r>
                      <m:rPr/>
                      <w:rPr>
                        <w:rFonts w:ascii="Cambria Math" w:hAnsi="Cambria Math" w:eastAsia="仿宋" w:cs="Times New Roman"/>
                        <w:kern w:val="0"/>
                        <w:sz w:val="18"/>
                        <w:szCs w:val="18"/>
                      </w:rPr>
                      <m:t>Treat</m:t>
                    </m:r>
                    <m:ctrlPr>
                      <w:rPr>
                        <w:rFonts w:ascii="Cambria Math" w:hAnsi="Cambria Math" w:eastAsia="仿宋" w:cs="Times New Roman"/>
                        <w:i/>
                        <w:iCs/>
                        <w:kern w:val="0"/>
                        <w:sz w:val="18"/>
                        <w:szCs w:val="18"/>
                      </w:rPr>
                    </m:ctrlPr>
                  </m:e>
                  <m:sub>
                    <m:r>
                      <m:rPr/>
                      <w:rPr>
                        <w:rFonts w:ascii="Cambria Math" w:hAnsi="Cambria Math" w:eastAsia="仿宋" w:cs="Times New Roman"/>
                        <w:kern w:val="0"/>
                        <w:sz w:val="18"/>
                        <w:szCs w:val="18"/>
                      </w:rPr>
                      <m:t>c</m:t>
                    </m:r>
                    <m:ctrlPr>
                      <w:rPr>
                        <w:rFonts w:ascii="Cambria Math" w:hAnsi="Cambria Math" w:eastAsia="仿宋" w:cs="Times New Roman"/>
                        <w:i/>
                        <w:iCs/>
                        <w:kern w:val="0"/>
                        <w:sz w:val="18"/>
                        <w:szCs w:val="18"/>
                      </w:rPr>
                    </m:ctrlPr>
                  </m:sub>
                </m:sSub>
                <m:r>
                  <m:rPr/>
                  <w:rPr>
                    <w:rFonts w:ascii="Cambria Math" w:hAnsi="Cambria Math" w:eastAsia="仿宋" w:cs="Times New Roman"/>
                    <w:kern w:val="0"/>
                    <w:sz w:val="18"/>
                    <w:szCs w:val="18"/>
                  </w:rPr>
                  <m:t>×</m:t>
                </m:r>
                <m:sSub>
                  <m:sSubPr>
                    <m:ctrlPr>
                      <w:rPr>
                        <w:rFonts w:ascii="Cambria Math" w:hAnsi="Cambria Math" w:eastAsia="仿宋" w:cs="Times New Roman"/>
                        <w:i/>
                        <w:iCs/>
                        <w:kern w:val="0"/>
                        <w:sz w:val="18"/>
                        <w:szCs w:val="18"/>
                      </w:rPr>
                    </m:ctrlPr>
                  </m:sSubPr>
                  <m:e>
                    <m:r>
                      <m:rPr/>
                      <w:rPr>
                        <w:rFonts w:ascii="Cambria Math" w:hAnsi="Cambria Math" w:eastAsia="仿宋" w:cs="Times New Roman"/>
                        <w:kern w:val="0"/>
                        <w:sz w:val="18"/>
                        <w:szCs w:val="18"/>
                      </w:rPr>
                      <m:t>Post</m:t>
                    </m:r>
                    <m:ctrlPr>
                      <w:rPr>
                        <w:rFonts w:ascii="Cambria Math" w:hAnsi="Cambria Math" w:eastAsia="仿宋" w:cs="Times New Roman"/>
                        <w:i/>
                        <w:iCs/>
                        <w:kern w:val="0"/>
                        <w:sz w:val="18"/>
                        <w:szCs w:val="18"/>
                      </w:rPr>
                    </m:ctrlPr>
                  </m:e>
                  <m:sub>
                    <m:r>
                      <m:rPr/>
                      <w:rPr>
                        <w:rFonts w:ascii="Cambria Math" w:hAnsi="Cambria Math" w:eastAsia="仿宋" w:cs="Times New Roman"/>
                        <w:kern w:val="0"/>
                        <w:sz w:val="18"/>
                        <w:szCs w:val="18"/>
                      </w:rPr>
                      <m:t>t</m:t>
                    </m:r>
                    <m:ctrlPr>
                      <w:rPr>
                        <w:rFonts w:ascii="Cambria Math" w:hAnsi="Cambria Math" w:eastAsia="仿宋" w:cs="Times New Roman"/>
                        <w:i/>
                        <w:iCs/>
                        <w:kern w:val="0"/>
                        <w:sz w:val="18"/>
                        <w:szCs w:val="18"/>
                      </w:rPr>
                    </m:ctrlPr>
                  </m:sub>
                </m:sSub>
              </m:oMath>
            </m:oMathPara>
          </w:p>
        </w:tc>
        <w:tc>
          <w:tcPr>
            <w:tcW w:w="669" w:type="pct"/>
            <w:tcBorders>
              <w:top w:val="single" w:color="auto" w:sz="4" w:space="0"/>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0.0208***</w:t>
            </w:r>
          </w:p>
        </w:tc>
        <w:tc>
          <w:tcPr>
            <w:tcW w:w="668" w:type="pct"/>
            <w:tcBorders>
              <w:top w:val="single" w:color="auto" w:sz="4" w:space="0"/>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0.0463***</w:t>
            </w:r>
          </w:p>
        </w:tc>
        <w:tc>
          <w:tcPr>
            <w:tcW w:w="667" w:type="pct"/>
            <w:tcBorders>
              <w:top w:val="single" w:color="auto" w:sz="4" w:space="0"/>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0.1698***</w:t>
            </w:r>
          </w:p>
        </w:tc>
        <w:tc>
          <w:tcPr>
            <w:tcW w:w="666" w:type="pct"/>
            <w:tcBorders>
              <w:top w:val="single" w:color="auto" w:sz="4" w:space="0"/>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hint="eastAsia" w:ascii="Times New Roman" w:hAnsi="Times New Roman" w:eastAsia="宋体" w:cs="Times New Roman"/>
                <w:kern w:val="0"/>
                <w:sz w:val="18"/>
                <w:szCs w:val="18"/>
              </w:rPr>
              <w:t>0.0375***</w:t>
            </w:r>
          </w:p>
        </w:tc>
        <w:tc>
          <w:tcPr>
            <w:tcW w:w="666" w:type="pct"/>
            <w:tcBorders>
              <w:top w:val="single" w:color="auto" w:sz="4" w:space="0"/>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hint="eastAsia" w:ascii="Times New Roman" w:hAnsi="Times New Roman" w:eastAsia="宋体" w:cs="Times New Roman"/>
                <w:kern w:val="0"/>
                <w:sz w:val="18"/>
                <w:szCs w:val="18"/>
              </w:rPr>
              <w:t>0.0407***</w:t>
            </w:r>
          </w:p>
        </w:tc>
        <w:tc>
          <w:tcPr>
            <w:tcW w:w="665" w:type="pct"/>
            <w:tcBorders>
              <w:top w:val="single" w:color="auto" w:sz="4" w:space="0"/>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hint="eastAsia" w:ascii="Times New Roman" w:hAnsi="Times New Roman" w:eastAsia="宋体" w:cs="Times New Roman"/>
                <w:kern w:val="0"/>
                <w:sz w:val="18"/>
                <w:szCs w:val="18"/>
              </w:rPr>
              <w:t>0.2593***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p>
        </w:tc>
        <w:tc>
          <w:tcPr>
            <w:tcW w:w="669" w:type="pct"/>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(0.0055)</w:t>
            </w:r>
          </w:p>
        </w:tc>
        <w:tc>
          <w:tcPr>
            <w:tcW w:w="668" w:type="pct"/>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(0.0063)</w:t>
            </w:r>
          </w:p>
        </w:tc>
        <w:tc>
          <w:tcPr>
            <w:tcW w:w="667" w:type="pct"/>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(0.0358)</w:t>
            </w:r>
          </w:p>
        </w:tc>
        <w:tc>
          <w:tcPr>
            <w:tcW w:w="666" w:type="pct"/>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hint="eastAsia" w:ascii="Times New Roman" w:hAnsi="Times New Roman" w:eastAsia="宋体" w:cs="Times New Roman"/>
                <w:kern w:val="0"/>
                <w:sz w:val="18"/>
                <w:szCs w:val="18"/>
              </w:rPr>
              <w:t>(0.0060)</w:t>
            </w:r>
          </w:p>
        </w:tc>
        <w:tc>
          <w:tcPr>
            <w:tcW w:w="666" w:type="pct"/>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hint="eastAsia" w:ascii="Times New Roman" w:hAnsi="Times New Roman" w:eastAsia="宋体" w:cs="Times New Roman"/>
                <w:kern w:val="0"/>
                <w:sz w:val="18"/>
                <w:szCs w:val="18"/>
              </w:rPr>
              <w:t>(0.0092)</w:t>
            </w:r>
          </w:p>
        </w:tc>
        <w:tc>
          <w:tcPr>
            <w:tcW w:w="665" w:type="pct"/>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hint="eastAsia" w:ascii="Times New Roman" w:hAnsi="Times New Roman" w:eastAsia="宋体" w:cs="Times New Roman"/>
                <w:kern w:val="0"/>
                <w:sz w:val="18"/>
                <w:szCs w:val="18"/>
              </w:rPr>
              <w:t>(0.0509)</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控制变量</w:t>
            </w:r>
          </w:p>
        </w:tc>
        <w:tc>
          <w:tcPr>
            <w:tcW w:w="669" w:type="pct"/>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68" w:type="pct"/>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67" w:type="pct"/>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66" w:type="pct"/>
            <w:tcBorders>
              <w:top w:val="nil"/>
              <w:left w:val="nil"/>
              <w:bottom w:val="nil"/>
              <w:right w:val="nil"/>
            </w:tcBorders>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宋体" w:cs="Times New Roman"/>
                <w:kern w:val="0"/>
                <w:sz w:val="20"/>
                <w:szCs w:val="20"/>
              </w:rPr>
              <w:t>Yes</w:t>
            </w:r>
          </w:p>
        </w:tc>
        <w:tc>
          <w:tcPr>
            <w:tcW w:w="666" w:type="pct"/>
            <w:tcBorders>
              <w:top w:val="nil"/>
              <w:left w:val="nil"/>
              <w:bottom w:val="nil"/>
              <w:right w:val="nil"/>
            </w:tcBorders>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宋体" w:cs="Times New Roman"/>
                <w:kern w:val="0"/>
                <w:sz w:val="20"/>
                <w:szCs w:val="20"/>
              </w:rPr>
              <w:t>Yes</w:t>
            </w:r>
          </w:p>
        </w:tc>
        <w:tc>
          <w:tcPr>
            <w:tcW w:w="665" w:type="pct"/>
            <w:tcBorders>
              <w:top w:val="nil"/>
              <w:left w:val="nil"/>
              <w:bottom w:val="nil"/>
              <w:right w:val="nil"/>
            </w:tcBorders>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宋体" w:cs="Times New Roman"/>
                <w:kern w:val="0"/>
                <w:sz w:val="20"/>
                <w:szCs w:val="20"/>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出生年份固定效应</w:t>
            </w:r>
          </w:p>
        </w:tc>
        <w:tc>
          <w:tcPr>
            <w:tcW w:w="669" w:type="pct"/>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68" w:type="pct"/>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67" w:type="pct"/>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66" w:type="pct"/>
            <w:tcBorders>
              <w:top w:val="nil"/>
              <w:left w:val="nil"/>
              <w:bottom w:val="nil"/>
              <w:right w:val="nil"/>
            </w:tcBorders>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宋体" w:cs="Times New Roman"/>
                <w:kern w:val="0"/>
                <w:sz w:val="20"/>
                <w:szCs w:val="20"/>
              </w:rPr>
              <w:t>Yes</w:t>
            </w:r>
          </w:p>
        </w:tc>
        <w:tc>
          <w:tcPr>
            <w:tcW w:w="666" w:type="pct"/>
            <w:tcBorders>
              <w:top w:val="nil"/>
              <w:left w:val="nil"/>
              <w:bottom w:val="nil"/>
              <w:right w:val="nil"/>
            </w:tcBorders>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宋体" w:cs="Times New Roman"/>
                <w:kern w:val="0"/>
                <w:sz w:val="20"/>
                <w:szCs w:val="20"/>
              </w:rPr>
              <w:t>Yes</w:t>
            </w:r>
          </w:p>
        </w:tc>
        <w:tc>
          <w:tcPr>
            <w:tcW w:w="665" w:type="pct"/>
            <w:tcBorders>
              <w:top w:val="nil"/>
              <w:left w:val="nil"/>
              <w:bottom w:val="nil"/>
              <w:right w:val="nil"/>
            </w:tcBorders>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宋体" w:cs="Times New Roman"/>
                <w:kern w:val="0"/>
                <w:sz w:val="20"/>
                <w:szCs w:val="20"/>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区县固定效应</w:t>
            </w:r>
          </w:p>
        </w:tc>
        <w:tc>
          <w:tcPr>
            <w:tcW w:w="669" w:type="pct"/>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68" w:type="pct"/>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67" w:type="pct"/>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66" w:type="pct"/>
            <w:tcBorders>
              <w:top w:val="nil"/>
              <w:left w:val="nil"/>
              <w:bottom w:val="nil"/>
              <w:right w:val="nil"/>
            </w:tcBorders>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宋体" w:cs="Times New Roman"/>
                <w:kern w:val="0"/>
                <w:sz w:val="20"/>
                <w:szCs w:val="20"/>
              </w:rPr>
              <w:t>Yes</w:t>
            </w:r>
          </w:p>
        </w:tc>
        <w:tc>
          <w:tcPr>
            <w:tcW w:w="666" w:type="pct"/>
            <w:tcBorders>
              <w:top w:val="nil"/>
              <w:left w:val="nil"/>
              <w:bottom w:val="nil"/>
              <w:right w:val="nil"/>
            </w:tcBorders>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宋体" w:cs="Times New Roman"/>
                <w:kern w:val="0"/>
                <w:sz w:val="20"/>
                <w:szCs w:val="20"/>
              </w:rPr>
              <w:t>Yes</w:t>
            </w:r>
          </w:p>
        </w:tc>
        <w:tc>
          <w:tcPr>
            <w:tcW w:w="665" w:type="pct"/>
            <w:tcBorders>
              <w:top w:val="nil"/>
              <w:left w:val="nil"/>
              <w:bottom w:val="nil"/>
              <w:right w:val="nil"/>
            </w:tcBorders>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宋体" w:cs="Times New Roman"/>
                <w:kern w:val="0"/>
                <w:sz w:val="20"/>
                <w:szCs w:val="20"/>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tcBorders>
              <w:top w:val="nil"/>
              <w:left w:val="nil"/>
              <w:bottom w:val="single" w:color="auto" w:sz="4" w:space="0"/>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年份</w:t>
            </w:r>
            <w:r>
              <w:rPr>
                <w:rFonts w:ascii="Times New Roman" w:hAnsi="Times New Roman" w:eastAsia="仿宋" w:cs="Times New Roman"/>
                <w:kern w:val="0"/>
                <w:sz w:val="18"/>
                <w:szCs w:val="18"/>
              </w:rPr>
              <w:t>×</w:t>
            </w:r>
            <w:r>
              <w:rPr>
                <w:rFonts w:ascii="仿宋" w:hAnsi="仿宋" w:eastAsia="仿宋" w:cs="Times New Roman"/>
                <w:kern w:val="0"/>
                <w:sz w:val="18"/>
                <w:szCs w:val="18"/>
              </w:rPr>
              <w:t>市固定效应</w:t>
            </w:r>
          </w:p>
        </w:tc>
        <w:tc>
          <w:tcPr>
            <w:tcW w:w="669" w:type="pct"/>
            <w:tcBorders>
              <w:top w:val="nil"/>
              <w:left w:val="nil"/>
              <w:bottom w:val="single" w:color="auto" w:sz="4" w:space="0"/>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68" w:type="pct"/>
            <w:tcBorders>
              <w:top w:val="nil"/>
              <w:left w:val="nil"/>
              <w:bottom w:val="single" w:color="auto" w:sz="4" w:space="0"/>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67" w:type="pct"/>
            <w:tcBorders>
              <w:top w:val="nil"/>
              <w:left w:val="nil"/>
              <w:bottom w:val="single" w:color="auto" w:sz="4" w:space="0"/>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666" w:type="pct"/>
            <w:tcBorders>
              <w:top w:val="nil"/>
              <w:left w:val="nil"/>
              <w:bottom w:val="single" w:color="auto" w:sz="4" w:space="0"/>
              <w:right w:val="nil"/>
            </w:tcBorders>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宋体" w:cs="Times New Roman"/>
                <w:kern w:val="0"/>
                <w:sz w:val="20"/>
                <w:szCs w:val="20"/>
              </w:rPr>
              <w:t>Yes</w:t>
            </w:r>
          </w:p>
        </w:tc>
        <w:tc>
          <w:tcPr>
            <w:tcW w:w="666" w:type="pct"/>
            <w:tcBorders>
              <w:top w:val="nil"/>
              <w:left w:val="nil"/>
              <w:bottom w:val="single" w:color="auto" w:sz="4" w:space="0"/>
              <w:right w:val="nil"/>
            </w:tcBorders>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宋体" w:cs="Times New Roman"/>
                <w:kern w:val="0"/>
                <w:sz w:val="20"/>
                <w:szCs w:val="20"/>
              </w:rPr>
              <w:t>Yes</w:t>
            </w:r>
          </w:p>
        </w:tc>
        <w:tc>
          <w:tcPr>
            <w:tcW w:w="665" w:type="pct"/>
            <w:tcBorders>
              <w:top w:val="nil"/>
              <w:left w:val="nil"/>
              <w:bottom w:val="single" w:color="auto" w:sz="4" w:space="0"/>
              <w:right w:val="nil"/>
            </w:tcBorders>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宋体" w:cs="Times New Roman"/>
                <w:kern w:val="0"/>
                <w:sz w:val="20"/>
                <w:szCs w:val="20"/>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tcBorders>
              <w:top w:val="single" w:color="auto" w:sz="4" w:space="0"/>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仿宋" w:hAnsi="仿宋" w:eastAsia="仿宋" w:cs="Times New Roman"/>
                <w:kern w:val="0"/>
                <w:sz w:val="18"/>
                <w:szCs w:val="18"/>
              </w:rPr>
              <w:t>观测值</w:t>
            </w:r>
          </w:p>
        </w:tc>
        <w:tc>
          <w:tcPr>
            <w:tcW w:w="669" w:type="pct"/>
            <w:tcBorders>
              <w:top w:val="single" w:color="auto" w:sz="4" w:space="0"/>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279781</w:t>
            </w:r>
          </w:p>
        </w:tc>
        <w:tc>
          <w:tcPr>
            <w:tcW w:w="668" w:type="pct"/>
            <w:tcBorders>
              <w:top w:val="single" w:color="auto" w:sz="4" w:space="0"/>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279781</w:t>
            </w:r>
          </w:p>
        </w:tc>
        <w:tc>
          <w:tcPr>
            <w:tcW w:w="667" w:type="pct"/>
            <w:tcBorders>
              <w:top w:val="single" w:color="auto" w:sz="4" w:space="0"/>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279781</w:t>
            </w:r>
          </w:p>
        </w:tc>
        <w:tc>
          <w:tcPr>
            <w:tcW w:w="666" w:type="pct"/>
            <w:tcBorders>
              <w:top w:val="single" w:color="auto" w:sz="4" w:space="0"/>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宋体" w:cs="Times New Roman"/>
                <w:kern w:val="0"/>
                <w:sz w:val="20"/>
                <w:szCs w:val="20"/>
              </w:rPr>
              <w:t>2</w:t>
            </w:r>
            <w:r>
              <w:rPr>
                <w:rFonts w:hint="eastAsia" w:ascii="Times New Roman" w:hAnsi="Times New Roman" w:eastAsia="宋体" w:cs="Times New Roman"/>
                <w:kern w:val="0"/>
                <w:sz w:val="20"/>
                <w:szCs w:val="20"/>
              </w:rPr>
              <w:t>58375</w:t>
            </w:r>
          </w:p>
        </w:tc>
        <w:tc>
          <w:tcPr>
            <w:tcW w:w="666" w:type="pct"/>
            <w:tcBorders>
              <w:top w:val="single" w:color="auto" w:sz="4" w:space="0"/>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宋体" w:cs="Times New Roman"/>
                <w:kern w:val="0"/>
                <w:sz w:val="20"/>
                <w:szCs w:val="20"/>
              </w:rPr>
              <w:t>2</w:t>
            </w:r>
            <w:r>
              <w:rPr>
                <w:rFonts w:hint="eastAsia" w:ascii="Times New Roman" w:hAnsi="Times New Roman" w:eastAsia="宋体" w:cs="Times New Roman"/>
                <w:kern w:val="0"/>
                <w:sz w:val="20"/>
                <w:szCs w:val="20"/>
              </w:rPr>
              <w:t>58375</w:t>
            </w:r>
          </w:p>
        </w:tc>
        <w:tc>
          <w:tcPr>
            <w:tcW w:w="665" w:type="pct"/>
            <w:tcBorders>
              <w:top w:val="single" w:color="auto" w:sz="4" w:space="0"/>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宋体" w:cs="Times New Roman"/>
                <w:kern w:val="0"/>
                <w:sz w:val="20"/>
                <w:szCs w:val="20"/>
              </w:rPr>
              <w:t>2</w:t>
            </w:r>
            <w:r>
              <w:rPr>
                <w:rFonts w:hint="eastAsia" w:ascii="Times New Roman" w:hAnsi="Times New Roman" w:eastAsia="宋体" w:cs="Times New Roman"/>
                <w:kern w:val="0"/>
                <w:sz w:val="20"/>
                <w:szCs w:val="20"/>
              </w:rPr>
              <w:t>58375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999" w:type="pct"/>
            <w:tcBorders>
              <w:top w:val="nil"/>
              <w:left w:val="nil"/>
              <w:bottom w:val="single" w:color="auto" w:sz="12" w:space="0"/>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R</w:t>
            </w:r>
            <w:r>
              <w:rPr>
                <w:rFonts w:ascii="Times New Roman" w:hAnsi="Times New Roman" w:eastAsia="仿宋" w:cs="Times New Roman"/>
                <w:kern w:val="0"/>
                <w:sz w:val="18"/>
                <w:szCs w:val="18"/>
                <w:vertAlign w:val="superscript"/>
              </w:rPr>
              <w:t>2</w:t>
            </w:r>
          </w:p>
        </w:tc>
        <w:tc>
          <w:tcPr>
            <w:tcW w:w="669" w:type="pct"/>
            <w:tcBorders>
              <w:top w:val="nil"/>
              <w:left w:val="nil"/>
              <w:bottom w:val="single" w:color="auto" w:sz="12" w:space="0"/>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0.334</w:t>
            </w:r>
          </w:p>
        </w:tc>
        <w:tc>
          <w:tcPr>
            <w:tcW w:w="668" w:type="pct"/>
            <w:tcBorders>
              <w:top w:val="nil"/>
              <w:left w:val="nil"/>
              <w:bottom w:val="single" w:color="auto" w:sz="12" w:space="0"/>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0.309</w:t>
            </w:r>
          </w:p>
        </w:tc>
        <w:tc>
          <w:tcPr>
            <w:tcW w:w="667" w:type="pct"/>
            <w:tcBorders>
              <w:top w:val="nil"/>
              <w:left w:val="nil"/>
              <w:bottom w:val="single" w:color="auto" w:sz="12" w:space="0"/>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0.391</w:t>
            </w:r>
          </w:p>
        </w:tc>
        <w:tc>
          <w:tcPr>
            <w:tcW w:w="666" w:type="pct"/>
            <w:tcBorders>
              <w:top w:val="nil"/>
              <w:left w:val="nil"/>
              <w:bottom w:val="single" w:color="auto" w:sz="12" w:space="0"/>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hint="eastAsia" w:ascii="Times New Roman" w:hAnsi="Times New Roman" w:eastAsia="宋体" w:cs="Times New Roman"/>
                <w:kern w:val="0"/>
                <w:sz w:val="20"/>
                <w:szCs w:val="20"/>
              </w:rPr>
              <w:t>0.382</w:t>
            </w:r>
          </w:p>
        </w:tc>
        <w:tc>
          <w:tcPr>
            <w:tcW w:w="666" w:type="pct"/>
            <w:tcBorders>
              <w:top w:val="nil"/>
              <w:left w:val="nil"/>
              <w:bottom w:val="single" w:color="auto" w:sz="12" w:space="0"/>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hint="eastAsia" w:ascii="Times New Roman" w:hAnsi="Times New Roman" w:eastAsia="宋体" w:cs="Times New Roman"/>
                <w:kern w:val="0"/>
                <w:sz w:val="20"/>
                <w:szCs w:val="20"/>
              </w:rPr>
              <w:t>0.334</w:t>
            </w:r>
          </w:p>
        </w:tc>
        <w:tc>
          <w:tcPr>
            <w:tcW w:w="665" w:type="pct"/>
            <w:tcBorders>
              <w:top w:val="nil"/>
              <w:left w:val="nil"/>
              <w:bottom w:val="single" w:color="auto" w:sz="12" w:space="0"/>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hint="eastAsia" w:ascii="Times New Roman" w:hAnsi="Times New Roman" w:eastAsia="宋体" w:cs="Times New Roman"/>
                <w:kern w:val="0"/>
                <w:sz w:val="20"/>
                <w:szCs w:val="20"/>
              </w:rPr>
              <w:t>0.467</w:t>
            </w:r>
          </w:p>
        </w:tc>
      </w:tr>
    </w:tbl>
    <w:p>
      <w:pPr>
        <w:ind w:firstLine="360" w:firstLineChars="200"/>
        <w:rPr>
          <w:rFonts w:ascii="Times New Roman" w:hAnsi="Times New Roman" w:eastAsia="仿宋" w:cs="Times New Roman"/>
          <w:kern w:val="0"/>
          <w:sz w:val="18"/>
          <w:szCs w:val="18"/>
        </w:rPr>
      </w:pPr>
      <w:r>
        <w:rPr>
          <w:rFonts w:ascii="仿宋" w:hAnsi="仿宋" w:eastAsia="仿宋" w:cs="Times New Roman"/>
          <w:kern w:val="0"/>
          <w:sz w:val="18"/>
          <w:szCs w:val="18"/>
        </w:rPr>
        <w:t>注：括号中的数值为在县级层面聚类的稳健标准误；</w:t>
      </w:r>
      <w:r>
        <w:rPr>
          <w:rFonts w:ascii="Times New Roman" w:hAnsi="Times New Roman" w:eastAsia="仿宋" w:cs="Times New Roman"/>
          <w:kern w:val="0"/>
          <w:sz w:val="18"/>
          <w:szCs w:val="18"/>
        </w:rPr>
        <w:t>***</w:t>
      </w:r>
      <w:r>
        <w:rPr>
          <w:rFonts w:ascii="仿宋" w:hAnsi="仿宋" w:eastAsia="仿宋" w:cs="Times New Roman"/>
          <w:kern w:val="0"/>
          <w:sz w:val="18"/>
          <w:szCs w:val="18"/>
        </w:rPr>
        <w:t>、</w:t>
      </w:r>
      <w:r>
        <w:rPr>
          <w:rFonts w:ascii="Times New Roman" w:hAnsi="Times New Roman" w:eastAsia="仿宋" w:cs="Times New Roman"/>
          <w:kern w:val="0"/>
          <w:sz w:val="18"/>
          <w:szCs w:val="18"/>
        </w:rPr>
        <w:t>**</w:t>
      </w:r>
      <w:r>
        <w:rPr>
          <w:rFonts w:ascii="仿宋" w:hAnsi="仿宋" w:eastAsia="仿宋" w:cs="Times New Roman"/>
          <w:kern w:val="0"/>
          <w:sz w:val="18"/>
          <w:szCs w:val="18"/>
        </w:rPr>
        <w:t>和</w:t>
      </w:r>
      <w:r>
        <w:rPr>
          <w:rFonts w:ascii="Times New Roman" w:hAnsi="Times New Roman" w:eastAsia="仿宋" w:cs="Times New Roman"/>
          <w:kern w:val="0"/>
          <w:sz w:val="18"/>
          <w:szCs w:val="18"/>
        </w:rPr>
        <w:t>*</w:t>
      </w:r>
      <w:r>
        <w:rPr>
          <w:rFonts w:ascii="仿宋" w:hAnsi="仿宋" w:eastAsia="仿宋" w:cs="Times New Roman"/>
          <w:kern w:val="0"/>
          <w:sz w:val="18"/>
          <w:szCs w:val="18"/>
        </w:rPr>
        <w:t>分别表示在</w:t>
      </w:r>
      <w:r>
        <w:rPr>
          <w:rFonts w:ascii="Times New Roman" w:hAnsi="Times New Roman" w:eastAsia="仿宋" w:cs="Times New Roman"/>
          <w:kern w:val="0"/>
          <w:sz w:val="18"/>
          <w:szCs w:val="18"/>
        </w:rPr>
        <w:t>1%</w:t>
      </w:r>
      <w:r>
        <w:rPr>
          <w:rFonts w:ascii="仿宋" w:hAnsi="仿宋" w:eastAsia="仿宋" w:cs="Times New Roman"/>
          <w:kern w:val="0"/>
          <w:sz w:val="18"/>
          <w:szCs w:val="18"/>
        </w:rPr>
        <w:t>、</w:t>
      </w:r>
      <w:r>
        <w:rPr>
          <w:rFonts w:ascii="Times New Roman" w:hAnsi="Times New Roman" w:eastAsia="仿宋" w:cs="Times New Roman"/>
          <w:kern w:val="0"/>
          <w:sz w:val="18"/>
          <w:szCs w:val="18"/>
        </w:rPr>
        <w:t>5%</w:t>
      </w:r>
      <w:r>
        <w:rPr>
          <w:rFonts w:ascii="仿宋" w:hAnsi="仿宋" w:eastAsia="仿宋" w:cs="Times New Roman"/>
          <w:kern w:val="0"/>
          <w:sz w:val="18"/>
          <w:szCs w:val="18"/>
        </w:rPr>
        <w:t>和</w:t>
      </w:r>
      <w:r>
        <w:rPr>
          <w:rFonts w:ascii="Times New Roman" w:hAnsi="Times New Roman" w:eastAsia="仿宋" w:cs="Times New Roman"/>
          <w:kern w:val="0"/>
          <w:sz w:val="18"/>
          <w:szCs w:val="18"/>
        </w:rPr>
        <w:t>10%</w:t>
      </w:r>
      <w:r>
        <w:rPr>
          <w:rFonts w:ascii="仿宋" w:hAnsi="仿宋" w:eastAsia="仿宋" w:cs="Times New Roman"/>
          <w:kern w:val="0"/>
          <w:sz w:val="18"/>
          <w:szCs w:val="18"/>
        </w:rPr>
        <w:t>置信度水平下显著。 控制变量包括个体的性别、民族、户口以及家庭规模。</w:t>
      </w:r>
    </w:p>
    <w:p>
      <w:pPr>
        <w:spacing w:line="380" w:lineRule="exact"/>
        <w:jc w:val="center"/>
        <w:rPr>
          <w:rFonts w:ascii="黑体" w:hAnsi="黑体" w:eastAsia="黑体" w:cs="Times New Roman"/>
          <w:bCs/>
          <w:sz w:val="18"/>
          <w:szCs w:val="18"/>
        </w:rPr>
      </w:pPr>
    </w:p>
    <w:p>
      <w:pPr>
        <w:spacing w:line="380" w:lineRule="exact"/>
        <w:jc w:val="center"/>
        <w:rPr>
          <w:rFonts w:ascii="黑体" w:hAnsi="黑体" w:eastAsia="黑体" w:cs="Times New Roman"/>
          <w:bCs/>
          <w:sz w:val="18"/>
          <w:szCs w:val="18"/>
        </w:rPr>
      </w:pPr>
    </w:p>
    <w:p>
      <w:pPr>
        <w:spacing w:line="380" w:lineRule="exact"/>
        <w:jc w:val="center"/>
        <w:rPr>
          <w:rFonts w:ascii="黑体" w:hAnsi="黑体" w:eastAsia="黑体" w:cs="Times New Roman"/>
          <w:bCs/>
          <w:sz w:val="18"/>
          <w:szCs w:val="18"/>
        </w:rPr>
      </w:pPr>
    </w:p>
    <w:p>
      <w:pPr>
        <w:spacing w:line="380" w:lineRule="exact"/>
        <w:jc w:val="center"/>
        <w:rPr>
          <w:rFonts w:ascii="黑体" w:hAnsi="黑体" w:eastAsia="黑体" w:cs="Times New Roman"/>
          <w:bCs/>
          <w:sz w:val="18"/>
          <w:szCs w:val="18"/>
        </w:rPr>
      </w:pPr>
    </w:p>
    <w:p>
      <w:pPr>
        <w:spacing w:line="380" w:lineRule="exact"/>
        <w:jc w:val="center"/>
        <w:rPr>
          <w:rFonts w:ascii="黑体" w:hAnsi="黑体" w:eastAsia="黑体" w:cs="Times New Roman"/>
          <w:bCs/>
          <w:sz w:val="18"/>
          <w:szCs w:val="18"/>
        </w:rPr>
      </w:pPr>
    </w:p>
    <w:p>
      <w:pPr>
        <w:rPr>
          <w:rFonts w:hint="eastAsia" w:ascii="黑体" w:hAnsi="黑体" w:eastAsia="黑体" w:cs="Times New Roman"/>
          <w:bCs/>
          <w:sz w:val="18"/>
          <w:szCs w:val="18"/>
        </w:rPr>
      </w:pPr>
      <w:r>
        <w:rPr>
          <w:rFonts w:hint="eastAsia" w:ascii="黑体" w:hAnsi="黑体" w:eastAsia="黑体" w:cs="Times New Roman"/>
          <w:bCs/>
          <w:sz w:val="18"/>
          <w:szCs w:val="18"/>
        </w:rPr>
        <w:br w:type="page"/>
      </w:r>
    </w:p>
    <w:p>
      <w:pPr>
        <w:spacing w:line="380" w:lineRule="exact"/>
        <w:jc w:val="center"/>
        <w:rPr>
          <w:rFonts w:hint="eastAsia" w:ascii="宋体" w:hAnsi="宋体" w:eastAsia="宋体" w:cs="宋体"/>
          <w:b/>
          <w:bCs w:val="0"/>
          <w:sz w:val="20"/>
          <w:szCs w:val="20"/>
          <w:lang w:val="en-US" w:eastAsia="zh-CN"/>
        </w:rPr>
      </w:pPr>
      <w:r>
        <w:rPr>
          <w:rFonts w:hint="eastAsia" w:ascii="宋体" w:hAnsi="宋体" w:eastAsia="宋体" w:cs="宋体"/>
          <w:b/>
          <w:bCs w:val="0"/>
          <w:sz w:val="20"/>
          <w:szCs w:val="20"/>
          <w:lang w:val="en-US" w:eastAsia="zh-CN"/>
        </w:rPr>
        <w:t>表A7  排除竞争性政策</w:t>
      </w:r>
    </w:p>
    <w:tbl>
      <w:tblPr>
        <w:tblStyle w:val="12"/>
        <w:tblW w:w="4998"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19"/>
        <w:gridCol w:w="1900"/>
        <w:gridCol w:w="1900"/>
        <w:gridCol w:w="1900"/>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single" w:color="auto" w:sz="12" w:space="0"/>
              <w:left w:val="nil"/>
              <w:bottom w:val="nil"/>
              <w:right w:val="nil"/>
              <w:insideV w:val="nil"/>
              <w:tl2br w:val="nil"/>
              <w:tr2bl w:val="nil"/>
            </w:tcBorders>
          </w:tcPr>
          <w:p>
            <w:pPr>
              <w:autoSpaceDE w:val="0"/>
              <w:autoSpaceDN w:val="0"/>
              <w:adjustRightInd w:val="0"/>
              <w:jc w:val="center"/>
              <w:rPr>
                <w:rFonts w:ascii="Times New Roman" w:hAnsi="Times New Roman" w:eastAsia="仿宋" w:cs="Times New Roman"/>
                <w:kern w:val="0"/>
                <w:sz w:val="18"/>
                <w:szCs w:val="18"/>
              </w:rPr>
            </w:pPr>
          </w:p>
        </w:tc>
        <w:tc>
          <w:tcPr>
            <w:tcW w:w="1115" w:type="pct"/>
            <w:tcBorders>
              <w:top w:val="single" w:color="auto" w:sz="12" w:space="0"/>
              <w:left w:val="nil"/>
              <w:bottom w:val="nil"/>
              <w:right w:val="nil"/>
              <w:insideV w:val="nil"/>
              <w:tl2br w:val="nil"/>
              <w:tr2bl w:val="nil"/>
            </w:tcBorders>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1</w:t>
            </w:r>
            <w:r>
              <w:rPr>
                <w:rFonts w:ascii="仿宋" w:hAnsi="仿宋" w:eastAsia="仿宋" w:cs="Times New Roman"/>
                <w:kern w:val="0"/>
                <w:sz w:val="18"/>
                <w:szCs w:val="18"/>
              </w:rPr>
              <w:t>）</w:t>
            </w:r>
          </w:p>
        </w:tc>
        <w:tc>
          <w:tcPr>
            <w:tcW w:w="1115" w:type="pct"/>
            <w:tcBorders>
              <w:top w:val="single" w:color="auto" w:sz="12" w:space="0"/>
              <w:left w:val="nil"/>
              <w:bottom w:val="nil"/>
              <w:right w:val="nil"/>
              <w:insideV w:val="nil"/>
              <w:tl2br w:val="nil"/>
              <w:tr2bl w:val="nil"/>
            </w:tcBorders>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2</w:t>
            </w:r>
            <w:r>
              <w:rPr>
                <w:rFonts w:ascii="仿宋" w:hAnsi="仿宋" w:eastAsia="仿宋" w:cs="Times New Roman"/>
                <w:kern w:val="0"/>
                <w:sz w:val="18"/>
                <w:szCs w:val="18"/>
              </w:rPr>
              <w:t>）</w:t>
            </w:r>
          </w:p>
        </w:tc>
        <w:tc>
          <w:tcPr>
            <w:tcW w:w="1115" w:type="pct"/>
            <w:tcBorders>
              <w:top w:val="single" w:color="auto" w:sz="12" w:space="0"/>
              <w:left w:val="nil"/>
              <w:bottom w:val="nil"/>
              <w:right w:val="nil"/>
              <w:insideV w:val="nil"/>
              <w:tl2br w:val="nil"/>
              <w:tr2bl w:val="nil"/>
            </w:tcBorders>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3</w:t>
            </w:r>
            <w:r>
              <w:rPr>
                <w:rFonts w:ascii="仿宋" w:hAnsi="仿宋" w:eastAsia="仿宋" w:cs="Times New Roman"/>
                <w:kern w:val="0"/>
                <w:sz w:val="18"/>
                <w:szCs w:val="18"/>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single" w:color="auto" w:sz="4" w:space="0"/>
              <w:right w:val="nil"/>
            </w:tcBorders>
          </w:tcPr>
          <w:p>
            <w:pPr>
              <w:autoSpaceDE w:val="0"/>
              <w:autoSpaceDN w:val="0"/>
              <w:adjustRightInd w:val="0"/>
              <w:jc w:val="center"/>
              <w:rPr>
                <w:rFonts w:ascii="Times New Roman" w:hAnsi="Times New Roman" w:eastAsia="仿宋" w:cs="Times New Roman"/>
                <w:kern w:val="0"/>
                <w:sz w:val="18"/>
                <w:szCs w:val="18"/>
              </w:rPr>
            </w:pPr>
          </w:p>
        </w:tc>
        <w:tc>
          <w:tcPr>
            <w:tcW w:w="1115" w:type="pct"/>
            <w:tcBorders>
              <w:top w:val="nil"/>
              <w:left w:val="nil"/>
              <w:bottom w:val="single" w:color="auto" w:sz="4" w:space="0"/>
              <w:right w:val="nil"/>
            </w:tcBorders>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高中入学率</w:t>
            </w:r>
          </w:p>
        </w:tc>
        <w:tc>
          <w:tcPr>
            <w:tcW w:w="1115" w:type="pct"/>
            <w:tcBorders>
              <w:top w:val="nil"/>
              <w:left w:val="nil"/>
              <w:bottom w:val="single" w:color="auto" w:sz="4" w:space="0"/>
              <w:right w:val="nil"/>
            </w:tcBorders>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大学入学率</w:t>
            </w:r>
          </w:p>
        </w:tc>
        <w:tc>
          <w:tcPr>
            <w:tcW w:w="1115" w:type="pct"/>
            <w:tcBorders>
              <w:top w:val="nil"/>
              <w:left w:val="nil"/>
              <w:bottom w:val="single" w:color="auto" w:sz="4" w:space="0"/>
              <w:right w:val="nil"/>
            </w:tcBorders>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受教育年限</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single" w:color="auto" w:sz="4" w:space="0"/>
              <w:right w:val="nil"/>
            </w:tcBorders>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 xml:space="preserve">Panel A </w:t>
            </w:r>
            <w:r>
              <w:rPr>
                <w:rFonts w:ascii="仿宋" w:hAnsi="仿宋" w:eastAsia="仿宋" w:cs="Times New Roman"/>
                <w:kern w:val="0"/>
                <w:sz w:val="18"/>
                <w:szCs w:val="18"/>
              </w:rPr>
              <w:t>排除义务教育工程</w:t>
            </w:r>
          </w:p>
        </w:tc>
        <w:tc>
          <w:tcPr>
            <w:tcW w:w="1115" w:type="pct"/>
            <w:tcBorders>
              <w:top w:val="nil"/>
              <w:left w:val="nil"/>
              <w:bottom w:val="single" w:color="auto" w:sz="4" w:space="0"/>
              <w:right w:val="nil"/>
            </w:tcBorders>
          </w:tcPr>
          <w:p>
            <w:pPr>
              <w:autoSpaceDE w:val="0"/>
              <w:autoSpaceDN w:val="0"/>
              <w:adjustRightInd w:val="0"/>
              <w:jc w:val="center"/>
              <w:rPr>
                <w:rFonts w:ascii="Times New Roman" w:hAnsi="Times New Roman" w:eastAsia="仿宋" w:cs="Times New Roman"/>
                <w:kern w:val="0"/>
                <w:sz w:val="18"/>
                <w:szCs w:val="18"/>
              </w:rPr>
            </w:pPr>
          </w:p>
        </w:tc>
        <w:tc>
          <w:tcPr>
            <w:tcW w:w="1115" w:type="pct"/>
            <w:tcBorders>
              <w:top w:val="nil"/>
              <w:left w:val="nil"/>
              <w:bottom w:val="single" w:color="auto" w:sz="4" w:space="0"/>
              <w:right w:val="nil"/>
            </w:tcBorders>
          </w:tcPr>
          <w:p>
            <w:pPr>
              <w:autoSpaceDE w:val="0"/>
              <w:autoSpaceDN w:val="0"/>
              <w:adjustRightInd w:val="0"/>
              <w:jc w:val="center"/>
              <w:rPr>
                <w:rFonts w:ascii="Times New Roman" w:hAnsi="Times New Roman" w:eastAsia="仿宋" w:cs="Times New Roman"/>
                <w:kern w:val="0"/>
                <w:sz w:val="18"/>
                <w:szCs w:val="18"/>
              </w:rPr>
            </w:pPr>
          </w:p>
        </w:tc>
        <w:tc>
          <w:tcPr>
            <w:tcW w:w="1115" w:type="pct"/>
            <w:tcBorders>
              <w:top w:val="nil"/>
              <w:left w:val="nil"/>
              <w:bottom w:val="single" w:color="auto" w:sz="4" w:space="0"/>
              <w:right w:val="nil"/>
            </w:tcBorders>
          </w:tcPr>
          <w:p>
            <w:pPr>
              <w:autoSpaceDE w:val="0"/>
              <w:autoSpaceDN w:val="0"/>
              <w:adjustRightInd w:val="0"/>
              <w:jc w:val="center"/>
              <w:rPr>
                <w:rFonts w:ascii="Times New Roman" w:hAnsi="Times New Roman" w:eastAsia="仿宋" w:cs="Times New Roman"/>
                <w:kern w:val="0"/>
                <w:sz w:val="18"/>
                <w:szCs w:val="18"/>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m:oMathPara>
              <m:oMath>
                <m:sSub>
                  <m:sSubPr>
                    <m:ctrlPr>
                      <w:rPr>
                        <w:rFonts w:ascii="Cambria Math" w:hAnsi="Cambria Math" w:eastAsia="仿宋" w:cs="Times New Roman"/>
                        <w:i/>
                        <w:iCs/>
                        <w:kern w:val="0"/>
                        <w:sz w:val="18"/>
                        <w:szCs w:val="18"/>
                      </w:rPr>
                    </m:ctrlPr>
                  </m:sSubPr>
                  <m:e>
                    <m:r>
                      <m:rPr/>
                      <w:rPr>
                        <w:rFonts w:ascii="Cambria Math" w:hAnsi="Cambria Math" w:eastAsia="仿宋" w:cs="Times New Roman"/>
                        <w:kern w:val="0"/>
                        <w:sz w:val="18"/>
                        <w:szCs w:val="18"/>
                      </w:rPr>
                      <m:t>Treat</m:t>
                    </m:r>
                    <m:ctrlPr>
                      <w:rPr>
                        <w:rFonts w:ascii="Cambria Math" w:hAnsi="Cambria Math" w:eastAsia="仿宋" w:cs="Times New Roman"/>
                        <w:i/>
                        <w:iCs/>
                        <w:kern w:val="0"/>
                        <w:sz w:val="18"/>
                        <w:szCs w:val="18"/>
                      </w:rPr>
                    </m:ctrlPr>
                  </m:e>
                  <m:sub>
                    <m:r>
                      <m:rPr/>
                      <w:rPr>
                        <w:rFonts w:ascii="Cambria Math" w:hAnsi="Cambria Math" w:eastAsia="仿宋" w:cs="Times New Roman"/>
                        <w:kern w:val="0"/>
                        <w:sz w:val="18"/>
                        <w:szCs w:val="18"/>
                      </w:rPr>
                      <m:t>c</m:t>
                    </m:r>
                    <m:ctrlPr>
                      <w:rPr>
                        <w:rFonts w:ascii="Cambria Math" w:hAnsi="Cambria Math" w:eastAsia="仿宋" w:cs="Times New Roman"/>
                        <w:i/>
                        <w:iCs/>
                        <w:kern w:val="0"/>
                        <w:sz w:val="18"/>
                        <w:szCs w:val="18"/>
                      </w:rPr>
                    </m:ctrlPr>
                  </m:sub>
                </m:sSub>
                <m:r>
                  <m:rPr/>
                  <w:rPr>
                    <w:rFonts w:ascii="Cambria Math" w:hAnsi="Cambria Math" w:eastAsia="仿宋" w:cs="Times New Roman"/>
                    <w:kern w:val="0"/>
                    <w:sz w:val="18"/>
                    <w:szCs w:val="18"/>
                  </w:rPr>
                  <m:t>×</m:t>
                </m:r>
                <m:sSub>
                  <m:sSubPr>
                    <m:ctrlPr>
                      <w:rPr>
                        <w:rFonts w:ascii="Cambria Math" w:hAnsi="Cambria Math" w:eastAsia="仿宋" w:cs="Times New Roman"/>
                        <w:i/>
                        <w:iCs/>
                        <w:kern w:val="0"/>
                        <w:sz w:val="18"/>
                        <w:szCs w:val="18"/>
                      </w:rPr>
                    </m:ctrlPr>
                  </m:sSubPr>
                  <m:e>
                    <m:r>
                      <m:rPr/>
                      <w:rPr>
                        <w:rFonts w:ascii="Cambria Math" w:hAnsi="Cambria Math" w:eastAsia="仿宋" w:cs="Times New Roman"/>
                        <w:kern w:val="0"/>
                        <w:sz w:val="18"/>
                        <w:szCs w:val="18"/>
                      </w:rPr>
                      <m:t>Post</m:t>
                    </m:r>
                    <m:ctrlPr>
                      <w:rPr>
                        <w:rFonts w:ascii="Cambria Math" w:hAnsi="Cambria Math" w:eastAsia="仿宋" w:cs="Times New Roman"/>
                        <w:i/>
                        <w:iCs/>
                        <w:kern w:val="0"/>
                        <w:sz w:val="18"/>
                        <w:szCs w:val="18"/>
                      </w:rPr>
                    </m:ctrlPr>
                  </m:e>
                  <m:sub>
                    <m:r>
                      <m:rPr/>
                      <w:rPr>
                        <w:rFonts w:ascii="Cambria Math" w:hAnsi="Cambria Math" w:eastAsia="仿宋" w:cs="Times New Roman"/>
                        <w:kern w:val="0"/>
                        <w:sz w:val="18"/>
                        <w:szCs w:val="18"/>
                      </w:rPr>
                      <m:t>t</m:t>
                    </m:r>
                    <m:ctrlPr>
                      <w:rPr>
                        <w:rFonts w:ascii="Cambria Math" w:hAnsi="Cambria Math" w:eastAsia="仿宋" w:cs="Times New Roman"/>
                        <w:i/>
                        <w:iCs/>
                        <w:kern w:val="0"/>
                        <w:sz w:val="18"/>
                        <w:szCs w:val="18"/>
                      </w:rPr>
                    </m:ctrlPr>
                  </m:sub>
                </m:sSub>
              </m:oMath>
            </m:oMathPara>
          </w:p>
        </w:tc>
        <w:tc>
          <w:tcPr>
            <w:tcW w:w="1115"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0.0388***</w:t>
            </w:r>
          </w:p>
        </w:tc>
        <w:tc>
          <w:tcPr>
            <w:tcW w:w="1115"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0.0430***</w:t>
            </w:r>
          </w:p>
        </w:tc>
        <w:tc>
          <w:tcPr>
            <w:tcW w:w="1115"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0.2801***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(0.0081)</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(0.0103)</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(0.0566)</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义教工程</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控制变量</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出生年份固定效应</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区县固定效应</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年份</w:t>
            </w:r>
            <w:r>
              <w:rPr>
                <w:rFonts w:ascii="Times New Roman" w:hAnsi="Times New Roman" w:eastAsia="仿宋" w:cs="Times New Roman"/>
                <w:kern w:val="0"/>
                <w:sz w:val="18"/>
                <w:szCs w:val="18"/>
              </w:rPr>
              <w:t>×</w:t>
            </w:r>
            <w:r>
              <w:rPr>
                <w:rFonts w:ascii="仿宋" w:hAnsi="仿宋" w:eastAsia="仿宋" w:cs="Times New Roman"/>
                <w:kern w:val="0"/>
                <w:sz w:val="18"/>
                <w:szCs w:val="18"/>
              </w:rPr>
              <w:t>市固定效应</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观测值</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1853860</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1853860</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1853860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R</w:t>
            </w:r>
            <w:r>
              <w:rPr>
                <w:rFonts w:ascii="Times New Roman" w:hAnsi="Times New Roman" w:eastAsia="仿宋" w:cs="Times New Roman"/>
                <w:kern w:val="0"/>
                <w:sz w:val="18"/>
                <w:szCs w:val="18"/>
                <w:vertAlign w:val="superscript"/>
              </w:rPr>
              <w:t>2</w:t>
            </w:r>
          </w:p>
        </w:tc>
        <w:tc>
          <w:tcPr>
            <w:tcW w:w="1115" w:type="pct"/>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0.372</w:t>
            </w:r>
          </w:p>
        </w:tc>
        <w:tc>
          <w:tcPr>
            <w:tcW w:w="1115" w:type="pct"/>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0.325</w:t>
            </w:r>
          </w:p>
        </w:tc>
        <w:tc>
          <w:tcPr>
            <w:tcW w:w="1115" w:type="pct"/>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0.433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single" w:color="auto" w:sz="4" w:space="0"/>
              <w:left w:val="nil"/>
              <w:bottom w:val="nil"/>
              <w:right w:val="nil"/>
            </w:tcBorders>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 xml:space="preserve">Panel B </w:t>
            </w:r>
            <w:r>
              <w:rPr>
                <w:rFonts w:ascii="仿宋" w:hAnsi="仿宋" w:eastAsia="仿宋" w:cs="Times New Roman"/>
                <w:kern w:val="0"/>
                <w:sz w:val="18"/>
                <w:szCs w:val="18"/>
              </w:rPr>
              <w:t>排除扩权强县影响</w:t>
            </w:r>
          </w:p>
        </w:tc>
        <w:tc>
          <w:tcPr>
            <w:tcW w:w="1115"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1115"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1115" w:type="pct"/>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nil"/>
              <w:right w:val="nil"/>
            </w:tcBorders>
          </w:tcPr>
          <w:p>
            <w:pPr>
              <w:autoSpaceDE w:val="0"/>
              <w:autoSpaceDN w:val="0"/>
              <w:adjustRightInd w:val="0"/>
              <w:jc w:val="center"/>
              <w:rPr>
                <w:rFonts w:ascii="Times New Roman" w:hAnsi="Times New Roman" w:eastAsia="仿宋" w:cs="Times New Roman"/>
                <w:i/>
                <w:iCs/>
                <w:kern w:val="0"/>
                <w:sz w:val="18"/>
                <w:szCs w:val="18"/>
              </w:rPr>
            </w:pPr>
            <m:oMathPara>
              <m:oMath>
                <m:sSub>
                  <m:sSubPr>
                    <m:ctrlPr>
                      <w:rPr>
                        <w:rFonts w:ascii="Cambria Math" w:hAnsi="Cambria Math" w:eastAsia="仿宋" w:cs="Times New Roman"/>
                        <w:i/>
                        <w:iCs/>
                        <w:kern w:val="0"/>
                        <w:sz w:val="18"/>
                        <w:szCs w:val="18"/>
                      </w:rPr>
                    </m:ctrlPr>
                  </m:sSubPr>
                  <m:e>
                    <m:r>
                      <m:rPr/>
                      <w:rPr>
                        <w:rFonts w:ascii="Cambria Math" w:hAnsi="Cambria Math" w:eastAsia="仿宋" w:cs="Times New Roman"/>
                        <w:kern w:val="0"/>
                        <w:sz w:val="18"/>
                        <w:szCs w:val="18"/>
                      </w:rPr>
                      <m:t>I</m:t>
                    </m:r>
                    <m:r>
                      <m:rPr/>
                      <w:rPr>
                        <w:rFonts w:hint="eastAsia" w:ascii="Cambria Math" w:hAnsi="Cambria Math" w:eastAsia="仿宋" w:cs="Times New Roman"/>
                        <w:kern w:val="0"/>
                        <w:sz w:val="18"/>
                        <w:szCs w:val="18"/>
                      </w:rPr>
                      <m:t>nvest</m:t>
                    </m:r>
                    <m:ctrlPr>
                      <w:rPr>
                        <w:rFonts w:ascii="Cambria Math" w:hAnsi="Cambria Math" w:eastAsia="仿宋" w:cs="Times New Roman"/>
                        <w:i/>
                        <w:iCs/>
                        <w:kern w:val="0"/>
                        <w:sz w:val="18"/>
                        <w:szCs w:val="18"/>
                      </w:rPr>
                    </m:ctrlPr>
                  </m:e>
                  <m:sub>
                    <m:r>
                      <m:rPr/>
                      <w:rPr>
                        <w:rFonts w:ascii="Cambria Math" w:hAnsi="Cambria Math" w:eastAsia="仿宋" w:cs="Times New Roman"/>
                        <w:kern w:val="0"/>
                        <w:sz w:val="18"/>
                        <w:szCs w:val="18"/>
                      </w:rPr>
                      <m:t>c</m:t>
                    </m:r>
                    <m:ctrlPr>
                      <w:rPr>
                        <w:rFonts w:ascii="Cambria Math" w:hAnsi="Cambria Math" w:eastAsia="仿宋" w:cs="Times New Roman"/>
                        <w:i/>
                        <w:iCs/>
                        <w:kern w:val="0"/>
                        <w:sz w:val="18"/>
                        <w:szCs w:val="18"/>
                      </w:rPr>
                    </m:ctrlPr>
                  </m:sub>
                </m:sSub>
                <m:r>
                  <m:rPr/>
                  <w:rPr>
                    <w:rFonts w:ascii="Cambria Math" w:hAnsi="Cambria Math" w:eastAsia="仿宋" w:cs="Times New Roman"/>
                    <w:kern w:val="0"/>
                    <w:sz w:val="18"/>
                    <w:szCs w:val="18"/>
                  </w:rPr>
                  <m:t>×</m:t>
                </m:r>
                <m:sSub>
                  <m:sSubPr>
                    <m:ctrlPr>
                      <w:rPr>
                        <w:rFonts w:ascii="Cambria Math" w:hAnsi="Cambria Math" w:eastAsia="仿宋" w:cs="Times New Roman"/>
                        <w:i/>
                        <w:iCs/>
                        <w:kern w:val="0"/>
                        <w:sz w:val="18"/>
                        <w:szCs w:val="18"/>
                      </w:rPr>
                    </m:ctrlPr>
                  </m:sSubPr>
                  <m:e>
                    <m:r>
                      <m:rPr/>
                      <w:rPr>
                        <w:rFonts w:ascii="Cambria Math" w:hAnsi="Cambria Math" w:eastAsia="仿宋" w:cs="Times New Roman"/>
                        <w:kern w:val="0"/>
                        <w:sz w:val="18"/>
                        <w:szCs w:val="18"/>
                      </w:rPr>
                      <m:t>Post</m:t>
                    </m:r>
                    <m:ctrlPr>
                      <w:rPr>
                        <w:rFonts w:ascii="Cambria Math" w:hAnsi="Cambria Math" w:eastAsia="仿宋" w:cs="Times New Roman"/>
                        <w:i/>
                        <w:iCs/>
                        <w:kern w:val="0"/>
                        <w:sz w:val="18"/>
                        <w:szCs w:val="18"/>
                      </w:rPr>
                    </m:ctrlPr>
                  </m:e>
                  <m:sub>
                    <m:r>
                      <m:rPr/>
                      <w:rPr>
                        <w:rFonts w:ascii="Cambria Math" w:hAnsi="Cambria Math" w:eastAsia="仿宋" w:cs="Times New Roman"/>
                        <w:kern w:val="0"/>
                        <w:sz w:val="18"/>
                        <w:szCs w:val="18"/>
                      </w:rPr>
                      <m:t>t</m:t>
                    </m:r>
                    <m:ctrlPr>
                      <w:rPr>
                        <w:rFonts w:ascii="Cambria Math" w:hAnsi="Cambria Math" w:eastAsia="仿宋" w:cs="Times New Roman"/>
                        <w:i/>
                        <w:iCs/>
                        <w:kern w:val="0"/>
                        <w:sz w:val="18"/>
                        <w:szCs w:val="18"/>
                      </w:rPr>
                    </m:ctrlPr>
                  </m:sub>
                </m:sSub>
              </m:oMath>
            </m:oMathPara>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0.0417***</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0.0467***</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0.2876***</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nil"/>
              <w:right w:val="nil"/>
            </w:tcBorders>
          </w:tcPr>
          <w:p>
            <w:pPr>
              <w:autoSpaceDE w:val="0"/>
              <w:autoSpaceDN w:val="0"/>
              <w:adjustRightInd w:val="0"/>
              <w:jc w:val="center"/>
              <w:rPr>
                <w:rFonts w:ascii="Times New Roman" w:hAnsi="Times New Roman" w:eastAsia="仿宋" w:cs="Times New Roman"/>
                <w:kern w:val="0"/>
                <w:sz w:val="18"/>
                <w:szCs w:val="18"/>
              </w:rPr>
            </w:pP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(0.0080)</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(0.0105)</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(0.0570)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nil"/>
              <w:right w:val="nil"/>
            </w:tcBorders>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扩权强县</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nil"/>
              <w:right w:val="nil"/>
            </w:tcBorders>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控制变量</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nil"/>
              <w:right w:val="nil"/>
            </w:tcBorders>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出生年份固定效应</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nil"/>
              <w:right w:val="nil"/>
            </w:tcBorders>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区县固定效应</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nil"/>
              <w:right w:val="nil"/>
            </w:tcBorders>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年份</w:t>
            </w:r>
            <w:r>
              <w:rPr>
                <w:rFonts w:ascii="Times New Roman" w:hAnsi="Times New Roman" w:eastAsia="仿宋" w:cs="Times New Roman"/>
                <w:kern w:val="0"/>
                <w:sz w:val="18"/>
                <w:szCs w:val="18"/>
              </w:rPr>
              <w:t>×</w:t>
            </w:r>
            <w:r>
              <w:rPr>
                <w:rFonts w:ascii="仿宋" w:hAnsi="仿宋" w:eastAsia="仿宋" w:cs="Times New Roman"/>
                <w:kern w:val="0"/>
                <w:sz w:val="18"/>
                <w:szCs w:val="18"/>
              </w:rPr>
              <w:t>市固定效应</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nil"/>
              <w:right w:val="nil"/>
            </w:tcBorders>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观测值</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1853860</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1853860</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1853860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single" w:color="auto" w:sz="4" w:space="0"/>
              <w:right w:val="nil"/>
            </w:tcBorders>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R</w:t>
            </w:r>
            <w:r>
              <w:rPr>
                <w:rFonts w:ascii="Times New Roman" w:hAnsi="Times New Roman" w:eastAsia="仿宋" w:cs="Times New Roman"/>
                <w:kern w:val="0"/>
                <w:sz w:val="18"/>
                <w:szCs w:val="18"/>
                <w:vertAlign w:val="superscript"/>
              </w:rPr>
              <w:t>2</w:t>
            </w:r>
          </w:p>
        </w:tc>
        <w:tc>
          <w:tcPr>
            <w:tcW w:w="1115" w:type="pct"/>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0.372</w:t>
            </w:r>
          </w:p>
        </w:tc>
        <w:tc>
          <w:tcPr>
            <w:tcW w:w="1115" w:type="pct"/>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0.325</w:t>
            </w:r>
          </w:p>
        </w:tc>
        <w:tc>
          <w:tcPr>
            <w:tcW w:w="1115" w:type="pct"/>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0.433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single" w:color="auto" w:sz="4" w:space="0"/>
              <w:left w:val="nil"/>
              <w:bottom w:val="nil"/>
              <w:right w:val="nil"/>
            </w:tcBorders>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 xml:space="preserve">Panel C </w:t>
            </w:r>
            <w:r>
              <w:rPr>
                <w:rFonts w:ascii="仿宋" w:hAnsi="仿宋" w:eastAsia="仿宋" w:cs="Times New Roman"/>
                <w:kern w:val="0"/>
                <w:sz w:val="18"/>
                <w:szCs w:val="18"/>
              </w:rPr>
              <w:t>排除省直管县影响</w:t>
            </w:r>
          </w:p>
        </w:tc>
        <w:tc>
          <w:tcPr>
            <w:tcW w:w="1115" w:type="pct"/>
            <w:tcBorders>
              <w:top w:val="single" w:color="auto" w:sz="4" w:space="0"/>
              <w:left w:val="nil"/>
              <w:bottom w:val="nil"/>
              <w:right w:val="nil"/>
            </w:tcBorders>
          </w:tcPr>
          <w:p>
            <w:pPr>
              <w:autoSpaceDE w:val="0"/>
              <w:autoSpaceDN w:val="0"/>
              <w:adjustRightInd w:val="0"/>
              <w:jc w:val="center"/>
              <w:rPr>
                <w:rFonts w:ascii="Times New Roman" w:hAnsi="Times New Roman" w:eastAsia="仿宋" w:cs="Times New Roman"/>
                <w:kern w:val="0"/>
                <w:sz w:val="18"/>
                <w:szCs w:val="18"/>
              </w:rPr>
            </w:pPr>
          </w:p>
        </w:tc>
        <w:tc>
          <w:tcPr>
            <w:tcW w:w="1115" w:type="pct"/>
            <w:tcBorders>
              <w:top w:val="single" w:color="auto" w:sz="4" w:space="0"/>
              <w:left w:val="nil"/>
              <w:bottom w:val="nil"/>
              <w:right w:val="nil"/>
            </w:tcBorders>
          </w:tcPr>
          <w:p>
            <w:pPr>
              <w:autoSpaceDE w:val="0"/>
              <w:autoSpaceDN w:val="0"/>
              <w:adjustRightInd w:val="0"/>
              <w:jc w:val="center"/>
              <w:rPr>
                <w:rFonts w:ascii="Times New Roman" w:hAnsi="Times New Roman" w:eastAsia="仿宋" w:cs="Times New Roman"/>
                <w:kern w:val="0"/>
                <w:sz w:val="18"/>
                <w:szCs w:val="18"/>
              </w:rPr>
            </w:pPr>
          </w:p>
        </w:tc>
        <w:tc>
          <w:tcPr>
            <w:tcW w:w="1115" w:type="pct"/>
            <w:tcBorders>
              <w:top w:val="single" w:color="auto" w:sz="4" w:space="0"/>
              <w:left w:val="nil"/>
              <w:bottom w:val="nil"/>
              <w:right w:val="nil"/>
            </w:tcBorders>
          </w:tcPr>
          <w:p>
            <w:pPr>
              <w:autoSpaceDE w:val="0"/>
              <w:autoSpaceDN w:val="0"/>
              <w:adjustRightInd w:val="0"/>
              <w:jc w:val="center"/>
              <w:rPr>
                <w:rFonts w:ascii="Times New Roman" w:hAnsi="Times New Roman" w:eastAsia="仿宋" w:cs="Times New Roman"/>
                <w:kern w:val="0"/>
                <w:sz w:val="18"/>
                <w:szCs w:val="18"/>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nil"/>
              <w:right w:val="nil"/>
            </w:tcBorders>
          </w:tcPr>
          <w:p>
            <w:pPr>
              <w:autoSpaceDE w:val="0"/>
              <w:autoSpaceDN w:val="0"/>
              <w:adjustRightInd w:val="0"/>
              <w:jc w:val="center"/>
              <w:rPr>
                <w:rFonts w:ascii="Times New Roman" w:hAnsi="Times New Roman" w:eastAsia="仿宋" w:cs="Times New Roman"/>
                <w:i/>
                <w:iCs/>
                <w:kern w:val="0"/>
                <w:sz w:val="18"/>
                <w:szCs w:val="18"/>
              </w:rPr>
            </w:pPr>
            <m:oMathPara>
              <m:oMath>
                <m:sSub>
                  <m:sSubPr>
                    <m:ctrlPr>
                      <w:rPr>
                        <w:rFonts w:ascii="Cambria Math" w:hAnsi="Cambria Math" w:eastAsia="仿宋" w:cs="Times New Roman"/>
                        <w:i/>
                        <w:iCs/>
                        <w:kern w:val="0"/>
                        <w:sz w:val="18"/>
                        <w:szCs w:val="18"/>
                      </w:rPr>
                    </m:ctrlPr>
                  </m:sSubPr>
                  <m:e>
                    <m:r>
                      <m:rPr/>
                      <w:rPr>
                        <w:rFonts w:ascii="Cambria Math" w:hAnsi="Cambria Math" w:eastAsia="仿宋" w:cs="Times New Roman"/>
                        <w:kern w:val="0"/>
                        <w:sz w:val="18"/>
                        <w:szCs w:val="18"/>
                      </w:rPr>
                      <m:t>Treat</m:t>
                    </m:r>
                    <m:ctrlPr>
                      <w:rPr>
                        <w:rFonts w:ascii="Cambria Math" w:hAnsi="Cambria Math" w:eastAsia="仿宋" w:cs="Times New Roman"/>
                        <w:i/>
                        <w:iCs/>
                        <w:kern w:val="0"/>
                        <w:sz w:val="18"/>
                        <w:szCs w:val="18"/>
                      </w:rPr>
                    </m:ctrlPr>
                  </m:e>
                  <m:sub>
                    <m:r>
                      <m:rPr/>
                      <w:rPr>
                        <w:rFonts w:ascii="Cambria Math" w:hAnsi="Cambria Math" w:eastAsia="仿宋" w:cs="Times New Roman"/>
                        <w:kern w:val="0"/>
                        <w:sz w:val="18"/>
                        <w:szCs w:val="18"/>
                      </w:rPr>
                      <m:t>c</m:t>
                    </m:r>
                    <m:ctrlPr>
                      <w:rPr>
                        <w:rFonts w:ascii="Cambria Math" w:hAnsi="Cambria Math" w:eastAsia="仿宋" w:cs="Times New Roman"/>
                        <w:i/>
                        <w:iCs/>
                        <w:kern w:val="0"/>
                        <w:sz w:val="18"/>
                        <w:szCs w:val="18"/>
                      </w:rPr>
                    </m:ctrlPr>
                  </m:sub>
                </m:sSub>
                <m:r>
                  <m:rPr/>
                  <w:rPr>
                    <w:rFonts w:ascii="Cambria Math" w:hAnsi="Cambria Math" w:eastAsia="仿宋" w:cs="Times New Roman"/>
                    <w:kern w:val="0"/>
                    <w:sz w:val="18"/>
                    <w:szCs w:val="18"/>
                  </w:rPr>
                  <m:t>×</m:t>
                </m:r>
                <m:sSub>
                  <m:sSubPr>
                    <m:ctrlPr>
                      <w:rPr>
                        <w:rFonts w:ascii="Cambria Math" w:hAnsi="Cambria Math" w:eastAsia="仿宋" w:cs="Times New Roman"/>
                        <w:i/>
                        <w:iCs/>
                        <w:kern w:val="0"/>
                        <w:sz w:val="18"/>
                        <w:szCs w:val="18"/>
                      </w:rPr>
                    </m:ctrlPr>
                  </m:sSubPr>
                  <m:e>
                    <m:r>
                      <m:rPr/>
                      <w:rPr>
                        <w:rFonts w:ascii="Cambria Math" w:hAnsi="Cambria Math" w:eastAsia="仿宋" w:cs="Times New Roman"/>
                        <w:kern w:val="0"/>
                        <w:sz w:val="18"/>
                        <w:szCs w:val="18"/>
                      </w:rPr>
                      <m:t>Post</m:t>
                    </m:r>
                    <m:ctrlPr>
                      <w:rPr>
                        <w:rFonts w:ascii="Cambria Math" w:hAnsi="Cambria Math" w:eastAsia="仿宋" w:cs="Times New Roman"/>
                        <w:i/>
                        <w:iCs/>
                        <w:kern w:val="0"/>
                        <w:sz w:val="18"/>
                        <w:szCs w:val="18"/>
                      </w:rPr>
                    </m:ctrlPr>
                  </m:e>
                  <m:sub>
                    <m:r>
                      <m:rPr/>
                      <w:rPr>
                        <w:rFonts w:ascii="Cambria Math" w:hAnsi="Cambria Math" w:eastAsia="仿宋" w:cs="Times New Roman"/>
                        <w:kern w:val="0"/>
                        <w:sz w:val="18"/>
                        <w:szCs w:val="18"/>
                      </w:rPr>
                      <m:t>t</m:t>
                    </m:r>
                    <m:ctrlPr>
                      <w:rPr>
                        <w:rFonts w:ascii="Cambria Math" w:hAnsi="Cambria Math" w:eastAsia="仿宋" w:cs="Times New Roman"/>
                        <w:i/>
                        <w:iCs/>
                        <w:kern w:val="0"/>
                        <w:sz w:val="18"/>
                        <w:szCs w:val="18"/>
                      </w:rPr>
                    </m:ctrlPr>
                  </m:sub>
                </m:sSub>
              </m:oMath>
            </m:oMathPara>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0.0415***</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0.0475***</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0.2887***</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nil"/>
              <w:right w:val="nil"/>
            </w:tcBorders>
          </w:tcPr>
          <w:p>
            <w:pPr>
              <w:autoSpaceDE w:val="0"/>
              <w:autoSpaceDN w:val="0"/>
              <w:adjustRightInd w:val="0"/>
              <w:jc w:val="center"/>
              <w:rPr>
                <w:rFonts w:ascii="Times New Roman" w:hAnsi="Times New Roman" w:eastAsia="仿宋" w:cs="Times New Roman"/>
                <w:kern w:val="0"/>
                <w:sz w:val="18"/>
                <w:szCs w:val="18"/>
              </w:rPr>
            </w:pP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(0.0080)</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(0.0104)</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(0.0568)</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nil"/>
              <w:right w:val="nil"/>
            </w:tcBorders>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省直管县</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nil"/>
              <w:right w:val="nil"/>
            </w:tcBorders>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控制变量</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nil"/>
              <w:right w:val="nil"/>
            </w:tcBorders>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出生年份固定效应</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nil"/>
              <w:right w:val="nil"/>
            </w:tcBorders>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区县固定效应</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nil"/>
              <w:right w:val="nil"/>
            </w:tcBorders>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年份</w:t>
            </w:r>
            <w:r>
              <w:rPr>
                <w:rFonts w:ascii="Times New Roman" w:hAnsi="Times New Roman" w:eastAsia="仿宋" w:cs="Times New Roman"/>
                <w:kern w:val="0"/>
                <w:sz w:val="18"/>
                <w:szCs w:val="18"/>
              </w:rPr>
              <w:t>×</w:t>
            </w:r>
            <w:r>
              <w:rPr>
                <w:rFonts w:ascii="仿宋" w:hAnsi="仿宋" w:eastAsia="仿宋" w:cs="Times New Roman"/>
                <w:kern w:val="0"/>
                <w:sz w:val="18"/>
                <w:szCs w:val="18"/>
              </w:rPr>
              <w:t>市固定效应</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nil"/>
              <w:right w:val="nil"/>
            </w:tcBorders>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观测值</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1853860</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1853860</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1853860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single" w:color="auto" w:sz="4" w:space="0"/>
              <w:right w:val="nil"/>
            </w:tcBorders>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R</w:t>
            </w:r>
            <w:r>
              <w:rPr>
                <w:rFonts w:ascii="Times New Roman" w:hAnsi="Times New Roman" w:eastAsia="仿宋" w:cs="Times New Roman"/>
                <w:kern w:val="0"/>
                <w:sz w:val="18"/>
                <w:szCs w:val="18"/>
                <w:vertAlign w:val="superscript"/>
              </w:rPr>
              <w:t>2</w:t>
            </w:r>
          </w:p>
        </w:tc>
        <w:tc>
          <w:tcPr>
            <w:tcW w:w="1115" w:type="pct"/>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0.372</w:t>
            </w:r>
          </w:p>
        </w:tc>
        <w:tc>
          <w:tcPr>
            <w:tcW w:w="1115" w:type="pct"/>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0.325</w:t>
            </w:r>
          </w:p>
        </w:tc>
        <w:tc>
          <w:tcPr>
            <w:tcW w:w="1115" w:type="pct"/>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0.433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single" w:color="auto" w:sz="4" w:space="0"/>
              <w:left w:val="nil"/>
              <w:bottom w:val="nil"/>
              <w:right w:val="nil"/>
            </w:tcBorders>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 xml:space="preserve">Panel D </w:t>
            </w:r>
            <w:r>
              <w:rPr>
                <w:rFonts w:ascii="仿宋" w:hAnsi="仿宋" w:eastAsia="仿宋" w:cs="Times New Roman"/>
                <w:kern w:val="0"/>
                <w:sz w:val="18"/>
                <w:szCs w:val="18"/>
              </w:rPr>
              <w:t>排除贫困县政策影响</w:t>
            </w:r>
          </w:p>
        </w:tc>
        <w:tc>
          <w:tcPr>
            <w:tcW w:w="1115" w:type="pct"/>
            <w:tcBorders>
              <w:top w:val="single" w:color="auto" w:sz="4" w:space="0"/>
              <w:left w:val="nil"/>
              <w:bottom w:val="nil"/>
              <w:right w:val="nil"/>
            </w:tcBorders>
          </w:tcPr>
          <w:p>
            <w:pPr>
              <w:autoSpaceDE w:val="0"/>
              <w:autoSpaceDN w:val="0"/>
              <w:adjustRightInd w:val="0"/>
              <w:jc w:val="center"/>
              <w:rPr>
                <w:rFonts w:ascii="Times New Roman" w:hAnsi="Times New Roman" w:eastAsia="仿宋" w:cs="Times New Roman"/>
                <w:kern w:val="0"/>
                <w:sz w:val="18"/>
                <w:szCs w:val="18"/>
              </w:rPr>
            </w:pPr>
          </w:p>
        </w:tc>
        <w:tc>
          <w:tcPr>
            <w:tcW w:w="1115" w:type="pct"/>
            <w:tcBorders>
              <w:top w:val="single" w:color="auto" w:sz="4" w:space="0"/>
              <w:left w:val="nil"/>
              <w:bottom w:val="nil"/>
              <w:right w:val="nil"/>
            </w:tcBorders>
          </w:tcPr>
          <w:p>
            <w:pPr>
              <w:autoSpaceDE w:val="0"/>
              <w:autoSpaceDN w:val="0"/>
              <w:adjustRightInd w:val="0"/>
              <w:jc w:val="center"/>
              <w:rPr>
                <w:rFonts w:ascii="Times New Roman" w:hAnsi="Times New Roman" w:eastAsia="仿宋" w:cs="Times New Roman"/>
                <w:kern w:val="0"/>
                <w:sz w:val="18"/>
                <w:szCs w:val="18"/>
              </w:rPr>
            </w:pPr>
          </w:p>
        </w:tc>
        <w:tc>
          <w:tcPr>
            <w:tcW w:w="1115" w:type="pct"/>
            <w:tcBorders>
              <w:top w:val="single" w:color="auto" w:sz="4" w:space="0"/>
              <w:left w:val="nil"/>
              <w:bottom w:val="nil"/>
              <w:right w:val="nil"/>
            </w:tcBorders>
          </w:tcPr>
          <w:p>
            <w:pPr>
              <w:autoSpaceDE w:val="0"/>
              <w:autoSpaceDN w:val="0"/>
              <w:adjustRightInd w:val="0"/>
              <w:jc w:val="center"/>
              <w:rPr>
                <w:rFonts w:ascii="Times New Roman" w:hAnsi="Times New Roman" w:eastAsia="仿宋" w:cs="Times New Roman"/>
                <w:kern w:val="0"/>
                <w:sz w:val="18"/>
                <w:szCs w:val="18"/>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nil"/>
              <w:right w:val="nil"/>
            </w:tcBorders>
          </w:tcPr>
          <w:p>
            <w:pPr>
              <w:autoSpaceDE w:val="0"/>
              <w:autoSpaceDN w:val="0"/>
              <w:adjustRightInd w:val="0"/>
              <w:jc w:val="center"/>
              <w:rPr>
                <w:rFonts w:ascii="Times New Roman" w:hAnsi="Times New Roman" w:eastAsia="仿宋" w:cs="Times New Roman"/>
                <w:kern w:val="0"/>
                <w:sz w:val="18"/>
                <w:szCs w:val="18"/>
              </w:rPr>
            </w:pPr>
            <m:oMathPara>
              <m:oMath>
                <m:sSub>
                  <m:sSubPr>
                    <m:ctrlPr>
                      <w:rPr>
                        <w:rFonts w:ascii="Cambria Math" w:hAnsi="Cambria Math" w:eastAsia="仿宋" w:cs="Times New Roman"/>
                        <w:i/>
                        <w:iCs/>
                        <w:kern w:val="0"/>
                        <w:sz w:val="18"/>
                        <w:szCs w:val="18"/>
                      </w:rPr>
                    </m:ctrlPr>
                  </m:sSubPr>
                  <m:e>
                    <m:r>
                      <m:rPr/>
                      <w:rPr>
                        <w:rFonts w:ascii="Cambria Math" w:hAnsi="Cambria Math" w:eastAsia="仿宋" w:cs="Times New Roman"/>
                        <w:kern w:val="0"/>
                        <w:sz w:val="18"/>
                        <w:szCs w:val="18"/>
                      </w:rPr>
                      <m:t>Treat</m:t>
                    </m:r>
                    <m:ctrlPr>
                      <w:rPr>
                        <w:rFonts w:ascii="Cambria Math" w:hAnsi="Cambria Math" w:eastAsia="仿宋" w:cs="Times New Roman"/>
                        <w:i/>
                        <w:iCs/>
                        <w:kern w:val="0"/>
                        <w:sz w:val="18"/>
                        <w:szCs w:val="18"/>
                      </w:rPr>
                    </m:ctrlPr>
                  </m:e>
                  <m:sub>
                    <m:r>
                      <m:rPr/>
                      <w:rPr>
                        <w:rFonts w:ascii="Cambria Math" w:hAnsi="Cambria Math" w:eastAsia="仿宋" w:cs="Times New Roman"/>
                        <w:kern w:val="0"/>
                        <w:sz w:val="18"/>
                        <w:szCs w:val="18"/>
                      </w:rPr>
                      <m:t>c</m:t>
                    </m:r>
                    <m:ctrlPr>
                      <w:rPr>
                        <w:rFonts w:ascii="Cambria Math" w:hAnsi="Cambria Math" w:eastAsia="仿宋" w:cs="Times New Roman"/>
                        <w:i/>
                        <w:iCs/>
                        <w:kern w:val="0"/>
                        <w:sz w:val="18"/>
                        <w:szCs w:val="18"/>
                      </w:rPr>
                    </m:ctrlPr>
                  </m:sub>
                </m:sSub>
                <m:r>
                  <m:rPr/>
                  <w:rPr>
                    <w:rFonts w:ascii="Cambria Math" w:hAnsi="Cambria Math" w:eastAsia="仿宋" w:cs="Times New Roman"/>
                    <w:kern w:val="0"/>
                    <w:sz w:val="18"/>
                    <w:szCs w:val="18"/>
                  </w:rPr>
                  <m:t>×</m:t>
                </m:r>
                <m:sSub>
                  <m:sSubPr>
                    <m:ctrlPr>
                      <w:rPr>
                        <w:rFonts w:ascii="Cambria Math" w:hAnsi="Cambria Math" w:eastAsia="仿宋" w:cs="Times New Roman"/>
                        <w:i/>
                        <w:iCs/>
                        <w:kern w:val="0"/>
                        <w:sz w:val="18"/>
                        <w:szCs w:val="18"/>
                      </w:rPr>
                    </m:ctrlPr>
                  </m:sSubPr>
                  <m:e>
                    <m:r>
                      <m:rPr/>
                      <w:rPr>
                        <w:rFonts w:ascii="Cambria Math" w:hAnsi="Cambria Math" w:eastAsia="仿宋" w:cs="Times New Roman"/>
                        <w:kern w:val="0"/>
                        <w:sz w:val="18"/>
                        <w:szCs w:val="18"/>
                      </w:rPr>
                      <m:t>Post</m:t>
                    </m:r>
                    <m:ctrlPr>
                      <w:rPr>
                        <w:rFonts w:ascii="Cambria Math" w:hAnsi="Cambria Math" w:eastAsia="仿宋" w:cs="Times New Roman"/>
                        <w:i/>
                        <w:iCs/>
                        <w:kern w:val="0"/>
                        <w:sz w:val="18"/>
                        <w:szCs w:val="18"/>
                      </w:rPr>
                    </m:ctrlPr>
                  </m:e>
                  <m:sub>
                    <m:r>
                      <m:rPr/>
                      <w:rPr>
                        <w:rFonts w:ascii="Cambria Math" w:hAnsi="Cambria Math" w:eastAsia="仿宋" w:cs="Times New Roman"/>
                        <w:kern w:val="0"/>
                        <w:sz w:val="18"/>
                        <w:szCs w:val="18"/>
                      </w:rPr>
                      <m:t>t</m:t>
                    </m:r>
                    <m:ctrlPr>
                      <w:rPr>
                        <w:rFonts w:ascii="Cambria Math" w:hAnsi="Cambria Math" w:eastAsia="仿宋" w:cs="Times New Roman"/>
                        <w:i/>
                        <w:iCs/>
                        <w:kern w:val="0"/>
                        <w:sz w:val="18"/>
                        <w:szCs w:val="18"/>
                      </w:rPr>
                    </m:ctrlPr>
                  </m:sub>
                </m:sSub>
              </m:oMath>
            </m:oMathPara>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0.0398***</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0.0462***</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0.2862***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nil"/>
              <w:right w:val="nil"/>
            </w:tcBorders>
          </w:tcPr>
          <w:p>
            <w:pPr>
              <w:autoSpaceDE w:val="0"/>
              <w:autoSpaceDN w:val="0"/>
              <w:adjustRightInd w:val="0"/>
              <w:jc w:val="center"/>
              <w:rPr>
                <w:rFonts w:ascii="Times New Roman" w:hAnsi="Times New Roman" w:eastAsia="仿宋" w:cs="Times New Roman"/>
                <w:kern w:val="0"/>
                <w:sz w:val="18"/>
                <w:szCs w:val="18"/>
              </w:rPr>
            </w:pP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(0.0081)</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(0.0103)</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(0.0565)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nil"/>
              <w:right w:val="nil"/>
            </w:tcBorders>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贫困县</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nil"/>
              <w:right w:val="nil"/>
            </w:tcBorders>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控制变量</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nil"/>
              <w:right w:val="nil"/>
            </w:tcBorders>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出生年份固定效应</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nil"/>
              <w:right w:val="nil"/>
            </w:tcBorders>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区县固定效应</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nil"/>
              <w:right w:val="nil"/>
            </w:tcBorders>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年份</w:t>
            </w:r>
            <w:r>
              <w:rPr>
                <w:rFonts w:ascii="Times New Roman" w:hAnsi="Times New Roman" w:eastAsia="仿宋" w:cs="Times New Roman"/>
                <w:kern w:val="0"/>
                <w:sz w:val="18"/>
                <w:szCs w:val="18"/>
              </w:rPr>
              <w:t>×</w:t>
            </w:r>
            <w:r>
              <w:rPr>
                <w:rFonts w:ascii="仿宋" w:hAnsi="仿宋" w:eastAsia="仿宋" w:cs="Times New Roman"/>
                <w:kern w:val="0"/>
                <w:sz w:val="18"/>
                <w:szCs w:val="18"/>
              </w:rPr>
              <w:t>市固定效应</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nil"/>
              <w:right w:val="nil"/>
            </w:tcBorders>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观测值</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1853860</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1853860</w:t>
            </w:r>
          </w:p>
        </w:tc>
        <w:tc>
          <w:tcPr>
            <w:tcW w:w="1115" w:type="pct"/>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1853860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4" w:type="pct"/>
            <w:tcBorders>
              <w:top w:val="nil"/>
              <w:left w:val="nil"/>
              <w:bottom w:val="single" w:color="auto" w:sz="12" w:space="0"/>
              <w:right w:val="nil"/>
            </w:tcBorders>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R</w:t>
            </w:r>
            <w:r>
              <w:rPr>
                <w:rFonts w:ascii="Times New Roman" w:hAnsi="Times New Roman" w:eastAsia="仿宋" w:cs="Times New Roman"/>
                <w:kern w:val="0"/>
                <w:sz w:val="18"/>
                <w:szCs w:val="18"/>
                <w:vertAlign w:val="superscript"/>
              </w:rPr>
              <w:t>2</w:t>
            </w:r>
          </w:p>
        </w:tc>
        <w:tc>
          <w:tcPr>
            <w:tcW w:w="1115" w:type="pct"/>
            <w:tcBorders>
              <w:top w:val="nil"/>
              <w:left w:val="nil"/>
              <w:bottom w:val="single" w:color="auto" w:sz="12"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0.372</w:t>
            </w:r>
          </w:p>
        </w:tc>
        <w:tc>
          <w:tcPr>
            <w:tcW w:w="1115" w:type="pct"/>
            <w:tcBorders>
              <w:top w:val="nil"/>
              <w:left w:val="nil"/>
              <w:bottom w:val="single" w:color="auto" w:sz="12"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0.325</w:t>
            </w:r>
          </w:p>
        </w:tc>
        <w:tc>
          <w:tcPr>
            <w:tcW w:w="1115" w:type="pct"/>
            <w:tcBorders>
              <w:top w:val="nil"/>
              <w:left w:val="nil"/>
              <w:bottom w:val="single" w:color="auto" w:sz="12"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0.433</w:t>
            </w:r>
          </w:p>
        </w:tc>
      </w:tr>
    </w:tbl>
    <w:p>
      <w:pPr>
        <w:ind w:firstLine="360" w:firstLineChars="200"/>
        <w:rPr>
          <w:rFonts w:ascii="Times New Roman" w:hAnsi="Times New Roman" w:eastAsia="仿宋" w:cs="Times New Roman"/>
          <w:sz w:val="18"/>
          <w:szCs w:val="18"/>
        </w:rPr>
      </w:pPr>
      <w:r>
        <w:rPr>
          <w:rFonts w:ascii="仿宋" w:hAnsi="仿宋" w:eastAsia="仿宋" w:cs="Times New Roman"/>
          <w:kern w:val="0"/>
          <w:sz w:val="18"/>
          <w:szCs w:val="18"/>
        </w:rPr>
        <w:t>注：括号中的数值为在县级层面聚类的稳健标准误；</w:t>
      </w:r>
      <w:r>
        <w:rPr>
          <w:rFonts w:ascii="Times New Roman" w:hAnsi="Times New Roman" w:eastAsia="仿宋" w:cs="Times New Roman"/>
          <w:kern w:val="0"/>
          <w:sz w:val="18"/>
          <w:szCs w:val="18"/>
        </w:rPr>
        <w:t>***</w:t>
      </w:r>
      <w:r>
        <w:rPr>
          <w:rFonts w:ascii="仿宋" w:hAnsi="仿宋" w:eastAsia="仿宋" w:cs="Times New Roman"/>
          <w:kern w:val="0"/>
          <w:sz w:val="18"/>
          <w:szCs w:val="18"/>
        </w:rPr>
        <w:t>、</w:t>
      </w:r>
      <w:r>
        <w:rPr>
          <w:rFonts w:ascii="Times New Roman" w:hAnsi="Times New Roman" w:eastAsia="仿宋" w:cs="Times New Roman"/>
          <w:kern w:val="0"/>
          <w:sz w:val="18"/>
          <w:szCs w:val="18"/>
        </w:rPr>
        <w:t>**</w:t>
      </w:r>
      <w:r>
        <w:rPr>
          <w:rFonts w:ascii="仿宋" w:hAnsi="仿宋" w:eastAsia="仿宋" w:cs="Times New Roman"/>
          <w:kern w:val="0"/>
          <w:sz w:val="18"/>
          <w:szCs w:val="18"/>
        </w:rPr>
        <w:t>和</w:t>
      </w:r>
      <w:r>
        <w:rPr>
          <w:rFonts w:ascii="Times New Roman" w:hAnsi="Times New Roman" w:eastAsia="仿宋" w:cs="Times New Roman"/>
          <w:kern w:val="0"/>
          <w:sz w:val="18"/>
          <w:szCs w:val="18"/>
        </w:rPr>
        <w:t>*</w:t>
      </w:r>
      <w:r>
        <w:rPr>
          <w:rFonts w:ascii="仿宋" w:hAnsi="仿宋" w:eastAsia="仿宋" w:cs="Times New Roman"/>
          <w:kern w:val="0"/>
          <w:sz w:val="18"/>
          <w:szCs w:val="18"/>
        </w:rPr>
        <w:t>分别表示在</w:t>
      </w:r>
      <w:r>
        <w:rPr>
          <w:rFonts w:ascii="Times New Roman" w:hAnsi="Times New Roman" w:eastAsia="仿宋" w:cs="Times New Roman"/>
          <w:kern w:val="0"/>
          <w:sz w:val="18"/>
          <w:szCs w:val="18"/>
        </w:rPr>
        <w:t>1%</w:t>
      </w:r>
      <w:r>
        <w:rPr>
          <w:rFonts w:ascii="仿宋" w:hAnsi="仿宋" w:eastAsia="仿宋" w:cs="Times New Roman"/>
          <w:kern w:val="0"/>
          <w:sz w:val="18"/>
          <w:szCs w:val="18"/>
        </w:rPr>
        <w:t>、</w:t>
      </w:r>
      <w:r>
        <w:rPr>
          <w:rFonts w:ascii="Times New Roman" w:hAnsi="Times New Roman" w:eastAsia="仿宋" w:cs="Times New Roman"/>
          <w:kern w:val="0"/>
          <w:sz w:val="18"/>
          <w:szCs w:val="18"/>
        </w:rPr>
        <w:t>5%</w:t>
      </w:r>
      <w:r>
        <w:rPr>
          <w:rFonts w:ascii="仿宋" w:hAnsi="仿宋" w:eastAsia="仿宋" w:cs="Times New Roman"/>
          <w:kern w:val="0"/>
          <w:sz w:val="18"/>
          <w:szCs w:val="18"/>
        </w:rPr>
        <w:t>和</w:t>
      </w:r>
      <w:r>
        <w:rPr>
          <w:rFonts w:ascii="Times New Roman" w:hAnsi="Times New Roman" w:eastAsia="仿宋" w:cs="Times New Roman"/>
          <w:kern w:val="0"/>
          <w:sz w:val="18"/>
          <w:szCs w:val="18"/>
        </w:rPr>
        <w:t>10%</w:t>
      </w:r>
      <w:r>
        <w:rPr>
          <w:rFonts w:ascii="仿宋" w:hAnsi="仿宋" w:eastAsia="仿宋" w:cs="Times New Roman"/>
          <w:kern w:val="0"/>
          <w:sz w:val="18"/>
          <w:szCs w:val="18"/>
        </w:rPr>
        <w:t>置信度水平下显著。控制变量包括个体的性别、民族、户口以及家庭规模。</w:t>
      </w:r>
    </w:p>
    <w:p>
      <w:pPr>
        <w:rPr>
          <w:rFonts w:hint="eastAsia" w:ascii="等线" w:hAnsi="等线" w:eastAsia="等线" w:cs="Times New Roman"/>
        </w:rPr>
      </w:pPr>
      <w:r>
        <w:rPr>
          <w:rFonts w:hint="eastAsia" w:ascii="等线" w:hAnsi="等线" w:eastAsia="等线" w:cs="Times New Roman"/>
        </w:rPr>
        <w:t xml:space="preserve"> </w:t>
      </w:r>
    </w:p>
    <w:p>
      <w:pPr>
        <w:rPr>
          <w:rFonts w:hint="eastAsia" w:ascii="等线" w:hAnsi="等线" w:eastAsia="等线" w:cs="Times New Roman"/>
        </w:rPr>
      </w:pPr>
    </w:p>
    <w:p>
      <w:pPr>
        <w:rPr>
          <w:rFonts w:hint="eastAsia" w:ascii="等线" w:hAnsi="等线" w:eastAsia="等线" w:cs="Times New Roman"/>
        </w:rPr>
      </w:pPr>
    </w:p>
    <w:p>
      <w:pPr>
        <w:spacing w:line="380" w:lineRule="exact"/>
        <w:jc w:val="center"/>
        <w:rPr>
          <w:rFonts w:hint="eastAsia" w:ascii="宋体" w:hAnsi="宋体" w:eastAsia="宋体" w:cs="宋体"/>
          <w:b/>
          <w:bCs w:val="0"/>
          <w:sz w:val="20"/>
          <w:szCs w:val="20"/>
          <w:lang w:val="en-US" w:eastAsia="zh-CN"/>
        </w:rPr>
      </w:pPr>
      <w:r>
        <w:rPr>
          <w:rFonts w:hint="eastAsia" w:ascii="宋体" w:hAnsi="宋体" w:eastAsia="宋体" w:cs="宋体"/>
          <w:b/>
          <w:bCs w:val="0"/>
          <w:sz w:val="20"/>
          <w:szCs w:val="20"/>
          <w:lang w:val="en-US" w:eastAsia="zh-CN"/>
        </w:rPr>
        <w:t>表A8  控制事前选择变量</w:t>
      </w:r>
    </w:p>
    <w:tbl>
      <w:tblPr>
        <w:tblStyle w:val="12"/>
        <w:tblW w:w="9112" w:type="dxa"/>
        <w:tblInd w:w="-40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14"/>
        <w:gridCol w:w="1091"/>
        <w:gridCol w:w="1091"/>
        <w:gridCol w:w="1091"/>
        <w:gridCol w:w="1175"/>
        <w:gridCol w:w="1175"/>
        <w:gridCol w:w="1175"/>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12" w:space="0"/>
              <w:left w:val="nil"/>
              <w:bottom w:val="nil"/>
              <w:right w:val="nil"/>
              <w:insideV w:val="nil"/>
              <w:tl2br w:val="nil"/>
              <w:tr2bl w:val="nil"/>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0" w:type="auto"/>
            <w:tcBorders>
              <w:top w:val="single" w:color="auto" w:sz="12" w:space="0"/>
              <w:left w:val="nil"/>
              <w:bottom w:val="nil"/>
              <w:right w:val="nil"/>
              <w:insideV w:val="nil"/>
              <w:tl2br w:val="nil"/>
              <w:tr2bl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1</w:t>
            </w:r>
            <w:r>
              <w:rPr>
                <w:rFonts w:ascii="仿宋" w:hAnsi="仿宋" w:eastAsia="仿宋" w:cs="Times New Roman"/>
                <w:kern w:val="0"/>
                <w:sz w:val="18"/>
                <w:szCs w:val="18"/>
              </w:rPr>
              <w:t>）</w:t>
            </w:r>
          </w:p>
        </w:tc>
        <w:tc>
          <w:tcPr>
            <w:tcW w:w="0" w:type="auto"/>
            <w:tcBorders>
              <w:top w:val="single" w:color="auto" w:sz="12" w:space="0"/>
              <w:left w:val="nil"/>
              <w:bottom w:val="nil"/>
              <w:right w:val="nil"/>
              <w:insideV w:val="nil"/>
              <w:tl2br w:val="nil"/>
              <w:tr2bl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2</w:t>
            </w:r>
            <w:r>
              <w:rPr>
                <w:rFonts w:ascii="仿宋" w:hAnsi="仿宋" w:eastAsia="仿宋" w:cs="Times New Roman"/>
                <w:kern w:val="0"/>
                <w:sz w:val="18"/>
                <w:szCs w:val="18"/>
              </w:rPr>
              <w:t>）</w:t>
            </w:r>
          </w:p>
        </w:tc>
        <w:tc>
          <w:tcPr>
            <w:tcW w:w="0" w:type="auto"/>
            <w:tcBorders>
              <w:top w:val="single" w:color="auto" w:sz="12" w:space="0"/>
              <w:left w:val="nil"/>
              <w:bottom w:val="nil"/>
              <w:right w:val="nil"/>
              <w:insideV w:val="nil"/>
              <w:tl2br w:val="nil"/>
              <w:tr2bl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3</w:t>
            </w:r>
            <w:r>
              <w:rPr>
                <w:rFonts w:ascii="仿宋" w:hAnsi="仿宋" w:eastAsia="仿宋" w:cs="Times New Roman"/>
                <w:kern w:val="0"/>
                <w:sz w:val="18"/>
                <w:szCs w:val="18"/>
              </w:rPr>
              <w:t>）</w:t>
            </w:r>
          </w:p>
        </w:tc>
        <w:tc>
          <w:tcPr>
            <w:tcW w:w="0" w:type="auto"/>
            <w:tcBorders>
              <w:top w:val="single" w:color="auto" w:sz="12" w:space="0"/>
              <w:left w:val="nil"/>
              <w:bottom w:val="nil"/>
              <w:right w:val="nil"/>
              <w:insideV w:val="nil"/>
              <w:tl2br w:val="nil"/>
              <w:tr2bl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4</w:t>
            </w:r>
            <w:r>
              <w:rPr>
                <w:rFonts w:ascii="仿宋" w:hAnsi="仿宋" w:eastAsia="仿宋" w:cs="Times New Roman"/>
                <w:kern w:val="0"/>
                <w:sz w:val="18"/>
                <w:szCs w:val="18"/>
              </w:rPr>
              <w:t>）</w:t>
            </w:r>
          </w:p>
        </w:tc>
        <w:tc>
          <w:tcPr>
            <w:tcW w:w="0" w:type="auto"/>
            <w:tcBorders>
              <w:top w:val="single" w:color="auto" w:sz="12" w:space="0"/>
              <w:left w:val="nil"/>
              <w:bottom w:val="nil"/>
              <w:right w:val="nil"/>
              <w:insideV w:val="nil"/>
              <w:tl2br w:val="nil"/>
              <w:tr2bl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5</w:t>
            </w:r>
            <w:r>
              <w:rPr>
                <w:rFonts w:ascii="仿宋" w:hAnsi="仿宋" w:eastAsia="仿宋" w:cs="Times New Roman"/>
                <w:kern w:val="0"/>
                <w:sz w:val="18"/>
                <w:szCs w:val="18"/>
              </w:rPr>
              <w:t>）</w:t>
            </w:r>
          </w:p>
        </w:tc>
        <w:tc>
          <w:tcPr>
            <w:tcW w:w="0" w:type="auto"/>
            <w:tcBorders>
              <w:top w:val="single" w:color="auto" w:sz="12" w:space="0"/>
              <w:left w:val="nil"/>
              <w:bottom w:val="nil"/>
              <w:right w:val="nil"/>
              <w:insideV w:val="nil"/>
              <w:tl2br w:val="nil"/>
              <w:tr2bl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w:t>
            </w:r>
            <w:r>
              <w:rPr>
                <w:rFonts w:ascii="Times New Roman" w:hAnsi="Times New Roman" w:eastAsia="仿宋" w:cs="Times New Roman"/>
                <w:kern w:val="0"/>
                <w:sz w:val="18"/>
                <w:szCs w:val="18"/>
              </w:rPr>
              <w:t>6</w:t>
            </w:r>
            <w:r>
              <w:rPr>
                <w:rFonts w:ascii="仿宋" w:hAnsi="仿宋" w:eastAsia="仿宋" w:cs="Times New Roman"/>
                <w:kern w:val="0"/>
                <w:sz w:val="18"/>
                <w:szCs w:val="18"/>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0" w:type="auto"/>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仿宋" w:hAnsi="仿宋" w:eastAsia="仿宋" w:cs="Times New Roman"/>
                <w:kern w:val="0"/>
                <w:sz w:val="18"/>
                <w:szCs w:val="18"/>
              </w:rPr>
              <w:t>高中入学率</w:t>
            </w:r>
          </w:p>
        </w:tc>
        <w:tc>
          <w:tcPr>
            <w:tcW w:w="0" w:type="auto"/>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仿宋" w:hAnsi="仿宋" w:eastAsia="仿宋" w:cs="Times New Roman"/>
                <w:kern w:val="0"/>
                <w:sz w:val="18"/>
                <w:szCs w:val="18"/>
              </w:rPr>
              <w:t>大学入学率</w:t>
            </w:r>
          </w:p>
        </w:tc>
        <w:tc>
          <w:tcPr>
            <w:tcW w:w="0" w:type="auto"/>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仿宋" w:hAnsi="仿宋" w:eastAsia="仿宋" w:cs="Times New Roman"/>
                <w:kern w:val="0"/>
                <w:sz w:val="18"/>
                <w:szCs w:val="18"/>
              </w:rPr>
              <w:t>受教育年限</w:t>
            </w:r>
          </w:p>
        </w:tc>
        <w:tc>
          <w:tcPr>
            <w:tcW w:w="0" w:type="auto"/>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仿宋" w:hAnsi="仿宋" w:eastAsia="仿宋" w:cs="Times New Roman"/>
                <w:kern w:val="0"/>
                <w:sz w:val="18"/>
                <w:szCs w:val="18"/>
              </w:rPr>
              <w:t>高中入学率</w:t>
            </w:r>
          </w:p>
        </w:tc>
        <w:tc>
          <w:tcPr>
            <w:tcW w:w="0" w:type="auto"/>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仿宋" w:hAnsi="仿宋" w:eastAsia="仿宋" w:cs="Times New Roman"/>
                <w:kern w:val="0"/>
                <w:sz w:val="18"/>
                <w:szCs w:val="18"/>
              </w:rPr>
              <w:t>大学入学率</w:t>
            </w:r>
          </w:p>
        </w:tc>
        <w:tc>
          <w:tcPr>
            <w:tcW w:w="0" w:type="auto"/>
            <w:tcBorders>
              <w:top w:val="nil"/>
              <w:left w:val="nil"/>
              <w:bottom w:val="single" w:color="auto" w:sz="4"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仿宋" w:hAnsi="仿宋" w:eastAsia="仿宋" w:cs="Times New Roman"/>
                <w:kern w:val="0"/>
                <w:sz w:val="18"/>
                <w:szCs w:val="18"/>
              </w:rPr>
              <w:t>受教育年限</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m:oMathPara>
              <m:oMath>
                <m:sSub>
                  <m:sSubPr>
                    <m:ctrlPr>
                      <w:rPr>
                        <w:rFonts w:ascii="Cambria Math" w:hAnsi="Cambria Math" w:eastAsia="仿宋" w:cs="Times New Roman"/>
                        <w:i/>
                        <w:iCs/>
                        <w:kern w:val="0"/>
                        <w:sz w:val="18"/>
                        <w:szCs w:val="18"/>
                      </w:rPr>
                    </m:ctrlPr>
                  </m:sSubPr>
                  <m:e>
                    <m:r>
                      <m:rPr/>
                      <w:rPr>
                        <w:rFonts w:ascii="Cambria Math" w:hAnsi="Cambria Math" w:eastAsia="仿宋" w:cs="Times New Roman"/>
                        <w:kern w:val="0"/>
                        <w:sz w:val="18"/>
                        <w:szCs w:val="18"/>
                      </w:rPr>
                      <m:t>Treat</m:t>
                    </m:r>
                    <m:ctrlPr>
                      <w:rPr>
                        <w:rFonts w:ascii="Cambria Math" w:hAnsi="Cambria Math" w:eastAsia="仿宋" w:cs="Times New Roman"/>
                        <w:i/>
                        <w:iCs/>
                        <w:kern w:val="0"/>
                        <w:sz w:val="18"/>
                        <w:szCs w:val="18"/>
                      </w:rPr>
                    </m:ctrlPr>
                  </m:e>
                  <m:sub>
                    <m:r>
                      <m:rPr/>
                      <w:rPr>
                        <w:rFonts w:ascii="Cambria Math" w:hAnsi="Cambria Math" w:eastAsia="仿宋" w:cs="Times New Roman"/>
                        <w:kern w:val="0"/>
                        <w:sz w:val="18"/>
                        <w:szCs w:val="18"/>
                      </w:rPr>
                      <m:t>c</m:t>
                    </m:r>
                    <m:ctrlPr>
                      <w:rPr>
                        <w:rFonts w:ascii="Cambria Math" w:hAnsi="Cambria Math" w:eastAsia="仿宋" w:cs="Times New Roman"/>
                        <w:i/>
                        <w:iCs/>
                        <w:kern w:val="0"/>
                        <w:sz w:val="18"/>
                        <w:szCs w:val="18"/>
                      </w:rPr>
                    </m:ctrlPr>
                  </m:sub>
                </m:sSub>
                <m:r>
                  <m:rPr/>
                  <w:rPr>
                    <w:rFonts w:ascii="Cambria Math" w:hAnsi="Cambria Math" w:eastAsia="仿宋" w:cs="Times New Roman"/>
                    <w:kern w:val="0"/>
                    <w:sz w:val="18"/>
                    <w:szCs w:val="18"/>
                  </w:rPr>
                  <m:t>×</m:t>
                </m:r>
                <m:sSub>
                  <m:sSubPr>
                    <m:ctrlPr>
                      <w:rPr>
                        <w:rFonts w:ascii="Cambria Math" w:hAnsi="Cambria Math" w:eastAsia="仿宋" w:cs="Times New Roman"/>
                        <w:i/>
                        <w:iCs/>
                        <w:kern w:val="0"/>
                        <w:sz w:val="18"/>
                        <w:szCs w:val="18"/>
                      </w:rPr>
                    </m:ctrlPr>
                  </m:sSubPr>
                  <m:e>
                    <m:r>
                      <m:rPr/>
                      <w:rPr>
                        <w:rFonts w:ascii="Cambria Math" w:hAnsi="Cambria Math" w:eastAsia="仿宋" w:cs="Times New Roman"/>
                        <w:kern w:val="0"/>
                        <w:sz w:val="18"/>
                        <w:szCs w:val="18"/>
                      </w:rPr>
                      <m:t>Post</m:t>
                    </m:r>
                    <m:ctrlPr>
                      <w:rPr>
                        <w:rFonts w:ascii="Cambria Math" w:hAnsi="Cambria Math" w:eastAsia="仿宋" w:cs="Times New Roman"/>
                        <w:i/>
                        <w:iCs/>
                        <w:kern w:val="0"/>
                        <w:sz w:val="18"/>
                        <w:szCs w:val="18"/>
                      </w:rPr>
                    </m:ctrlPr>
                  </m:e>
                  <m:sub>
                    <m:r>
                      <m:rPr/>
                      <w:rPr>
                        <w:rFonts w:ascii="Cambria Math" w:hAnsi="Cambria Math" w:eastAsia="仿宋" w:cs="Times New Roman"/>
                        <w:kern w:val="0"/>
                        <w:sz w:val="18"/>
                        <w:szCs w:val="18"/>
                      </w:rPr>
                      <m:t>t</m:t>
                    </m:r>
                    <m:ctrlPr>
                      <w:rPr>
                        <w:rFonts w:ascii="Cambria Math" w:hAnsi="Cambria Math" w:eastAsia="仿宋" w:cs="Times New Roman"/>
                        <w:i/>
                        <w:iCs/>
                        <w:kern w:val="0"/>
                        <w:sz w:val="18"/>
                        <w:szCs w:val="18"/>
                      </w:rPr>
                    </m:ctrlPr>
                  </m:sub>
                </m:sSub>
              </m:oMath>
            </m:oMathPara>
          </w:p>
        </w:tc>
        <w:tc>
          <w:tcPr>
            <w:tcW w:w="1095" w:type="dxa"/>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0.0357***</w:t>
            </w:r>
          </w:p>
        </w:tc>
        <w:tc>
          <w:tcPr>
            <w:tcW w:w="1095" w:type="dxa"/>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0.0462***</w:t>
            </w:r>
          </w:p>
        </w:tc>
        <w:tc>
          <w:tcPr>
            <w:tcW w:w="1095" w:type="dxa"/>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0.2661***</w:t>
            </w:r>
          </w:p>
        </w:tc>
        <w:tc>
          <w:tcPr>
            <w:tcW w:w="1182" w:type="dxa"/>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0.0356***</w:t>
            </w:r>
          </w:p>
        </w:tc>
        <w:tc>
          <w:tcPr>
            <w:tcW w:w="1182" w:type="dxa"/>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0.0460***</w:t>
            </w:r>
          </w:p>
        </w:tc>
        <w:tc>
          <w:tcPr>
            <w:tcW w:w="1182" w:type="dxa"/>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0.2654***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p>
        </w:tc>
        <w:tc>
          <w:tcPr>
            <w:tcW w:w="1095" w:type="dxa"/>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(0.0077)</w:t>
            </w:r>
          </w:p>
        </w:tc>
        <w:tc>
          <w:tcPr>
            <w:tcW w:w="1095" w:type="dxa"/>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(0.0102)</w:t>
            </w:r>
          </w:p>
        </w:tc>
        <w:tc>
          <w:tcPr>
            <w:tcW w:w="1095" w:type="dxa"/>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(0.0548)</w:t>
            </w:r>
          </w:p>
        </w:tc>
        <w:tc>
          <w:tcPr>
            <w:tcW w:w="1182" w:type="dxa"/>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(0.0077)</w:t>
            </w:r>
          </w:p>
        </w:tc>
        <w:tc>
          <w:tcPr>
            <w:tcW w:w="1182" w:type="dxa"/>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(0.0104)</w:t>
            </w:r>
          </w:p>
        </w:tc>
        <w:tc>
          <w:tcPr>
            <w:tcW w:w="1182" w:type="dxa"/>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(0.0554)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仿宋" w:hAnsi="仿宋" w:eastAsia="仿宋" w:cs="Times New Roman"/>
                <w:kern w:val="0"/>
                <w:sz w:val="18"/>
                <w:szCs w:val="18"/>
              </w:rPr>
              <w:t>控制变量</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 w:hRule="atLeast"/>
        </w:trPr>
        <w:tc>
          <w:tcPr>
            <w:tcW w:w="2281" w:type="dxa"/>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仿宋" w:hAnsi="仿宋" w:eastAsia="仿宋" w:cs="Times New Roman"/>
                <w:kern w:val="0"/>
                <w:sz w:val="18"/>
                <w:szCs w:val="18"/>
              </w:rPr>
              <w:t>出生</w:t>
            </w:r>
            <w:r>
              <w:rPr>
                <w:rFonts w:ascii="仿宋" w:hAnsi="仿宋" w:eastAsia="仿宋" w:cs="Times New Roman"/>
                <w:kern w:val="0"/>
                <w:sz w:val="18"/>
                <w:szCs w:val="18"/>
              </w:rPr>
              <w:t>年份固定效应</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281" w:type="dxa"/>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区县固定效应</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281" w:type="dxa"/>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仿宋" w:hAnsi="仿宋" w:eastAsia="仿宋" w:cs="Times New Roman"/>
                <w:kern w:val="0"/>
                <w:sz w:val="18"/>
                <w:szCs w:val="18"/>
              </w:rPr>
              <w:t>年份×市固定效应</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281" w:type="dxa"/>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选择性变量</w:t>
            </w:r>
            <w:r>
              <w:rPr>
                <w:rFonts w:hint="eastAsia" w:ascii="仿宋" w:hAnsi="仿宋" w:eastAsia="仿宋" w:cs="Times New Roman"/>
                <w:kern w:val="0"/>
                <w:sz w:val="18"/>
                <w:szCs w:val="18"/>
              </w:rPr>
              <w:t>×</w:t>
            </w:r>
            <w:r>
              <w:rPr>
                <w:rFonts w:hint="eastAsia" w:ascii="Times New Roman" w:hAnsi="Times New Roman" w:eastAsia="仿宋" w:cs="Times New Roman"/>
                <w:kern w:val="0"/>
                <w:sz w:val="18"/>
                <w:szCs w:val="18"/>
              </w:rPr>
              <w:t>T</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No</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No</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No</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281" w:type="dxa"/>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选择性变量</w:t>
            </w:r>
            <w:r>
              <w:rPr>
                <w:rFonts w:hint="eastAsia" w:ascii="仿宋" w:hAnsi="仿宋" w:eastAsia="仿宋" w:cs="Times New Roman"/>
                <w:kern w:val="0"/>
                <w:sz w:val="18"/>
                <w:szCs w:val="18"/>
              </w:rPr>
              <w:t>×</w:t>
            </w:r>
            <w:r>
              <w:rPr>
                <w:rFonts w:hint="eastAsia" w:ascii="Times New Roman" w:hAnsi="Times New Roman" w:eastAsia="仿宋" w:cs="Times New Roman"/>
                <w:kern w:val="0"/>
                <w:sz w:val="18"/>
                <w:szCs w:val="18"/>
              </w:rPr>
              <w:t>T2</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No</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No</w:t>
            </w:r>
          </w:p>
        </w:tc>
        <w:tc>
          <w:tcPr>
            <w:tcW w:w="0" w:type="auto"/>
            <w:tcBorders>
              <w:top w:val="nil"/>
              <w:left w:val="nil"/>
              <w:bottom w:val="nil"/>
              <w:right w:val="nil"/>
            </w:tcBorders>
            <w:vAlign w:val="center"/>
          </w:tcPr>
          <w:p>
            <w:pPr>
              <w:autoSpaceDE w:val="0"/>
              <w:autoSpaceDN w:val="0"/>
              <w:adjustRightInd w:val="0"/>
              <w:spacing w:line="380" w:lineRule="exact"/>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No</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281" w:type="dxa"/>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选择性变量</w:t>
            </w:r>
            <w:r>
              <w:rPr>
                <w:rFonts w:hint="eastAsia" w:ascii="仿宋" w:hAnsi="仿宋" w:eastAsia="仿宋" w:cs="Times New Roman"/>
                <w:kern w:val="0"/>
                <w:sz w:val="18"/>
                <w:szCs w:val="18"/>
              </w:rPr>
              <w:t>×</w:t>
            </w:r>
            <w:r>
              <w:rPr>
                <w:rFonts w:hint="eastAsia" w:ascii="Times New Roman" w:hAnsi="Times New Roman" w:eastAsia="仿宋" w:cs="Times New Roman"/>
                <w:kern w:val="0"/>
                <w:sz w:val="18"/>
                <w:szCs w:val="18"/>
              </w:rPr>
              <w:t>T3</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No</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No</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No</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仿宋" w:hAnsi="仿宋" w:eastAsia="仿宋" w:cs="Times New Roman"/>
                <w:kern w:val="0"/>
                <w:sz w:val="18"/>
                <w:szCs w:val="18"/>
              </w:rPr>
              <w:t>选择性变量</w:t>
            </w:r>
            <w:r>
              <w:rPr>
                <w:rFonts w:hint="eastAsia" w:ascii="仿宋" w:hAnsi="仿宋" w:eastAsia="仿宋" w:cs="Times New Roman"/>
                <w:kern w:val="0"/>
                <w:sz w:val="18"/>
                <w:szCs w:val="18"/>
              </w:rPr>
              <w:t>×年份固定效应</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No</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No</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No</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c>
          <w:tcPr>
            <w:tcW w:w="0" w:type="auto"/>
            <w:tcBorders>
              <w:top w:val="nil"/>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Yes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仿宋" w:hAnsi="仿宋" w:eastAsia="仿宋" w:cs="Times New Roman"/>
                <w:kern w:val="0"/>
                <w:sz w:val="18"/>
                <w:szCs w:val="18"/>
              </w:rPr>
              <w:t>观测值</w:t>
            </w:r>
          </w:p>
        </w:tc>
        <w:tc>
          <w:tcPr>
            <w:tcW w:w="0" w:type="auto"/>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1853860</w:t>
            </w:r>
          </w:p>
        </w:tc>
        <w:tc>
          <w:tcPr>
            <w:tcW w:w="0" w:type="auto"/>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1853860</w:t>
            </w:r>
          </w:p>
        </w:tc>
        <w:tc>
          <w:tcPr>
            <w:tcW w:w="0" w:type="auto"/>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1853860</w:t>
            </w:r>
          </w:p>
        </w:tc>
        <w:tc>
          <w:tcPr>
            <w:tcW w:w="0" w:type="auto"/>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1853860</w:t>
            </w:r>
          </w:p>
        </w:tc>
        <w:tc>
          <w:tcPr>
            <w:tcW w:w="0" w:type="auto"/>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1853860</w:t>
            </w:r>
          </w:p>
        </w:tc>
        <w:tc>
          <w:tcPr>
            <w:tcW w:w="0" w:type="auto"/>
            <w:tcBorders>
              <w:top w:val="single" w:color="auto" w:sz="4" w:space="0"/>
              <w:left w:val="nil"/>
              <w:bottom w:val="nil"/>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1853860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nil"/>
              <w:left w:val="nil"/>
              <w:bottom w:val="single" w:color="auto" w:sz="12"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R2</w:t>
            </w:r>
          </w:p>
        </w:tc>
        <w:tc>
          <w:tcPr>
            <w:tcW w:w="1095" w:type="dxa"/>
            <w:tcBorders>
              <w:top w:val="nil"/>
              <w:left w:val="nil"/>
              <w:bottom w:val="single" w:color="auto" w:sz="12"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0.372</w:t>
            </w:r>
          </w:p>
        </w:tc>
        <w:tc>
          <w:tcPr>
            <w:tcW w:w="1095" w:type="dxa"/>
            <w:tcBorders>
              <w:top w:val="nil"/>
              <w:left w:val="nil"/>
              <w:bottom w:val="single" w:color="auto" w:sz="12"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0.327</w:t>
            </w:r>
          </w:p>
        </w:tc>
        <w:tc>
          <w:tcPr>
            <w:tcW w:w="1095" w:type="dxa"/>
            <w:tcBorders>
              <w:top w:val="nil"/>
              <w:left w:val="nil"/>
              <w:bottom w:val="single" w:color="auto" w:sz="12"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0.433</w:t>
            </w:r>
          </w:p>
        </w:tc>
        <w:tc>
          <w:tcPr>
            <w:tcW w:w="1182" w:type="dxa"/>
            <w:tcBorders>
              <w:top w:val="nil"/>
              <w:left w:val="nil"/>
              <w:bottom w:val="single" w:color="auto" w:sz="12"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0.372</w:t>
            </w:r>
          </w:p>
        </w:tc>
        <w:tc>
          <w:tcPr>
            <w:tcW w:w="1182" w:type="dxa"/>
            <w:tcBorders>
              <w:top w:val="nil"/>
              <w:left w:val="nil"/>
              <w:bottom w:val="single" w:color="auto" w:sz="12"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0.327</w:t>
            </w:r>
          </w:p>
        </w:tc>
        <w:tc>
          <w:tcPr>
            <w:tcW w:w="1182" w:type="dxa"/>
            <w:tcBorders>
              <w:top w:val="nil"/>
              <w:left w:val="nil"/>
              <w:bottom w:val="single" w:color="auto" w:sz="12" w:space="0"/>
              <w:right w:val="nil"/>
            </w:tcBorders>
            <w:vAlign w:val="center"/>
          </w:tcPr>
          <w:p>
            <w:pPr>
              <w:autoSpaceDE w:val="0"/>
              <w:autoSpaceDN w:val="0"/>
              <w:adjustRightIn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0.433</w:t>
            </w:r>
          </w:p>
        </w:tc>
      </w:tr>
    </w:tbl>
    <w:p>
      <w:pPr>
        <w:ind w:firstLine="360" w:firstLineChars="200"/>
        <w:rPr>
          <w:rFonts w:ascii="Times New Roman" w:hAnsi="Times New Roman" w:eastAsia="仿宋" w:cs="Times New Roman"/>
          <w:kern w:val="0"/>
          <w:sz w:val="18"/>
          <w:szCs w:val="18"/>
        </w:rPr>
      </w:pPr>
      <w:r>
        <w:rPr>
          <w:rFonts w:ascii="仿宋" w:hAnsi="仿宋" w:eastAsia="仿宋" w:cs="Times New Roman"/>
          <w:kern w:val="0"/>
          <w:sz w:val="18"/>
          <w:szCs w:val="18"/>
        </w:rPr>
        <w:t>注：括号中的数值为在县级层面聚类的稳健标准误；</w:t>
      </w:r>
      <w:r>
        <w:rPr>
          <w:rFonts w:ascii="Times New Roman" w:hAnsi="Times New Roman" w:eastAsia="仿宋" w:cs="Times New Roman"/>
          <w:kern w:val="0"/>
          <w:sz w:val="18"/>
          <w:szCs w:val="18"/>
        </w:rPr>
        <w:t>***</w:t>
      </w:r>
      <w:r>
        <w:rPr>
          <w:rFonts w:ascii="仿宋" w:hAnsi="仿宋" w:eastAsia="仿宋" w:cs="Times New Roman"/>
          <w:kern w:val="0"/>
          <w:sz w:val="18"/>
          <w:szCs w:val="18"/>
        </w:rPr>
        <w:t>、</w:t>
      </w:r>
      <w:r>
        <w:rPr>
          <w:rFonts w:ascii="Times New Roman" w:hAnsi="Times New Roman" w:eastAsia="仿宋" w:cs="Times New Roman"/>
          <w:kern w:val="0"/>
          <w:sz w:val="18"/>
          <w:szCs w:val="18"/>
        </w:rPr>
        <w:t>**</w:t>
      </w:r>
      <w:r>
        <w:rPr>
          <w:rFonts w:ascii="仿宋" w:hAnsi="仿宋" w:eastAsia="仿宋" w:cs="Times New Roman"/>
          <w:kern w:val="0"/>
          <w:sz w:val="18"/>
          <w:szCs w:val="18"/>
        </w:rPr>
        <w:t>和</w:t>
      </w:r>
      <w:r>
        <w:rPr>
          <w:rFonts w:ascii="Times New Roman" w:hAnsi="Times New Roman" w:eastAsia="仿宋" w:cs="Times New Roman"/>
          <w:kern w:val="0"/>
          <w:sz w:val="18"/>
          <w:szCs w:val="18"/>
        </w:rPr>
        <w:t>*</w:t>
      </w:r>
      <w:r>
        <w:rPr>
          <w:rFonts w:ascii="仿宋" w:hAnsi="仿宋" w:eastAsia="仿宋" w:cs="Times New Roman"/>
          <w:kern w:val="0"/>
          <w:sz w:val="18"/>
          <w:szCs w:val="18"/>
        </w:rPr>
        <w:t>分别表示在</w:t>
      </w:r>
      <w:r>
        <w:rPr>
          <w:rFonts w:ascii="Times New Roman" w:hAnsi="Times New Roman" w:eastAsia="仿宋" w:cs="Times New Roman"/>
          <w:kern w:val="0"/>
          <w:sz w:val="18"/>
          <w:szCs w:val="18"/>
        </w:rPr>
        <w:t>1%</w:t>
      </w:r>
      <w:r>
        <w:rPr>
          <w:rFonts w:ascii="仿宋" w:hAnsi="仿宋" w:eastAsia="仿宋" w:cs="Times New Roman"/>
          <w:kern w:val="0"/>
          <w:sz w:val="18"/>
          <w:szCs w:val="18"/>
        </w:rPr>
        <w:t>、</w:t>
      </w:r>
      <w:r>
        <w:rPr>
          <w:rFonts w:ascii="Times New Roman" w:hAnsi="Times New Roman" w:eastAsia="仿宋" w:cs="Times New Roman"/>
          <w:kern w:val="0"/>
          <w:sz w:val="18"/>
          <w:szCs w:val="18"/>
        </w:rPr>
        <w:t>5%</w:t>
      </w:r>
      <w:r>
        <w:rPr>
          <w:rFonts w:ascii="仿宋" w:hAnsi="仿宋" w:eastAsia="仿宋" w:cs="Times New Roman"/>
          <w:kern w:val="0"/>
          <w:sz w:val="18"/>
          <w:szCs w:val="18"/>
        </w:rPr>
        <w:t>和</w:t>
      </w:r>
      <w:r>
        <w:rPr>
          <w:rFonts w:ascii="Times New Roman" w:hAnsi="Times New Roman" w:eastAsia="仿宋" w:cs="Times New Roman"/>
          <w:kern w:val="0"/>
          <w:sz w:val="18"/>
          <w:szCs w:val="18"/>
        </w:rPr>
        <w:t>10%</w:t>
      </w:r>
      <w:r>
        <w:rPr>
          <w:rFonts w:ascii="仿宋" w:hAnsi="仿宋" w:eastAsia="仿宋" w:cs="Times New Roman"/>
          <w:kern w:val="0"/>
          <w:sz w:val="18"/>
          <w:szCs w:val="18"/>
        </w:rPr>
        <w:t>置信度水平下显著。</w:t>
      </w:r>
      <w:r>
        <w:rPr>
          <w:rFonts w:ascii="Times New Roman" w:hAnsi="Times New Roman" w:eastAsia="仿宋" w:cs="Times New Roman"/>
          <w:kern w:val="0"/>
          <w:sz w:val="18"/>
          <w:szCs w:val="18"/>
        </w:rPr>
        <w:t xml:space="preserve"> </w:t>
      </w:r>
      <w:r>
        <w:rPr>
          <w:rFonts w:ascii="仿宋" w:hAnsi="仿宋" w:eastAsia="仿宋" w:cs="Times New Roman"/>
          <w:kern w:val="0"/>
          <w:sz w:val="18"/>
          <w:szCs w:val="18"/>
        </w:rPr>
        <w:t>控制变量包括个体的性别、民族、户口以及家庭规模。</w:t>
      </w:r>
      <w:r>
        <w:rPr>
          <w:rFonts w:hint="eastAsia" w:ascii="仿宋" w:hAnsi="仿宋" w:eastAsia="仿宋" w:cs="Times New Roman"/>
          <w:kern w:val="0"/>
          <w:sz w:val="18"/>
          <w:szCs w:val="18"/>
        </w:rPr>
        <w:t>选择性变量包括各区县基期的</w:t>
      </w:r>
      <w:r>
        <w:rPr>
          <w:rFonts w:hint="eastAsia" w:ascii="Times New Roman" w:hAnsi="Times New Roman" w:eastAsia="仿宋" w:cs="Times New Roman"/>
          <w:kern w:val="0"/>
          <w:sz w:val="18"/>
          <w:szCs w:val="18"/>
        </w:rPr>
        <w:t>GDP</w:t>
      </w:r>
      <w:r>
        <w:rPr>
          <w:rFonts w:hint="eastAsia" w:ascii="仿宋" w:hAnsi="仿宋" w:eastAsia="仿宋" w:cs="Times New Roman"/>
          <w:kern w:val="0"/>
          <w:sz w:val="18"/>
          <w:szCs w:val="18"/>
        </w:rPr>
        <w:t>、第一产业占比、第二产业占比、人口、农业人口占比、财政收入。</w:t>
      </w:r>
    </w:p>
    <w:p>
      <w:pPr>
        <w:rPr>
          <w:rFonts w:ascii="等线" w:hAnsi="等线" w:eastAsia="等线" w:cs="Times New Roman"/>
          <w:sz w:val="18"/>
          <w:szCs w:val="18"/>
        </w:rPr>
      </w:pPr>
      <w:r>
        <w:rPr>
          <w:rFonts w:hint="eastAsia" w:ascii="等线" w:hAnsi="等线" w:eastAsia="等线" w:cs="Times New Roman"/>
          <w:sz w:val="18"/>
          <w:szCs w:val="18"/>
        </w:rPr>
        <w:t xml:space="preserve"> </w:t>
      </w:r>
    </w:p>
    <w:p>
      <w:pPr>
        <w:jc w:val="center"/>
        <w:rPr>
          <w:rFonts w:hint="eastAsia" w:ascii="Times New Roman" w:hAnsi="Times New Roman" w:eastAsia="仿宋" w:cs="Times New Roman"/>
          <w:sz w:val="36"/>
          <w:szCs w:val="36"/>
        </w:rPr>
      </w:pPr>
    </w:p>
    <w:p>
      <w:pPr>
        <w:rPr>
          <w:rFonts w:ascii="等线" w:hAnsi="等线" w:eastAsia="等线" w:cs="Times New Roman"/>
        </w:rPr>
      </w:pPr>
    </w:p>
    <w:p>
      <w:pPr>
        <w:rPr>
          <w:rFonts w:hint="eastAsia" w:ascii="楷体" w:hAnsi="楷体" w:eastAsia="楷体"/>
          <w:sz w:val="28"/>
          <w:szCs w:val="28"/>
          <w:shd w:val="clear" w:color="auto" w:fill="FFFFFF"/>
        </w:rPr>
      </w:pPr>
    </w:p>
    <w:p>
      <w:pPr>
        <w:rPr>
          <w:rFonts w:hint="eastAsia" w:ascii="楷体" w:hAnsi="楷体" w:eastAsia="楷体"/>
          <w:sz w:val="28"/>
          <w:szCs w:val="28"/>
          <w:shd w:val="clear" w:color="auto" w:fill="FFFFFF"/>
        </w:rPr>
      </w:pPr>
      <w:r>
        <w:rPr>
          <w:rFonts w:hint="eastAsia" w:ascii="楷体" w:hAnsi="楷体" w:eastAsia="楷体"/>
          <w:sz w:val="28"/>
          <w:szCs w:val="28"/>
          <w:shd w:val="clear" w:color="auto" w:fill="FFFFFF"/>
        </w:rPr>
        <w:br w:type="page"/>
      </w:r>
    </w:p>
    <w:p>
      <w:pPr>
        <w:spacing w:before="312" w:beforeLines="100" w:after="312" w:afterLines="100"/>
        <w:jc w:val="center"/>
        <w:outlineLvl w:val="0"/>
        <w:rPr>
          <w:rFonts w:ascii="楷体" w:hAnsi="楷体" w:eastAsia="楷体"/>
          <w:sz w:val="28"/>
          <w:szCs w:val="28"/>
          <w:shd w:val="clear" w:color="auto" w:fill="FFFFFF"/>
        </w:rPr>
      </w:pPr>
      <w:bookmarkStart w:id="17" w:name="_Toc21347"/>
      <w:bookmarkStart w:id="18" w:name="_Toc23026"/>
      <w:r>
        <w:rPr>
          <w:rFonts w:hint="eastAsia" w:ascii="楷体" w:hAnsi="楷体" w:eastAsia="楷体"/>
          <w:sz w:val="28"/>
          <w:szCs w:val="28"/>
          <w:shd w:val="clear" w:color="auto" w:fill="FFFFFF"/>
        </w:rPr>
        <w:t>参考文献</w:t>
      </w:r>
      <w:bookmarkEnd w:id="17"/>
      <w:bookmarkEnd w:id="18"/>
    </w:p>
    <w:p>
      <w:pPr>
        <w:pStyle w:val="10"/>
        <w:numPr>
          <w:ilvl w:val="1"/>
          <w:numId w:val="1"/>
        </w:numPr>
        <w:ind w:firstLineChars="0"/>
        <w:rPr>
          <w:rFonts w:ascii="Times New Roman" w:hAnsi="Times New Roman" w:eastAsia="仿宋"/>
          <w:bCs/>
          <w:sz w:val="18"/>
          <w:szCs w:val="18"/>
        </w:rPr>
      </w:pPr>
      <w:r>
        <w:rPr>
          <w:rFonts w:ascii="仿宋" w:hAnsi="仿宋" w:eastAsia="仿宋"/>
          <w:bCs/>
          <w:sz w:val="18"/>
          <w:szCs w:val="18"/>
        </w:rPr>
        <w:t>丁维莉、陆铭，</w:t>
      </w:r>
      <w:r>
        <w:rPr>
          <w:rFonts w:hint="eastAsia" w:ascii="仿宋" w:hAnsi="仿宋" w:eastAsia="仿宋"/>
          <w:bCs/>
          <w:sz w:val="18"/>
          <w:szCs w:val="18"/>
        </w:rPr>
        <w:t>“</w:t>
      </w:r>
      <w:r>
        <w:rPr>
          <w:rFonts w:ascii="仿宋" w:hAnsi="仿宋" w:eastAsia="仿宋"/>
          <w:bCs/>
          <w:sz w:val="18"/>
          <w:szCs w:val="18"/>
        </w:rPr>
        <w:t>教育的公平与效率是鱼和熊掌吗</w:t>
      </w:r>
      <w:r>
        <w:rPr>
          <w:rFonts w:ascii="Times New Roman" w:hAnsi="Times New Roman" w:eastAsia="仿宋"/>
          <w:bCs/>
          <w:sz w:val="18"/>
          <w:szCs w:val="18"/>
        </w:rPr>
        <w:t>——</w:t>
      </w:r>
      <w:r>
        <w:rPr>
          <w:rFonts w:ascii="仿宋" w:hAnsi="仿宋" w:eastAsia="仿宋"/>
          <w:bCs/>
          <w:sz w:val="18"/>
          <w:szCs w:val="18"/>
        </w:rPr>
        <w:t>基础教育财政的一般均衡分析</w:t>
      </w:r>
      <w:r>
        <w:rPr>
          <w:rFonts w:hint="eastAsia" w:ascii="仿宋" w:hAnsi="仿宋" w:eastAsia="仿宋"/>
          <w:bCs/>
          <w:sz w:val="18"/>
          <w:szCs w:val="18"/>
        </w:rPr>
        <w:t>”</w:t>
      </w:r>
      <w:r>
        <w:rPr>
          <w:rFonts w:ascii="仿宋" w:hAnsi="仿宋" w:eastAsia="仿宋"/>
          <w:bCs/>
          <w:sz w:val="18"/>
          <w:szCs w:val="18"/>
        </w:rPr>
        <w:t>，《中国社会科学》</w:t>
      </w:r>
      <w:r>
        <w:rPr>
          <w:rFonts w:hint="eastAsia" w:ascii="仿宋" w:hAnsi="仿宋" w:eastAsia="仿宋"/>
          <w:bCs/>
          <w:sz w:val="18"/>
          <w:szCs w:val="18"/>
        </w:rPr>
        <w:t>，</w:t>
      </w:r>
      <w:r>
        <w:rPr>
          <w:rFonts w:ascii="Times New Roman" w:hAnsi="Times New Roman" w:eastAsia="仿宋"/>
          <w:bCs/>
          <w:sz w:val="18"/>
          <w:szCs w:val="18"/>
        </w:rPr>
        <w:t>2005</w:t>
      </w:r>
      <w:r>
        <w:rPr>
          <w:rFonts w:hint="eastAsia" w:ascii="仿宋" w:hAnsi="仿宋" w:eastAsia="仿宋"/>
          <w:bCs/>
          <w:sz w:val="18"/>
          <w:szCs w:val="18"/>
        </w:rPr>
        <w:t>年</w:t>
      </w:r>
      <w:r>
        <w:rPr>
          <w:rFonts w:ascii="仿宋" w:hAnsi="仿宋" w:eastAsia="仿宋"/>
          <w:bCs/>
          <w:sz w:val="18"/>
          <w:szCs w:val="18"/>
        </w:rPr>
        <w:t>第</w:t>
      </w:r>
      <w:r>
        <w:rPr>
          <w:rFonts w:ascii="Times New Roman" w:hAnsi="Times New Roman" w:eastAsia="仿宋"/>
          <w:bCs/>
          <w:sz w:val="18"/>
          <w:szCs w:val="18"/>
        </w:rPr>
        <w:t>6</w:t>
      </w:r>
      <w:r>
        <w:rPr>
          <w:rFonts w:ascii="仿宋" w:hAnsi="仿宋" w:eastAsia="仿宋"/>
          <w:bCs/>
          <w:sz w:val="18"/>
          <w:szCs w:val="18"/>
        </w:rPr>
        <w:t>期</w:t>
      </w:r>
      <w:r>
        <w:rPr>
          <w:rFonts w:hint="eastAsia" w:ascii="仿宋" w:hAnsi="仿宋" w:eastAsia="仿宋"/>
          <w:bCs/>
          <w:sz w:val="18"/>
          <w:szCs w:val="18"/>
        </w:rPr>
        <w:t>，第</w:t>
      </w:r>
      <w:r>
        <w:rPr>
          <w:rFonts w:ascii="Times New Roman" w:hAnsi="Times New Roman" w:eastAsia="仿宋"/>
          <w:bCs/>
          <w:sz w:val="18"/>
          <w:szCs w:val="18"/>
        </w:rPr>
        <w:t>47-57</w:t>
      </w:r>
      <w:r>
        <w:rPr>
          <w:rFonts w:hint="eastAsia" w:ascii="仿宋" w:hAnsi="仿宋" w:eastAsia="仿宋"/>
          <w:bCs/>
          <w:sz w:val="18"/>
          <w:szCs w:val="18"/>
        </w:rPr>
        <w:t>页</w:t>
      </w:r>
      <w:r>
        <w:rPr>
          <w:rFonts w:ascii="仿宋" w:hAnsi="仿宋" w:eastAsia="仿宋"/>
          <w:bCs/>
          <w:sz w:val="18"/>
          <w:szCs w:val="18"/>
        </w:rPr>
        <w:t>。</w:t>
      </w:r>
    </w:p>
    <w:p>
      <w:pPr>
        <w:pStyle w:val="10"/>
        <w:numPr>
          <w:ilvl w:val="1"/>
          <w:numId w:val="1"/>
        </w:numPr>
        <w:adjustRightInd w:val="0"/>
        <w:snapToGrid w:val="0"/>
        <w:ind w:firstLineChars="0"/>
        <w:rPr>
          <w:rFonts w:ascii="Times New Roman" w:hAnsi="Times New Roman" w:eastAsia="仿宋"/>
          <w:bCs/>
          <w:sz w:val="18"/>
          <w:szCs w:val="18"/>
        </w:rPr>
      </w:pPr>
      <w:r>
        <w:rPr>
          <w:rFonts w:ascii="仿宋" w:hAnsi="仿宋" w:eastAsia="仿宋"/>
          <w:bCs/>
          <w:sz w:val="18"/>
          <w:szCs w:val="18"/>
        </w:rPr>
        <w:t>董志强、钟粤俊、林文炼，</w:t>
      </w:r>
      <w:r>
        <w:rPr>
          <w:rFonts w:ascii="Times New Roman" w:hAnsi="Times New Roman" w:eastAsia="仿宋"/>
          <w:bCs/>
          <w:sz w:val="18"/>
          <w:szCs w:val="18"/>
        </w:rPr>
        <w:t>2019</w:t>
      </w:r>
      <w:r>
        <w:rPr>
          <w:rFonts w:hint="eastAsia" w:ascii="仿宋" w:hAnsi="仿宋" w:eastAsia="仿宋"/>
          <w:bCs/>
          <w:sz w:val="18"/>
          <w:szCs w:val="18"/>
        </w:rPr>
        <w:t>年“</w:t>
      </w:r>
      <w:r>
        <w:rPr>
          <w:rFonts w:ascii="仿宋" w:hAnsi="仿宋" w:eastAsia="仿宋"/>
          <w:bCs/>
          <w:sz w:val="18"/>
          <w:szCs w:val="18"/>
        </w:rPr>
        <w:t>起跑线决定未来</w:t>
      </w:r>
      <w:r>
        <w:rPr>
          <w:rFonts w:ascii="Times New Roman" w:hAnsi="Times New Roman" w:eastAsia="仿宋"/>
          <w:bCs/>
          <w:sz w:val="18"/>
          <w:szCs w:val="18"/>
        </w:rPr>
        <w:t>?——</w:t>
      </w:r>
      <w:r>
        <w:rPr>
          <w:rFonts w:ascii="仿宋" w:hAnsi="仿宋" w:eastAsia="仿宋"/>
          <w:bCs/>
          <w:sz w:val="18"/>
          <w:szCs w:val="18"/>
        </w:rPr>
        <w:t>入读重点初中对个体收入的长期影响</w:t>
      </w:r>
      <w:r>
        <w:rPr>
          <w:rFonts w:hint="eastAsia" w:ascii="仿宋" w:hAnsi="仿宋" w:eastAsia="仿宋"/>
          <w:bCs/>
          <w:sz w:val="18"/>
          <w:szCs w:val="18"/>
        </w:rPr>
        <w:t>”</w:t>
      </w:r>
      <w:r>
        <w:rPr>
          <w:rFonts w:ascii="仿宋" w:hAnsi="仿宋" w:eastAsia="仿宋"/>
          <w:bCs/>
          <w:sz w:val="18"/>
          <w:szCs w:val="18"/>
        </w:rPr>
        <w:t>，《经济学》（季刊）</w:t>
      </w:r>
      <w:r>
        <w:rPr>
          <w:rFonts w:hint="eastAsia" w:ascii="仿宋" w:hAnsi="仿宋" w:eastAsia="仿宋"/>
          <w:bCs/>
          <w:sz w:val="18"/>
          <w:szCs w:val="18"/>
        </w:rPr>
        <w:t>，</w:t>
      </w:r>
      <w:r>
        <w:rPr>
          <w:rFonts w:ascii="仿宋" w:hAnsi="仿宋" w:eastAsia="仿宋"/>
          <w:bCs/>
          <w:sz w:val="18"/>
          <w:szCs w:val="18"/>
        </w:rPr>
        <w:t>第</w:t>
      </w:r>
      <w:r>
        <w:rPr>
          <w:rFonts w:ascii="Times New Roman" w:hAnsi="Times New Roman" w:eastAsia="仿宋"/>
          <w:bCs/>
          <w:sz w:val="18"/>
          <w:szCs w:val="18"/>
        </w:rPr>
        <w:t>3</w:t>
      </w:r>
      <w:r>
        <w:rPr>
          <w:rFonts w:ascii="仿宋" w:hAnsi="仿宋" w:eastAsia="仿宋"/>
          <w:bCs/>
          <w:sz w:val="18"/>
          <w:szCs w:val="18"/>
        </w:rPr>
        <w:t>期</w:t>
      </w:r>
      <w:r>
        <w:rPr>
          <w:rFonts w:hint="eastAsia" w:ascii="仿宋" w:hAnsi="仿宋" w:eastAsia="仿宋"/>
          <w:bCs/>
          <w:sz w:val="18"/>
          <w:szCs w:val="18"/>
        </w:rPr>
        <w:t>，第</w:t>
      </w:r>
      <w:r>
        <w:rPr>
          <w:rFonts w:ascii="Times New Roman" w:hAnsi="Times New Roman" w:eastAsia="仿宋"/>
          <w:bCs/>
          <w:sz w:val="18"/>
          <w:szCs w:val="18"/>
        </w:rPr>
        <w:t>1101-1122</w:t>
      </w:r>
      <w:r>
        <w:rPr>
          <w:rFonts w:hint="eastAsia" w:ascii="仿宋" w:hAnsi="仿宋" w:eastAsia="仿宋"/>
          <w:bCs/>
          <w:sz w:val="18"/>
          <w:szCs w:val="18"/>
        </w:rPr>
        <w:t>页</w:t>
      </w:r>
      <w:r>
        <w:rPr>
          <w:rFonts w:ascii="仿宋" w:hAnsi="仿宋" w:eastAsia="仿宋"/>
          <w:bCs/>
          <w:sz w:val="18"/>
          <w:szCs w:val="18"/>
        </w:rPr>
        <w:t>。</w:t>
      </w:r>
    </w:p>
    <w:p>
      <w:pPr>
        <w:pStyle w:val="10"/>
        <w:numPr>
          <w:ilvl w:val="1"/>
          <w:numId w:val="1"/>
        </w:numPr>
        <w:ind w:firstLineChars="0"/>
        <w:rPr>
          <w:rFonts w:ascii="Times New Roman" w:hAnsi="Times New Roman" w:eastAsia="仿宋"/>
          <w:bCs/>
          <w:sz w:val="18"/>
          <w:szCs w:val="18"/>
        </w:rPr>
      </w:pPr>
      <w:r>
        <w:rPr>
          <w:rFonts w:ascii="Times New Roman" w:hAnsi="Times New Roman" w:eastAsia="仿宋"/>
          <w:bCs/>
          <w:sz w:val="18"/>
          <w:szCs w:val="18"/>
        </w:rPr>
        <w:t>Fan</w:t>
      </w:r>
      <w:r>
        <w:rPr>
          <w:rFonts w:hint="eastAsia" w:ascii="Times New Roman" w:hAnsi="Times New Roman" w:eastAsia="仿宋"/>
          <w:bCs/>
          <w:sz w:val="18"/>
          <w:szCs w:val="18"/>
          <w:lang w:val="en-US" w:eastAsia="zh-CN"/>
        </w:rPr>
        <w:t>,</w:t>
      </w:r>
      <w:r>
        <w:rPr>
          <w:rFonts w:ascii="Times New Roman" w:hAnsi="Times New Roman" w:eastAsia="仿宋"/>
          <w:bCs/>
          <w:sz w:val="18"/>
          <w:szCs w:val="18"/>
        </w:rPr>
        <w:t xml:space="preserve"> H., L. Li, and X. Zhang, “Challenges of Creating Cities in China: Lessons from a Short-lived County-to-</w:t>
      </w:r>
      <w:r>
        <w:rPr>
          <w:rFonts w:hint="eastAsia" w:ascii="Times New Roman" w:hAnsi="Times New Roman" w:eastAsia="仿宋"/>
          <w:bCs/>
          <w:sz w:val="18"/>
          <w:szCs w:val="18"/>
          <w:lang w:val="en-US" w:eastAsia="zh-CN"/>
        </w:rPr>
        <w:t>C</w:t>
      </w:r>
      <w:r>
        <w:rPr>
          <w:rFonts w:ascii="Times New Roman" w:hAnsi="Times New Roman" w:eastAsia="仿宋"/>
          <w:bCs/>
          <w:sz w:val="18"/>
          <w:szCs w:val="18"/>
        </w:rPr>
        <w:t>ity Upgrading Policy”</w:t>
      </w:r>
      <w:r>
        <w:rPr>
          <w:rFonts w:hint="eastAsia" w:ascii="Times New Roman" w:hAnsi="Times New Roman" w:eastAsia="仿宋"/>
          <w:bCs/>
          <w:sz w:val="18"/>
          <w:szCs w:val="18"/>
          <w:lang w:val="en-US" w:eastAsia="zh-CN"/>
        </w:rPr>
        <w:t>,</w:t>
      </w:r>
      <w:r>
        <w:rPr>
          <w:rFonts w:ascii="Times New Roman" w:hAnsi="Times New Roman" w:eastAsia="仿宋"/>
          <w:bCs/>
          <w:i/>
          <w:iCs/>
          <w:sz w:val="18"/>
          <w:szCs w:val="18"/>
        </w:rPr>
        <w:t xml:space="preserve"> Journal of Comparative Economics</w:t>
      </w:r>
      <w:r>
        <w:rPr>
          <w:rFonts w:ascii="Times New Roman" w:hAnsi="Times New Roman" w:eastAsia="仿宋"/>
          <w:bCs/>
          <w:sz w:val="18"/>
          <w:szCs w:val="18"/>
        </w:rPr>
        <w:t>, 2012, 40(3), 476-491.</w:t>
      </w:r>
    </w:p>
    <w:p>
      <w:pPr>
        <w:pStyle w:val="10"/>
        <w:numPr>
          <w:ilvl w:val="1"/>
          <w:numId w:val="1"/>
        </w:numPr>
        <w:adjustRightInd w:val="0"/>
        <w:snapToGrid w:val="0"/>
        <w:ind w:firstLineChars="0"/>
        <w:rPr>
          <w:rFonts w:ascii="Times New Roman" w:hAnsi="Times New Roman" w:eastAsia="仿宋"/>
          <w:bCs/>
          <w:sz w:val="18"/>
          <w:szCs w:val="18"/>
        </w:rPr>
      </w:pPr>
      <w:r>
        <w:rPr>
          <w:rFonts w:ascii="仿宋" w:hAnsi="仿宋" w:eastAsia="仿宋"/>
          <w:bCs/>
          <w:sz w:val="18"/>
          <w:szCs w:val="18"/>
        </w:rPr>
        <w:t>范子英，</w:t>
      </w:r>
      <w:r>
        <w:rPr>
          <w:rFonts w:hint="eastAsia" w:ascii="仿宋" w:hAnsi="仿宋" w:eastAsia="仿宋"/>
          <w:bCs/>
          <w:sz w:val="18"/>
          <w:szCs w:val="18"/>
        </w:rPr>
        <w:t>“</w:t>
      </w:r>
      <w:r>
        <w:rPr>
          <w:rFonts w:ascii="仿宋" w:hAnsi="仿宋" w:eastAsia="仿宋"/>
          <w:bCs/>
          <w:sz w:val="18"/>
          <w:szCs w:val="18"/>
        </w:rPr>
        <w:t>财政转移支付与人力资本的代际流动性</w:t>
      </w:r>
      <w:r>
        <w:rPr>
          <w:rFonts w:hint="eastAsia" w:ascii="仿宋" w:hAnsi="仿宋" w:eastAsia="仿宋"/>
          <w:bCs/>
          <w:sz w:val="18"/>
          <w:szCs w:val="18"/>
        </w:rPr>
        <w:t>”</w:t>
      </w:r>
      <w:r>
        <w:rPr>
          <w:rFonts w:ascii="仿宋" w:hAnsi="仿宋" w:eastAsia="仿宋"/>
          <w:bCs/>
          <w:sz w:val="18"/>
          <w:szCs w:val="18"/>
        </w:rPr>
        <w:t>，《中国社会科学》</w:t>
      </w:r>
      <w:r>
        <w:rPr>
          <w:rFonts w:hint="eastAsia" w:ascii="仿宋" w:hAnsi="仿宋" w:eastAsia="仿宋"/>
          <w:bCs/>
          <w:sz w:val="18"/>
          <w:szCs w:val="18"/>
        </w:rPr>
        <w:t>，</w:t>
      </w:r>
      <w:r>
        <w:rPr>
          <w:rFonts w:ascii="Times New Roman" w:hAnsi="Times New Roman" w:eastAsia="仿宋"/>
          <w:bCs/>
          <w:sz w:val="18"/>
          <w:szCs w:val="18"/>
        </w:rPr>
        <w:t>2020</w:t>
      </w:r>
      <w:r>
        <w:rPr>
          <w:rFonts w:hint="eastAsia" w:ascii="仿宋" w:hAnsi="仿宋" w:eastAsia="仿宋"/>
          <w:bCs/>
          <w:sz w:val="18"/>
          <w:szCs w:val="18"/>
        </w:rPr>
        <w:t>年</w:t>
      </w:r>
      <w:r>
        <w:rPr>
          <w:rFonts w:ascii="仿宋" w:hAnsi="仿宋" w:eastAsia="仿宋"/>
          <w:bCs/>
          <w:sz w:val="18"/>
          <w:szCs w:val="18"/>
        </w:rPr>
        <w:t>第</w:t>
      </w:r>
      <w:r>
        <w:rPr>
          <w:rFonts w:ascii="Times New Roman" w:hAnsi="Times New Roman" w:eastAsia="仿宋"/>
          <w:bCs/>
          <w:sz w:val="18"/>
          <w:szCs w:val="18"/>
        </w:rPr>
        <w:t>9</w:t>
      </w:r>
      <w:r>
        <w:rPr>
          <w:rFonts w:ascii="仿宋" w:hAnsi="仿宋" w:eastAsia="仿宋"/>
          <w:bCs/>
          <w:sz w:val="18"/>
          <w:szCs w:val="18"/>
        </w:rPr>
        <w:t>期</w:t>
      </w:r>
      <w:r>
        <w:rPr>
          <w:rFonts w:hint="eastAsia" w:ascii="仿宋" w:hAnsi="仿宋" w:eastAsia="仿宋"/>
          <w:bCs/>
          <w:sz w:val="18"/>
          <w:szCs w:val="18"/>
        </w:rPr>
        <w:t>，第</w:t>
      </w:r>
      <w:r>
        <w:rPr>
          <w:rFonts w:ascii="Times New Roman" w:hAnsi="Times New Roman" w:eastAsia="仿宋"/>
          <w:bCs/>
          <w:sz w:val="18"/>
          <w:szCs w:val="18"/>
        </w:rPr>
        <w:t>48-67</w:t>
      </w:r>
      <w:r>
        <w:rPr>
          <w:rFonts w:hint="eastAsia" w:ascii="仿宋" w:hAnsi="仿宋" w:eastAsia="仿宋"/>
          <w:bCs/>
          <w:sz w:val="18"/>
          <w:szCs w:val="18"/>
        </w:rPr>
        <w:t>页</w:t>
      </w:r>
      <w:r>
        <w:rPr>
          <w:rFonts w:ascii="仿宋" w:hAnsi="仿宋" w:eastAsia="仿宋"/>
          <w:bCs/>
          <w:sz w:val="18"/>
          <w:szCs w:val="18"/>
        </w:rPr>
        <w:t>。</w:t>
      </w:r>
    </w:p>
    <w:p>
      <w:pPr>
        <w:pStyle w:val="6"/>
        <w:numPr>
          <w:ilvl w:val="1"/>
          <w:numId w:val="1"/>
        </w:numPr>
        <w:jc w:val="both"/>
        <w:rPr>
          <w:rFonts w:ascii="Times New Roman" w:hAnsi="Times New Roman" w:eastAsia="仿宋"/>
        </w:rPr>
      </w:pPr>
      <w:r>
        <w:rPr>
          <w:rFonts w:ascii="仿宋" w:hAnsi="仿宋" w:eastAsia="仿宋"/>
          <w:bCs/>
        </w:rPr>
        <w:t>范子英、赵仁杰，</w:t>
      </w:r>
      <w:r>
        <w:rPr>
          <w:rFonts w:hint="eastAsia" w:ascii="仿宋" w:hAnsi="仿宋" w:eastAsia="仿宋"/>
          <w:bCs/>
        </w:rPr>
        <w:t>“</w:t>
      </w:r>
      <w:r>
        <w:rPr>
          <w:rFonts w:ascii="仿宋" w:hAnsi="仿宋" w:eastAsia="仿宋"/>
          <w:bCs/>
        </w:rPr>
        <w:t>财政职权、征税努力与企业税负</w:t>
      </w:r>
      <w:r>
        <w:rPr>
          <w:rFonts w:hint="eastAsia" w:ascii="仿宋" w:hAnsi="仿宋" w:eastAsia="仿宋"/>
          <w:bCs/>
        </w:rPr>
        <w:t>”</w:t>
      </w:r>
      <w:r>
        <w:rPr>
          <w:rFonts w:ascii="仿宋" w:hAnsi="仿宋" w:eastAsia="仿宋"/>
          <w:bCs/>
        </w:rPr>
        <w:t>，《经济研究》</w:t>
      </w:r>
      <w:r>
        <w:rPr>
          <w:rFonts w:hint="eastAsia" w:ascii="仿宋" w:hAnsi="仿宋" w:eastAsia="仿宋"/>
          <w:bCs/>
        </w:rPr>
        <w:t>，</w:t>
      </w:r>
      <w:r>
        <w:rPr>
          <w:rFonts w:ascii="Times New Roman" w:hAnsi="Times New Roman" w:eastAsia="仿宋"/>
          <w:bCs/>
        </w:rPr>
        <w:t>2020</w:t>
      </w:r>
      <w:r>
        <w:rPr>
          <w:rFonts w:hint="eastAsia" w:ascii="仿宋" w:hAnsi="仿宋" w:eastAsia="仿宋"/>
          <w:bCs/>
        </w:rPr>
        <w:t>年</w:t>
      </w:r>
      <w:r>
        <w:rPr>
          <w:rFonts w:ascii="仿宋" w:hAnsi="仿宋" w:eastAsia="仿宋"/>
          <w:bCs/>
        </w:rPr>
        <w:t>第</w:t>
      </w:r>
      <w:r>
        <w:rPr>
          <w:rFonts w:ascii="Times New Roman" w:hAnsi="Times New Roman" w:eastAsia="仿宋"/>
          <w:bCs/>
        </w:rPr>
        <w:t>4</w:t>
      </w:r>
      <w:r>
        <w:rPr>
          <w:rFonts w:ascii="仿宋" w:hAnsi="仿宋" w:eastAsia="仿宋"/>
          <w:bCs/>
        </w:rPr>
        <w:t>期</w:t>
      </w:r>
      <w:r>
        <w:rPr>
          <w:rFonts w:hint="eastAsia" w:ascii="仿宋" w:hAnsi="仿宋" w:eastAsia="仿宋"/>
          <w:bCs/>
        </w:rPr>
        <w:t>，第</w:t>
      </w:r>
      <w:r>
        <w:rPr>
          <w:rFonts w:ascii="Times New Roman" w:hAnsi="Times New Roman" w:eastAsia="仿宋"/>
          <w:bCs/>
        </w:rPr>
        <w:t>101-117</w:t>
      </w:r>
      <w:r>
        <w:rPr>
          <w:rFonts w:hint="eastAsia" w:ascii="仿宋" w:hAnsi="仿宋" w:eastAsia="仿宋"/>
          <w:bCs/>
        </w:rPr>
        <w:t>页</w:t>
      </w:r>
      <w:r>
        <w:rPr>
          <w:rFonts w:ascii="仿宋" w:hAnsi="仿宋" w:eastAsia="仿宋"/>
          <w:bCs/>
        </w:rPr>
        <w:t>。</w:t>
      </w:r>
    </w:p>
    <w:p>
      <w:pPr>
        <w:pStyle w:val="10"/>
        <w:numPr>
          <w:ilvl w:val="1"/>
          <w:numId w:val="1"/>
        </w:numPr>
        <w:ind w:firstLineChars="0"/>
        <w:rPr>
          <w:rFonts w:ascii="Times New Roman" w:hAnsi="Times New Roman" w:eastAsia="仿宋"/>
          <w:bCs/>
          <w:sz w:val="18"/>
          <w:szCs w:val="18"/>
        </w:rPr>
      </w:pPr>
      <w:r>
        <w:rPr>
          <w:rFonts w:ascii="仿宋" w:hAnsi="仿宋" w:eastAsia="仿宋"/>
          <w:bCs/>
          <w:sz w:val="18"/>
          <w:szCs w:val="18"/>
        </w:rPr>
        <w:t>贺颖、吕冰洋，</w:t>
      </w:r>
      <w:r>
        <w:rPr>
          <w:rFonts w:hint="eastAsia" w:ascii="仿宋" w:hAnsi="仿宋" w:eastAsia="仿宋"/>
          <w:bCs/>
          <w:sz w:val="18"/>
          <w:szCs w:val="18"/>
        </w:rPr>
        <w:t>“</w:t>
      </w:r>
      <w:r>
        <w:rPr>
          <w:rFonts w:ascii="仿宋" w:hAnsi="仿宋" w:eastAsia="仿宋"/>
          <w:bCs/>
          <w:sz w:val="18"/>
          <w:szCs w:val="18"/>
        </w:rPr>
        <w:t>行政性分权与地区市场分割</w:t>
      </w:r>
      <w:r>
        <w:rPr>
          <w:rFonts w:ascii="Times New Roman" w:hAnsi="Times New Roman" w:eastAsia="仿宋"/>
          <w:bCs/>
          <w:sz w:val="18"/>
          <w:szCs w:val="18"/>
        </w:rPr>
        <w:t>——</w:t>
      </w:r>
      <w:r>
        <w:rPr>
          <w:rFonts w:ascii="仿宋" w:hAnsi="仿宋" w:eastAsia="仿宋"/>
          <w:bCs/>
          <w:sz w:val="18"/>
          <w:szCs w:val="18"/>
        </w:rPr>
        <w:t>基于地级市的研究</w:t>
      </w:r>
      <w:r>
        <w:rPr>
          <w:rFonts w:hint="eastAsia" w:ascii="仿宋" w:hAnsi="仿宋" w:eastAsia="仿宋"/>
          <w:bCs/>
          <w:sz w:val="18"/>
          <w:szCs w:val="18"/>
        </w:rPr>
        <w:t>”</w:t>
      </w:r>
      <w:r>
        <w:rPr>
          <w:rFonts w:ascii="仿宋" w:hAnsi="仿宋" w:eastAsia="仿宋"/>
          <w:bCs/>
          <w:sz w:val="18"/>
          <w:szCs w:val="18"/>
        </w:rPr>
        <w:t>，《经济学报》</w:t>
      </w:r>
      <w:r>
        <w:rPr>
          <w:rFonts w:hint="eastAsia" w:ascii="仿宋" w:hAnsi="仿宋" w:eastAsia="仿宋"/>
          <w:bCs/>
          <w:sz w:val="18"/>
          <w:szCs w:val="18"/>
        </w:rPr>
        <w:t>，</w:t>
      </w:r>
      <w:r>
        <w:rPr>
          <w:rFonts w:ascii="Times New Roman" w:hAnsi="Times New Roman" w:eastAsia="仿宋"/>
          <w:bCs/>
          <w:sz w:val="18"/>
          <w:szCs w:val="18"/>
        </w:rPr>
        <w:t>2019</w:t>
      </w:r>
      <w:r>
        <w:rPr>
          <w:rFonts w:hint="eastAsia" w:ascii="仿宋" w:hAnsi="仿宋" w:eastAsia="仿宋"/>
          <w:bCs/>
          <w:sz w:val="18"/>
          <w:szCs w:val="18"/>
        </w:rPr>
        <w:t>年</w:t>
      </w:r>
      <w:r>
        <w:rPr>
          <w:rFonts w:ascii="仿宋" w:hAnsi="仿宋" w:eastAsia="仿宋"/>
          <w:bCs/>
          <w:sz w:val="18"/>
          <w:szCs w:val="18"/>
        </w:rPr>
        <w:t>第</w:t>
      </w:r>
      <w:r>
        <w:rPr>
          <w:rFonts w:ascii="Times New Roman" w:hAnsi="Times New Roman" w:eastAsia="仿宋"/>
          <w:bCs/>
          <w:sz w:val="18"/>
          <w:szCs w:val="18"/>
        </w:rPr>
        <w:t>6</w:t>
      </w:r>
      <w:r>
        <w:rPr>
          <w:rFonts w:ascii="仿宋" w:hAnsi="仿宋" w:eastAsia="仿宋"/>
          <w:bCs/>
          <w:sz w:val="18"/>
          <w:szCs w:val="18"/>
        </w:rPr>
        <w:t>期</w:t>
      </w:r>
      <w:r>
        <w:rPr>
          <w:rFonts w:hint="eastAsia" w:ascii="仿宋" w:hAnsi="仿宋" w:eastAsia="仿宋"/>
          <w:bCs/>
          <w:sz w:val="18"/>
          <w:szCs w:val="18"/>
        </w:rPr>
        <w:t>，第</w:t>
      </w:r>
      <w:r>
        <w:rPr>
          <w:rFonts w:ascii="Times New Roman" w:hAnsi="Times New Roman" w:eastAsia="仿宋"/>
          <w:bCs/>
          <w:sz w:val="18"/>
          <w:szCs w:val="18"/>
        </w:rPr>
        <w:t>127-157</w:t>
      </w:r>
      <w:r>
        <w:rPr>
          <w:rFonts w:hint="eastAsia" w:ascii="仿宋" w:hAnsi="仿宋" w:eastAsia="仿宋"/>
          <w:bCs/>
          <w:sz w:val="18"/>
          <w:szCs w:val="18"/>
        </w:rPr>
        <w:t>页</w:t>
      </w:r>
      <w:r>
        <w:rPr>
          <w:rFonts w:ascii="仿宋" w:hAnsi="仿宋" w:eastAsia="仿宋"/>
          <w:bCs/>
          <w:sz w:val="18"/>
          <w:szCs w:val="18"/>
        </w:rPr>
        <w:t>。</w:t>
      </w:r>
    </w:p>
    <w:p>
      <w:pPr>
        <w:pStyle w:val="10"/>
        <w:numPr>
          <w:ilvl w:val="1"/>
          <w:numId w:val="1"/>
        </w:numPr>
        <w:ind w:firstLineChars="0"/>
        <w:rPr>
          <w:rFonts w:ascii="Times New Roman" w:hAnsi="Times New Roman" w:eastAsia="仿宋"/>
          <w:bCs/>
          <w:sz w:val="18"/>
          <w:szCs w:val="18"/>
        </w:rPr>
      </w:pPr>
      <w:r>
        <w:rPr>
          <w:rFonts w:ascii="仿宋" w:hAnsi="仿宋" w:eastAsia="仿宋"/>
          <w:bCs/>
          <w:sz w:val="18"/>
          <w:szCs w:val="18"/>
        </w:rPr>
        <w:t>吉黎、邹埴埸，</w:t>
      </w:r>
      <w:r>
        <w:rPr>
          <w:rFonts w:hint="eastAsia" w:ascii="仿宋" w:hAnsi="仿宋" w:eastAsia="仿宋"/>
          <w:bCs/>
          <w:sz w:val="18"/>
          <w:szCs w:val="18"/>
        </w:rPr>
        <w:t>“</w:t>
      </w:r>
      <w:r>
        <w:rPr>
          <w:rFonts w:ascii="仿宋" w:hAnsi="仿宋" w:eastAsia="仿宋"/>
          <w:bCs/>
          <w:sz w:val="18"/>
          <w:szCs w:val="18"/>
        </w:rPr>
        <w:t>撤县设区后地方财力增强了吗</w:t>
      </w:r>
      <w:r>
        <w:rPr>
          <w:rFonts w:ascii="Times New Roman" w:hAnsi="Times New Roman" w:eastAsia="仿宋"/>
          <w:bCs/>
          <w:sz w:val="18"/>
          <w:szCs w:val="18"/>
        </w:rPr>
        <w:t>?</w:t>
      </w:r>
      <w:r>
        <w:rPr>
          <w:rFonts w:hint="eastAsia" w:ascii="Times New Roman" w:hAnsi="Times New Roman" w:eastAsia="仿宋"/>
          <w:bCs/>
          <w:sz w:val="18"/>
          <w:szCs w:val="18"/>
        </w:rPr>
        <w:t xml:space="preserve"> </w:t>
      </w:r>
      <w:r>
        <w:rPr>
          <w:rFonts w:hint="eastAsia" w:ascii="仿宋" w:hAnsi="仿宋" w:eastAsia="仿宋"/>
          <w:bCs/>
          <w:sz w:val="18"/>
          <w:szCs w:val="18"/>
        </w:rPr>
        <w:t>”</w:t>
      </w:r>
      <w:r>
        <w:rPr>
          <w:rFonts w:ascii="仿宋" w:hAnsi="仿宋" w:eastAsia="仿宋"/>
          <w:bCs/>
          <w:sz w:val="18"/>
          <w:szCs w:val="18"/>
        </w:rPr>
        <w:t>《财政研究》</w:t>
      </w:r>
      <w:r>
        <w:rPr>
          <w:rFonts w:hint="eastAsia" w:ascii="仿宋" w:hAnsi="仿宋" w:eastAsia="仿宋"/>
          <w:bCs/>
          <w:sz w:val="18"/>
          <w:szCs w:val="18"/>
        </w:rPr>
        <w:t>，</w:t>
      </w:r>
      <w:r>
        <w:rPr>
          <w:rFonts w:ascii="Times New Roman" w:hAnsi="Times New Roman" w:eastAsia="仿宋"/>
          <w:bCs/>
          <w:sz w:val="18"/>
          <w:szCs w:val="18"/>
        </w:rPr>
        <w:t>2019</w:t>
      </w:r>
      <w:r>
        <w:rPr>
          <w:rFonts w:hint="eastAsia" w:ascii="仿宋" w:hAnsi="仿宋" w:eastAsia="仿宋"/>
          <w:bCs/>
          <w:sz w:val="18"/>
          <w:szCs w:val="18"/>
        </w:rPr>
        <w:t>年</w:t>
      </w:r>
      <w:r>
        <w:rPr>
          <w:rFonts w:ascii="仿宋" w:hAnsi="仿宋" w:eastAsia="仿宋"/>
          <w:bCs/>
          <w:sz w:val="18"/>
          <w:szCs w:val="18"/>
        </w:rPr>
        <w:t>第</w:t>
      </w:r>
      <w:r>
        <w:rPr>
          <w:rFonts w:ascii="Times New Roman" w:hAnsi="Times New Roman" w:eastAsia="仿宋"/>
          <w:bCs/>
          <w:sz w:val="18"/>
          <w:szCs w:val="18"/>
        </w:rPr>
        <w:t>12</w:t>
      </w:r>
      <w:r>
        <w:rPr>
          <w:rFonts w:ascii="仿宋" w:hAnsi="仿宋" w:eastAsia="仿宋"/>
          <w:bCs/>
          <w:sz w:val="18"/>
          <w:szCs w:val="18"/>
        </w:rPr>
        <w:t>期</w:t>
      </w:r>
      <w:r>
        <w:rPr>
          <w:rFonts w:hint="eastAsia" w:ascii="仿宋" w:hAnsi="仿宋" w:eastAsia="仿宋"/>
          <w:bCs/>
          <w:sz w:val="18"/>
          <w:szCs w:val="18"/>
        </w:rPr>
        <w:t>，第</w:t>
      </w:r>
      <w:r>
        <w:rPr>
          <w:rFonts w:hint="eastAsia" w:ascii="Times New Roman" w:hAnsi="Times New Roman" w:eastAsia="仿宋"/>
          <w:bCs/>
          <w:sz w:val="18"/>
          <w:szCs w:val="18"/>
        </w:rPr>
        <w:t>6</w:t>
      </w:r>
      <w:r>
        <w:rPr>
          <w:rFonts w:ascii="Times New Roman" w:hAnsi="Times New Roman" w:eastAsia="仿宋"/>
          <w:bCs/>
          <w:sz w:val="18"/>
          <w:szCs w:val="18"/>
        </w:rPr>
        <w:t>1-74</w:t>
      </w:r>
      <w:r>
        <w:rPr>
          <w:rFonts w:hint="eastAsia" w:ascii="仿宋" w:hAnsi="仿宋" w:eastAsia="仿宋"/>
          <w:bCs/>
          <w:sz w:val="18"/>
          <w:szCs w:val="18"/>
        </w:rPr>
        <w:t>页</w:t>
      </w:r>
      <w:r>
        <w:rPr>
          <w:rFonts w:ascii="仿宋" w:hAnsi="仿宋" w:eastAsia="仿宋"/>
          <w:bCs/>
          <w:sz w:val="18"/>
          <w:szCs w:val="18"/>
        </w:rPr>
        <w:t>。</w:t>
      </w:r>
    </w:p>
    <w:p>
      <w:pPr>
        <w:pStyle w:val="10"/>
        <w:numPr>
          <w:ilvl w:val="1"/>
          <w:numId w:val="1"/>
        </w:numPr>
        <w:adjustRightInd w:val="0"/>
        <w:snapToGrid w:val="0"/>
        <w:ind w:firstLineChars="0"/>
        <w:rPr>
          <w:rFonts w:ascii="Times New Roman" w:hAnsi="Times New Roman" w:eastAsia="仿宋"/>
          <w:sz w:val="18"/>
          <w:szCs w:val="18"/>
          <w:shd w:val="clear" w:color="auto" w:fill="FFFFFF"/>
        </w:rPr>
      </w:pPr>
      <w:r>
        <w:rPr>
          <w:rFonts w:ascii="Times New Roman" w:hAnsi="Times New Roman" w:eastAsia="仿宋"/>
          <w:sz w:val="18"/>
          <w:szCs w:val="18"/>
          <w:shd w:val="clear" w:color="auto" w:fill="FFFFFF"/>
        </w:rPr>
        <w:t>Kotera</w:t>
      </w:r>
      <w:r>
        <w:rPr>
          <w:rFonts w:hint="eastAsia" w:ascii="Times New Roman" w:hAnsi="Times New Roman" w:eastAsia="仿宋"/>
          <w:sz w:val="18"/>
          <w:szCs w:val="18"/>
          <w:shd w:val="clear" w:color="auto" w:fill="FFFFFF"/>
          <w:lang w:val="en-US" w:eastAsia="zh-CN"/>
        </w:rPr>
        <w:t>,</w:t>
      </w:r>
      <w:r>
        <w:rPr>
          <w:rFonts w:ascii="Times New Roman" w:hAnsi="Times New Roman" w:eastAsia="仿宋"/>
          <w:sz w:val="18"/>
          <w:szCs w:val="18"/>
          <w:shd w:val="clear" w:color="auto" w:fill="FFFFFF"/>
        </w:rPr>
        <w:t xml:space="preserve"> T</w:t>
      </w:r>
      <w:r>
        <w:rPr>
          <w:rFonts w:hint="eastAsia" w:ascii="Times New Roman" w:hAnsi="Times New Roman" w:eastAsia="仿宋"/>
          <w:sz w:val="18"/>
          <w:szCs w:val="18"/>
          <w:shd w:val="clear" w:color="auto" w:fill="FFFFFF"/>
          <w:lang w:val="en-US" w:eastAsia="zh-CN"/>
        </w:rPr>
        <w:t>.</w:t>
      </w:r>
      <w:r>
        <w:rPr>
          <w:rFonts w:ascii="Times New Roman" w:hAnsi="Times New Roman" w:eastAsia="仿宋"/>
          <w:sz w:val="18"/>
          <w:szCs w:val="18"/>
          <w:shd w:val="clear" w:color="auto" w:fill="FFFFFF"/>
        </w:rPr>
        <w:t xml:space="preserve">, and A. Seshadri, “Educational Policy and Intergenerational Mobility”, </w:t>
      </w:r>
      <w:r>
        <w:rPr>
          <w:rFonts w:ascii="Times New Roman" w:hAnsi="Times New Roman" w:eastAsia="仿宋"/>
          <w:i/>
          <w:iCs/>
          <w:sz w:val="18"/>
          <w:szCs w:val="18"/>
          <w:shd w:val="clear" w:color="auto" w:fill="FFFFFF"/>
        </w:rPr>
        <w:t>Review of Economic Dynamics</w:t>
      </w:r>
      <w:r>
        <w:rPr>
          <w:rFonts w:ascii="Times New Roman" w:hAnsi="Times New Roman" w:eastAsia="仿宋"/>
          <w:sz w:val="18"/>
          <w:szCs w:val="18"/>
          <w:shd w:val="clear" w:color="auto" w:fill="FFFFFF"/>
        </w:rPr>
        <w:t>, 2017, 25,187-207.</w:t>
      </w:r>
    </w:p>
    <w:p>
      <w:pPr>
        <w:pStyle w:val="10"/>
        <w:numPr>
          <w:ilvl w:val="1"/>
          <w:numId w:val="1"/>
        </w:numPr>
        <w:ind w:firstLineChars="0"/>
        <w:rPr>
          <w:rFonts w:ascii="Times New Roman" w:hAnsi="Times New Roman" w:eastAsia="仿宋"/>
          <w:bCs/>
          <w:sz w:val="18"/>
          <w:szCs w:val="18"/>
        </w:rPr>
      </w:pPr>
      <w:r>
        <w:rPr>
          <w:rFonts w:ascii="仿宋" w:hAnsi="仿宋" w:eastAsia="仿宋"/>
          <w:bCs/>
          <w:sz w:val="18"/>
          <w:szCs w:val="18"/>
        </w:rPr>
        <w:t>李春玲，</w:t>
      </w:r>
      <w:r>
        <w:rPr>
          <w:rFonts w:hint="eastAsia" w:ascii="仿宋" w:hAnsi="仿宋" w:eastAsia="仿宋"/>
          <w:bCs/>
          <w:sz w:val="18"/>
          <w:szCs w:val="18"/>
        </w:rPr>
        <w:t>“</w:t>
      </w:r>
      <w:r>
        <w:rPr>
          <w:rFonts w:hint="eastAsia" w:ascii="仿宋" w:hAnsi="仿宋" w:eastAsia="仿宋"/>
          <w:bCs/>
          <w:sz w:val="18"/>
          <w:szCs w:val="18"/>
          <w:lang w:eastAsia="zh-CN"/>
        </w:rPr>
        <w:t>‘</w:t>
      </w:r>
      <w:r>
        <w:rPr>
          <w:rFonts w:ascii="Times New Roman" w:hAnsi="Times New Roman" w:eastAsia="仿宋"/>
          <w:bCs/>
          <w:sz w:val="18"/>
          <w:szCs w:val="18"/>
        </w:rPr>
        <w:t>80</w:t>
      </w:r>
      <w:r>
        <w:rPr>
          <w:rFonts w:hint="eastAsia" w:ascii="Times New Roman" w:hAnsi="Times New Roman" w:eastAsia="仿宋"/>
          <w:bCs/>
          <w:sz w:val="18"/>
          <w:szCs w:val="18"/>
          <w:lang w:eastAsia="zh-CN"/>
        </w:rPr>
        <w:t>’</w:t>
      </w:r>
      <w:r>
        <w:rPr>
          <w:rFonts w:ascii="仿宋" w:hAnsi="仿宋" w:eastAsia="仿宋"/>
          <w:bCs/>
          <w:sz w:val="18"/>
          <w:szCs w:val="18"/>
        </w:rPr>
        <w:t>后的教育经历与机会不平等</w:t>
      </w:r>
      <w:r>
        <w:rPr>
          <w:rFonts w:ascii="Times New Roman" w:hAnsi="Times New Roman" w:eastAsia="仿宋"/>
          <w:bCs/>
          <w:sz w:val="18"/>
          <w:szCs w:val="18"/>
        </w:rPr>
        <w:t>——</w:t>
      </w:r>
      <w:r>
        <w:rPr>
          <w:rFonts w:ascii="仿宋" w:hAnsi="仿宋" w:eastAsia="仿宋"/>
          <w:bCs/>
          <w:sz w:val="18"/>
          <w:szCs w:val="18"/>
        </w:rPr>
        <w:t>兼评《无声的革命》</w:t>
      </w:r>
      <w:r>
        <w:rPr>
          <w:rFonts w:hint="eastAsia" w:ascii="仿宋" w:hAnsi="仿宋" w:eastAsia="仿宋"/>
          <w:bCs/>
          <w:sz w:val="18"/>
          <w:szCs w:val="18"/>
        </w:rPr>
        <w:t>”</w:t>
      </w:r>
      <w:r>
        <w:rPr>
          <w:rFonts w:ascii="仿宋" w:hAnsi="仿宋" w:eastAsia="仿宋"/>
          <w:bCs/>
          <w:sz w:val="18"/>
          <w:szCs w:val="18"/>
        </w:rPr>
        <w:t>，《中国社会科学》</w:t>
      </w:r>
      <w:r>
        <w:rPr>
          <w:rFonts w:hint="eastAsia" w:ascii="仿宋" w:hAnsi="仿宋" w:eastAsia="仿宋"/>
          <w:bCs/>
          <w:sz w:val="18"/>
          <w:szCs w:val="18"/>
        </w:rPr>
        <w:t>，</w:t>
      </w:r>
      <w:r>
        <w:rPr>
          <w:rFonts w:ascii="Times New Roman" w:hAnsi="Times New Roman" w:eastAsia="仿宋"/>
          <w:bCs/>
          <w:sz w:val="18"/>
          <w:szCs w:val="18"/>
        </w:rPr>
        <w:t>2014</w:t>
      </w:r>
      <w:r>
        <w:rPr>
          <w:rFonts w:hint="eastAsia" w:ascii="仿宋" w:hAnsi="仿宋" w:eastAsia="仿宋"/>
          <w:bCs/>
          <w:sz w:val="18"/>
          <w:szCs w:val="18"/>
        </w:rPr>
        <w:t>年</w:t>
      </w:r>
      <w:r>
        <w:rPr>
          <w:rFonts w:ascii="仿宋" w:hAnsi="仿宋" w:eastAsia="仿宋"/>
          <w:bCs/>
          <w:sz w:val="18"/>
          <w:szCs w:val="18"/>
        </w:rPr>
        <w:t>第</w:t>
      </w:r>
      <w:r>
        <w:rPr>
          <w:rFonts w:ascii="Times New Roman" w:hAnsi="Times New Roman" w:eastAsia="仿宋"/>
          <w:bCs/>
          <w:sz w:val="18"/>
          <w:szCs w:val="18"/>
        </w:rPr>
        <w:t>4</w:t>
      </w:r>
      <w:r>
        <w:rPr>
          <w:rFonts w:ascii="仿宋" w:hAnsi="仿宋" w:eastAsia="仿宋"/>
          <w:bCs/>
          <w:sz w:val="18"/>
          <w:szCs w:val="18"/>
        </w:rPr>
        <w:t>期</w:t>
      </w:r>
      <w:r>
        <w:rPr>
          <w:rFonts w:hint="eastAsia" w:ascii="仿宋" w:hAnsi="仿宋" w:eastAsia="仿宋"/>
          <w:bCs/>
          <w:sz w:val="18"/>
          <w:szCs w:val="18"/>
        </w:rPr>
        <w:t>，第</w:t>
      </w:r>
      <w:r>
        <w:rPr>
          <w:rFonts w:ascii="Times New Roman" w:hAnsi="Times New Roman" w:eastAsia="仿宋"/>
          <w:bCs/>
          <w:sz w:val="18"/>
          <w:szCs w:val="18"/>
        </w:rPr>
        <w:t>66-77</w:t>
      </w:r>
      <w:r>
        <w:rPr>
          <w:rFonts w:hint="eastAsia" w:ascii="仿宋" w:hAnsi="仿宋" w:eastAsia="仿宋"/>
          <w:bCs/>
          <w:sz w:val="18"/>
          <w:szCs w:val="18"/>
        </w:rPr>
        <w:t>页</w:t>
      </w:r>
      <w:r>
        <w:rPr>
          <w:rFonts w:ascii="仿宋" w:hAnsi="仿宋" w:eastAsia="仿宋"/>
          <w:bCs/>
          <w:sz w:val="18"/>
          <w:szCs w:val="18"/>
        </w:rPr>
        <w:t>。</w:t>
      </w:r>
    </w:p>
    <w:p>
      <w:pPr>
        <w:pStyle w:val="10"/>
        <w:numPr>
          <w:ilvl w:val="1"/>
          <w:numId w:val="1"/>
        </w:numPr>
        <w:ind w:firstLineChars="0"/>
        <w:rPr>
          <w:rFonts w:ascii="Times New Roman" w:hAnsi="Times New Roman" w:eastAsia="仿宋"/>
          <w:bCs/>
          <w:sz w:val="18"/>
          <w:szCs w:val="18"/>
        </w:rPr>
      </w:pPr>
      <w:r>
        <w:rPr>
          <w:rFonts w:ascii="仿宋" w:hAnsi="仿宋" w:eastAsia="仿宋"/>
          <w:bCs/>
          <w:sz w:val="18"/>
          <w:szCs w:val="18"/>
        </w:rPr>
        <w:t>李力行、周广肃，</w:t>
      </w:r>
      <w:r>
        <w:rPr>
          <w:rFonts w:hint="eastAsia" w:ascii="仿宋" w:hAnsi="仿宋" w:eastAsia="仿宋"/>
          <w:bCs/>
          <w:sz w:val="18"/>
          <w:szCs w:val="18"/>
        </w:rPr>
        <w:t>“</w:t>
      </w:r>
      <w:r>
        <w:rPr>
          <w:rFonts w:ascii="仿宋" w:hAnsi="仿宋" w:eastAsia="仿宋"/>
          <w:bCs/>
          <w:sz w:val="18"/>
          <w:szCs w:val="18"/>
        </w:rPr>
        <w:t>家庭借贷约束、公共教育支出与社会流动性</w:t>
      </w:r>
      <w:r>
        <w:rPr>
          <w:rFonts w:hint="eastAsia" w:ascii="仿宋" w:hAnsi="仿宋" w:eastAsia="仿宋"/>
          <w:bCs/>
          <w:sz w:val="18"/>
          <w:szCs w:val="18"/>
        </w:rPr>
        <w:t>”</w:t>
      </w:r>
      <w:r>
        <w:rPr>
          <w:rFonts w:ascii="仿宋" w:hAnsi="仿宋" w:eastAsia="仿宋"/>
          <w:bCs/>
          <w:sz w:val="18"/>
          <w:szCs w:val="18"/>
        </w:rPr>
        <w:t>，《经济学》（季刊）</w:t>
      </w:r>
      <w:r>
        <w:rPr>
          <w:rFonts w:hint="eastAsia" w:ascii="仿宋" w:hAnsi="仿宋" w:eastAsia="仿宋"/>
          <w:bCs/>
          <w:sz w:val="18"/>
          <w:szCs w:val="18"/>
        </w:rPr>
        <w:t>，</w:t>
      </w:r>
      <w:r>
        <w:rPr>
          <w:rFonts w:ascii="Times New Roman" w:hAnsi="Times New Roman" w:eastAsia="仿宋"/>
          <w:bCs/>
          <w:sz w:val="18"/>
          <w:szCs w:val="18"/>
        </w:rPr>
        <w:t>2015</w:t>
      </w:r>
      <w:r>
        <w:rPr>
          <w:rFonts w:hint="eastAsia" w:ascii="仿宋" w:hAnsi="仿宋" w:eastAsia="仿宋"/>
          <w:bCs/>
          <w:sz w:val="18"/>
          <w:szCs w:val="18"/>
        </w:rPr>
        <w:t>年</w:t>
      </w:r>
      <w:r>
        <w:rPr>
          <w:rFonts w:ascii="仿宋" w:hAnsi="仿宋" w:eastAsia="仿宋"/>
          <w:bCs/>
          <w:sz w:val="18"/>
          <w:szCs w:val="18"/>
        </w:rPr>
        <w:t>第</w:t>
      </w:r>
      <w:r>
        <w:rPr>
          <w:rFonts w:ascii="Times New Roman" w:hAnsi="Times New Roman" w:eastAsia="仿宋"/>
          <w:bCs/>
          <w:sz w:val="18"/>
          <w:szCs w:val="18"/>
        </w:rPr>
        <w:t>1</w:t>
      </w:r>
      <w:r>
        <w:rPr>
          <w:rFonts w:ascii="仿宋" w:hAnsi="仿宋" w:eastAsia="仿宋"/>
          <w:bCs/>
          <w:sz w:val="18"/>
          <w:szCs w:val="18"/>
        </w:rPr>
        <w:t>期</w:t>
      </w:r>
      <w:r>
        <w:rPr>
          <w:rFonts w:hint="eastAsia" w:ascii="仿宋" w:hAnsi="仿宋" w:eastAsia="仿宋"/>
          <w:bCs/>
          <w:sz w:val="18"/>
          <w:szCs w:val="18"/>
        </w:rPr>
        <w:t>，第</w:t>
      </w:r>
      <w:r>
        <w:rPr>
          <w:rFonts w:hint="eastAsia" w:ascii="Times New Roman" w:hAnsi="Times New Roman" w:eastAsia="仿宋"/>
          <w:bCs/>
          <w:sz w:val="18"/>
          <w:szCs w:val="18"/>
        </w:rPr>
        <w:t>6</w:t>
      </w:r>
      <w:r>
        <w:rPr>
          <w:rFonts w:ascii="Times New Roman" w:hAnsi="Times New Roman" w:eastAsia="仿宋"/>
          <w:bCs/>
          <w:sz w:val="18"/>
          <w:szCs w:val="18"/>
        </w:rPr>
        <w:t>5-82</w:t>
      </w:r>
      <w:r>
        <w:rPr>
          <w:rFonts w:hint="eastAsia" w:ascii="仿宋" w:hAnsi="仿宋" w:eastAsia="仿宋"/>
          <w:bCs/>
          <w:sz w:val="18"/>
          <w:szCs w:val="18"/>
        </w:rPr>
        <w:t>页</w:t>
      </w:r>
      <w:r>
        <w:rPr>
          <w:rFonts w:ascii="仿宋" w:hAnsi="仿宋" w:eastAsia="仿宋"/>
          <w:bCs/>
          <w:sz w:val="18"/>
          <w:szCs w:val="18"/>
        </w:rPr>
        <w:t>。</w:t>
      </w:r>
    </w:p>
    <w:p>
      <w:pPr>
        <w:pStyle w:val="10"/>
        <w:numPr>
          <w:ilvl w:val="1"/>
          <w:numId w:val="1"/>
        </w:numPr>
        <w:ind w:firstLineChars="0"/>
        <w:rPr>
          <w:rFonts w:ascii="Times New Roman" w:hAnsi="Times New Roman" w:eastAsia="仿宋"/>
          <w:bCs/>
          <w:sz w:val="18"/>
          <w:szCs w:val="18"/>
        </w:rPr>
      </w:pPr>
      <w:r>
        <w:rPr>
          <w:rFonts w:ascii="仿宋" w:hAnsi="仿宋" w:eastAsia="仿宋"/>
          <w:bCs/>
          <w:sz w:val="18"/>
          <w:szCs w:val="18"/>
        </w:rPr>
        <w:t>李任玉、陈悉榕、甘犁，</w:t>
      </w:r>
      <w:r>
        <w:rPr>
          <w:rFonts w:hint="eastAsia" w:ascii="仿宋" w:hAnsi="仿宋" w:eastAsia="仿宋"/>
          <w:bCs/>
          <w:sz w:val="18"/>
          <w:szCs w:val="18"/>
        </w:rPr>
        <w:t>“</w:t>
      </w:r>
      <w:r>
        <w:rPr>
          <w:rFonts w:ascii="仿宋" w:hAnsi="仿宋" w:eastAsia="仿宋"/>
          <w:bCs/>
          <w:sz w:val="18"/>
          <w:szCs w:val="18"/>
        </w:rPr>
        <w:t>代际流动性趋势及其分解</w:t>
      </w:r>
      <w:r>
        <w:rPr>
          <w:rFonts w:ascii="Times New Roman" w:hAnsi="Times New Roman" w:eastAsia="仿宋"/>
          <w:bCs/>
          <w:sz w:val="18"/>
          <w:szCs w:val="18"/>
        </w:rPr>
        <w:t>:</w:t>
      </w:r>
      <w:r>
        <w:rPr>
          <w:rFonts w:ascii="仿宋" w:hAnsi="仿宋" w:eastAsia="仿宋"/>
          <w:bCs/>
          <w:sz w:val="18"/>
          <w:szCs w:val="18"/>
        </w:rPr>
        <w:t>增长、排序与离散效应</w:t>
      </w:r>
      <w:r>
        <w:rPr>
          <w:rFonts w:hint="eastAsia" w:ascii="仿宋" w:hAnsi="仿宋" w:eastAsia="仿宋"/>
          <w:bCs/>
          <w:sz w:val="18"/>
          <w:szCs w:val="18"/>
        </w:rPr>
        <w:t>”</w:t>
      </w:r>
      <w:r>
        <w:rPr>
          <w:rFonts w:ascii="仿宋" w:hAnsi="仿宋" w:eastAsia="仿宋"/>
          <w:bCs/>
          <w:sz w:val="18"/>
          <w:szCs w:val="18"/>
        </w:rPr>
        <w:t>，《经济研究》</w:t>
      </w:r>
      <w:r>
        <w:rPr>
          <w:rFonts w:hint="eastAsia" w:ascii="仿宋" w:hAnsi="仿宋" w:eastAsia="仿宋"/>
          <w:bCs/>
          <w:sz w:val="18"/>
          <w:szCs w:val="18"/>
        </w:rPr>
        <w:t>，</w:t>
      </w:r>
      <w:r>
        <w:rPr>
          <w:rFonts w:ascii="Times New Roman" w:hAnsi="Times New Roman" w:eastAsia="仿宋"/>
          <w:bCs/>
          <w:sz w:val="18"/>
          <w:szCs w:val="18"/>
        </w:rPr>
        <w:t>2017</w:t>
      </w:r>
      <w:r>
        <w:rPr>
          <w:rFonts w:hint="eastAsia" w:ascii="仿宋" w:hAnsi="仿宋" w:eastAsia="仿宋"/>
          <w:bCs/>
          <w:sz w:val="18"/>
          <w:szCs w:val="18"/>
        </w:rPr>
        <w:t>年</w:t>
      </w:r>
      <w:r>
        <w:rPr>
          <w:rFonts w:ascii="仿宋" w:hAnsi="仿宋" w:eastAsia="仿宋"/>
          <w:bCs/>
          <w:sz w:val="18"/>
          <w:szCs w:val="18"/>
        </w:rPr>
        <w:t>第</w:t>
      </w:r>
      <w:r>
        <w:rPr>
          <w:rFonts w:ascii="Times New Roman" w:hAnsi="Times New Roman" w:eastAsia="仿宋"/>
          <w:bCs/>
          <w:sz w:val="18"/>
          <w:szCs w:val="18"/>
        </w:rPr>
        <w:t>9</w:t>
      </w:r>
      <w:r>
        <w:rPr>
          <w:rFonts w:ascii="仿宋" w:hAnsi="仿宋" w:eastAsia="仿宋"/>
          <w:bCs/>
          <w:sz w:val="18"/>
          <w:szCs w:val="18"/>
        </w:rPr>
        <w:t>期</w:t>
      </w:r>
      <w:r>
        <w:rPr>
          <w:rFonts w:hint="eastAsia" w:ascii="仿宋" w:hAnsi="仿宋" w:eastAsia="仿宋"/>
          <w:bCs/>
          <w:sz w:val="18"/>
          <w:szCs w:val="18"/>
        </w:rPr>
        <w:t>，第</w:t>
      </w:r>
      <w:r>
        <w:rPr>
          <w:rFonts w:hint="eastAsia" w:ascii="Times New Roman" w:hAnsi="Times New Roman" w:eastAsia="仿宋"/>
          <w:bCs/>
          <w:sz w:val="18"/>
          <w:szCs w:val="18"/>
        </w:rPr>
        <w:t>16</w:t>
      </w:r>
      <w:r>
        <w:rPr>
          <w:rFonts w:ascii="Times New Roman" w:hAnsi="Times New Roman" w:eastAsia="仿宋"/>
          <w:bCs/>
          <w:sz w:val="18"/>
          <w:szCs w:val="18"/>
        </w:rPr>
        <w:t>5-181</w:t>
      </w:r>
      <w:r>
        <w:rPr>
          <w:rFonts w:hint="eastAsia" w:ascii="仿宋" w:hAnsi="仿宋" w:eastAsia="仿宋"/>
          <w:bCs/>
          <w:sz w:val="18"/>
          <w:szCs w:val="18"/>
        </w:rPr>
        <w:t>页</w:t>
      </w:r>
      <w:r>
        <w:rPr>
          <w:rFonts w:ascii="仿宋" w:hAnsi="仿宋" w:eastAsia="仿宋"/>
          <w:bCs/>
          <w:sz w:val="18"/>
          <w:szCs w:val="18"/>
        </w:rPr>
        <w:t>。</w:t>
      </w:r>
    </w:p>
    <w:p>
      <w:pPr>
        <w:pStyle w:val="10"/>
        <w:numPr>
          <w:ilvl w:val="1"/>
          <w:numId w:val="1"/>
        </w:numPr>
        <w:ind w:firstLineChars="0"/>
        <w:rPr>
          <w:rFonts w:ascii="Times New Roman" w:hAnsi="Times New Roman" w:eastAsia="仿宋"/>
          <w:bCs/>
          <w:sz w:val="18"/>
          <w:szCs w:val="18"/>
        </w:rPr>
      </w:pPr>
      <w:r>
        <w:rPr>
          <w:rFonts w:ascii="仿宋" w:hAnsi="仿宋" w:eastAsia="仿宋"/>
          <w:bCs/>
          <w:sz w:val="18"/>
          <w:szCs w:val="18"/>
        </w:rPr>
        <w:t>刘瑞明、石阳、焦豪、毛宇，</w:t>
      </w:r>
      <w:r>
        <w:rPr>
          <w:rFonts w:hint="eastAsia" w:ascii="仿宋" w:hAnsi="仿宋" w:eastAsia="仿宋"/>
          <w:bCs/>
          <w:sz w:val="18"/>
          <w:szCs w:val="18"/>
        </w:rPr>
        <w:t>“</w:t>
      </w:r>
      <w:r>
        <w:rPr>
          <w:rFonts w:ascii="仿宋" w:hAnsi="仿宋" w:eastAsia="仿宋"/>
          <w:bCs/>
          <w:sz w:val="18"/>
          <w:szCs w:val="18"/>
        </w:rPr>
        <w:t>高校招生均等化政策改革与生源质量提升</w:t>
      </w:r>
      <w:r>
        <w:rPr>
          <w:rFonts w:hint="eastAsia" w:ascii="仿宋" w:hAnsi="仿宋" w:eastAsia="仿宋"/>
          <w:bCs/>
          <w:sz w:val="18"/>
          <w:szCs w:val="18"/>
        </w:rPr>
        <w:t>”</w:t>
      </w:r>
      <w:r>
        <w:rPr>
          <w:rFonts w:ascii="仿宋" w:hAnsi="仿宋" w:eastAsia="仿宋"/>
          <w:bCs/>
          <w:sz w:val="18"/>
          <w:szCs w:val="18"/>
        </w:rPr>
        <w:t>，《经济研究》</w:t>
      </w:r>
      <w:r>
        <w:rPr>
          <w:rFonts w:hint="eastAsia" w:ascii="仿宋" w:hAnsi="仿宋" w:eastAsia="仿宋"/>
          <w:bCs/>
          <w:sz w:val="18"/>
          <w:szCs w:val="18"/>
        </w:rPr>
        <w:t>，</w:t>
      </w:r>
      <w:r>
        <w:rPr>
          <w:rFonts w:ascii="Times New Roman" w:hAnsi="Times New Roman" w:eastAsia="仿宋"/>
          <w:bCs/>
          <w:sz w:val="18"/>
          <w:szCs w:val="18"/>
        </w:rPr>
        <w:t>2021</w:t>
      </w:r>
      <w:r>
        <w:rPr>
          <w:rFonts w:hint="eastAsia" w:ascii="仿宋" w:hAnsi="仿宋" w:eastAsia="仿宋"/>
          <w:bCs/>
          <w:sz w:val="18"/>
          <w:szCs w:val="18"/>
        </w:rPr>
        <w:t>年</w:t>
      </w:r>
      <w:r>
        <w:rPr>
          <w:rFonts w:ascii="仿宋" w:hAnsi="仿宋" w:eastAsia="仿宋"/>
          <w:bCs/>
          <w:sz w:val="18"/>
          <w:szCs w:val="18"/>
        </w:rPr>
        <w:t>第</w:t>
      </w:r>
      <w:r>
        <w:rPr>
          <w:rFonts w:ascii="Times New Roman" w:hAnsi="Times New Roman" w:eastAsia="仿宋"/>
          <w:bCs/>
          <w:sz w:val="18"/>
          <w:szCs w:val="18"/>
        </w:rPr>
        <w:t>7</w:t>
      </w:r>
      <w:r>
        <w:rPr>
          <w:rFonts w:ascii="仿宋" w:hAnsi="仿宋" w:eastAsia="仿宋"/>
          <w:bCs/>
          <w:sz w:val="18"/>
          <w:szCs w:val="18"/>
        </w:rPr>
        <w:t>期</w:t>
      </w:r>
      <w:r>
        <w:rPr>
          <w:rFonts w:hint="eastAsia" w:ascii="仿宋" w:hAnsi="仿宋" w:eastAsia="仿宋"/>
          <w:bCs/>
          <w:sz w:val="18"/>
          <w:szCs w:val="18"/>
        </w:rPr>
        <w:t>，第</w:t>
      </w:r>
      <w:r>
        <w:rPr>
          <w:rFonts w:ascii="Times New Roman" w:hAnsi="Times New Roman" w:eastAsia="仿宋"/>
          <w:bCs/>
          <w:sz w:val="18"/>
          <w:szCs w:val="18"/>
        </w:rPr>
        <w:t>178-194</w:t>
      </w:r>
      <w:r>
        <w:rPr>
          <w:rFonts w:hint="eastAsia" w:ascii="仿宋" w:hAnsi="仿宋" w:eastAsia="仿宋"/>
          <w:bCs/>
          <w:sz w:val="18"/>
          <w:szCs w:val="18"/>
        </w:rPr>
        <w:t>页</w:t>
      </w:r>
      <w:r>
        <w:rPr>
          <w:rFonts w:ascii="仿宋" w:hAnsi="仿宋" w:eastAsia="仿宋"/>
          <w:bCs/>
          <w:sz w:val="18"/>
          <w:szCs w:val="18"/>
        </w:rPr>
        <w:t>。</w:t>
      </w:r>
    </w:p>
    <w:p>
      <w:pPr>
        <w:pStyle w:val="10"/>
        <w:numPr>
          <w:ilvl w:val="1"/>
          <w:numId w:val="1"/>
        </w:numPr>
        <w:ind w:firstLineChars="0"/>
        <w:rPr>
          <w:rFonts w:ascii="Times New Roman" w:hAnsi="Times New Roman" w:eastAsia="仿宋"/>
          <w:bCs/>
          <w:sz w:val="18"/>
          <w:szCs w:val="18"/>
        </w:rPr>
      </w:pPr>
      <w:r>
        <w:rPr>
          <w:rFonts w:ascii="Times New Roman" w:hAnsi="Times New Roman" w:eastAsia="仿宋"/>
          <w:bCs/>
          <w:sz w:val="18"/>
          <w:szCs w:val="18"/>
        </w:rPr>
        <w:t>Liu</w:t>
      </w:r>
      <w:r>
        <w:rPr>
          <w:rFonts w:hint="eastAsia" w:ascii="Times New Roman" w:hAnsi="Times New Roman" w:eastAsia="仿宋"/>
          <w:bCs/>
          <w:sz w:val="18"/>
          <w:szCs w:val="18"/>
          <w:lang w:val="en-US" w:eastAsia="zh-CN"/>
        </w:rPr>
        <w:t>,</w:t>
      </w:r>
      <w:r>
        <w:rPr>
          <w:rFonts w:ascii="Times New Roman" w:hAnsi="Times New Roman" w:eastAsia="仿宋"/>
          <w:bCs/>
          <w:sz w:val="18"/>
          <w:szCs w:val="18"/>
        </w:rPr>
        <w:t xml:space="preserve"> X., J. Zeng, Q. Zhou, and K. Choi, “The Chosen Fortunate in the Urbanization Process in China? Evidence from a Geographic Regression Discontinuity Study”</w:t>
      </w:r>
      <w:r>
        <w:rPr>
          <w:rFonts w:hint="eastAsia" w:ascii="Times New Roman" w:hAnsi="Times New Roman" w:eastAsia="仿宋"/>
          <w:bCs/>
          <w:sz w:val="18"/>
          <w:szCs w:val="18"/>
          <w:lang w:val="en-US" w:eastAsia="zh-CN"/>
        </w:rPr>
        <w:t>,</w:t>
      </w:r>
      <w:r>
        <w:rPr>
          <w:rFonts w:ascii="Times New Roman" w:hAnsi="Times New Roman" w:eastAsia="仿宋"/>
          <w:bCs/>
          <w:sz w:val="18"/>
          <w:szCs w:val="18"/>
        </w:rPr>
        <w:t xml:space="preserve"> </w:t>
      </w:r>
      <w:r>
        <w:rPr>
          <w:rFonts w:ascii="Times New Roman" w:hAnsi="Times New Roman" w:eastAsia="仿宋"/>
          <w:bCs/>
          <w:i/>
          <w:iCs/>
          <w:sz w:val="18"/>
          <w:szCs w:val="18"/>
        </w:rPr>
        <w:t>Review of Development Economics</w:t>
      </w:r>
      <w:r>
        <w:rPr>
          <w:rFonts w:ascii="Times New Roman" w:hAnsi="Times New Roman" w:eastAsia="仿宋"/>
          <w:bCs/>
          <w:sz w:val="18"/>
          <w:szCs w:val="18"/>
        </w:rPr>
        <w:t>, 2019, 23(4),1768-1787.</w:t>
      </w:r>
    </w:p>
    <w:p>
      <w:pPr>
        <w:pStyle w:val="10"/>
        <w:numPr>
          <w:ilvl w:val="1"/>
          <w:numId w:val="1"/>
        </w:numPr>
        <w:ind w:firstLineChars="0"/>
        <w:rPr>
          <w:rFonts w:ascii="Times New Roman" w:hAnsi="Times New Roman" w:eastAsia="仿宋"/>
          <w:bCs/>
          <w:sz w:val="18"/>
          <w:szCs w:val="18"/>
        </w:rPr>
      </w:pPr>
      <w:r>
        <w:rPr>
          <w:rFonts w:ascii="仿宋" w:hAnsi="仿宋" w:eastAsia="仿宋"/>
          <w:bCs/>
          <w:sz w:val="18"/>
          <w:szCs w:val="18"/>
        </w:rPr>
        <w:t>卢盛峰、陈思霞，</w:t>
      </w:r>
      <w:r>
        <w:rPr>
          <w:rFonts w:hint="eastAsia" w:ascii="仿宋" w:hAnsi="仿宋" w:eastAsia="仿宋"/>
          <w:bCs/>
          <w:sz w:val="18"/>
          <w:szCs w:val="18"/>
        </w:rPr>
        <w:t>“</w:t>
      </w:r>
      <w:r>
        <w:rPr>
          <w:rFonts w:ascii="仿宋" w:hAnsi="仿宋" w:eastAsia="仿宋"/>
          <w:bCs/>
          <w:sz w:val="18"/>
          <w:szCs w:val="18"/>
        </w:rPr>
        <w:t>政策偏袒的经济收益</w:t>
      </w:r>
      <w:r>
        <w:rPr>
          <w:rFonts w:ascii="Times New Roman" w:hAnsi="Times New Roman" w:eastAsia="仿宋"/>
          <w:bCs/>
          <w:sz w:val="18"/>
          <w:szCs w:val="18"/>
        </w:rPr>
        <w:t>:</w:t>
      </w:r>
      <w:r>
        <w:rPr>
          <w:rFonts w:ascii="仿宋" w:hAnsi="仿宋" w:eastAsia="仿宋"/>
          <w:bCs/>
          <w:sz w:val="18"/>
          <w:szCs w:val="18"/>
        </w:rPr>
        <w:t>来自中国工业企业出口的证据</w:t>
      </w:r>
      <w:r>
        <w:rPr>
          <w:rFonts w:hint="eastAsia" w:ascii="仿宋" w:hAnsi="仿宋" w:eastAsia="仿宋"/>
          <w:bCs/>
          <w:sz w:val="18"/>
          <w:szCs w:val="18"/>
        </w:rPr>
        <w:t>”</w:t>
      </w:r>
      <w:r>
        <w:rPr>
          <w:rFonts w:ascii="仿宋" w:hAnsi="仿宋" w:eastAsia="仿宋"/>
          <w:bCs/>
          <w:sz w:val="18"/>
          <w:szCs w:val="18"/>
        </w:rPr>
        <w:t>，《金融研究》</w:t>
      </w:r>
      <w:r>
        <w:rPr>
          <w:rFonts w:hint="eastAsia" w:ascii="仿宋" w:hAnsi="仿宋" w:eastAsia="仿宋"/>
          <w:bCs/>
          <w:sz w:val="18"/>
          <w:szCs w:val="18"/>
        </w:rPr>
        <w:t>，</w:t>
      </w:r>
      <w:r>
        <w:rPr>
          <w:rFonts w:ascii="Times New Roman" w:hAnsi="Times New Roman" w:eastAsia="仿宋"/>
          <w:bCs/>
          <w:sz w:val="18"/>
          <w:szCs w:val="18"/>
        </w:rPr>
        <w:t>2016</w:t>
      </w:r>
      <w:r>
        <w:rPr>
          <w:rFonts w:hint="eastAsia" w:ascii="仿宋" w:hAnsi="仿宋" w:eastAsia="仿宋"/>
          <w:bCs/>
          <w:sz w:val="18"/>
          <w:szCs w:val="18"/>
        </w:rPr>
        <w:t>年</w:t>
      </w:r>
      <w:r>
        <w:rPr>
          <w:rFonts w:ascii="仿宋" w:hAnsi="仿宋" w:eastAsia="仿宋"/>
          <w:bCs/>
          <w:sz w:val="18"/>
          <w:szCs w:val="18"/>
        </w:rPr>
        <w:t>第</w:t>
      </w:r>
      <w:r>
        <w:rPr>
          <w:rFonts w:ascii="Times New Roman" w:hAnsi="Times New Roman" w:eastAsia="仿宋"/>
          <w:bCs/>
          <w:sz w:val="18"/>
          <w:szCs w:val="18"/>
        </w:rPr>
        <w:t>7</w:t>
      </w:r>
      <w:r>
        <w:rPr>
          <w:rFonts w:ascii="仿宋" w:hAnsi="仿宋" w:eastAsia="仿宋"/>
          <w:bCs/>
          <w:sz w:val="18"/>
          <w:szCs w:val="18"/>
        </w:rPr>
        <w:t>期</w:t>
      </w:r>
      <w:r>
        <w:rPr>
          <w:rFonts w:hint="eastAsia" w:ascii="仿宋" w:hAnsi="仿宋" w:eastAsia="仿宋"/>
          <w:bCs/>
          <w:sz w:val="18"/>
          <w:szCs w:val="18"/>
        </w:rPr>
        <w:t>，第</w:t>
      </w:r>
      <w:r>
        <w:rPr>
          <w:rFonts w:ascii="Times New Roman" w:hAnsi="Times New Roman" w:eastAsia="仿宋"/>
          <w:bCs/>
          <w:sz w:val="18"/>
          <w:szCs w:val="18"/>
        </w:rPr>
        <w:t>33-47</w:t>
      </w:r>
      <w:r>
        <w:rPr>
          <w:rFonts w:hint="eastAsia" w:ascii="仿宋" w:hAnsi="仿宋" w:eastAsia="仿宋"/>
          <w:bCs/>
          <w:sz w:val="18"/>
          <w:szCs w:val="18"/>
        </w:rPr>
        <w:t>页</w:t>
      </w:r>
      <w:r>
        <w:rPr>
          <w:rFonts w:ascii="仿宋" w:hAnsi="仿宋" w:eastAsia="仿宋"/>
          <w:bCs/>
          <w:sz w:val="18"/>
          <w:szCs w:val="18"/>
        </w:rPr>
        <w:t>。</w:t>
      </w:r>
    </w:p>
    <w:p>
      <w:pPr>
        <w:pStyle w:val="10"/>
        <w:numPr>
          <w:ilvl w:val="1"/>
          <w:numId w:val="1"/>
        </w:numPr>
        <w:ind w:firstLineChars="0"/>
        <w:rPr>
          <w:rFonts w:ascii="Times New Roman" w:hAnsi="Times New Roman" w:eastAsia="仿宋"/>
          <w:bCs/>
          <w:sz w:val="18"/>
          <w:szCs w:val="18"/>
        </w:rPr>
      </w:pPr>
      <w:r>
        <w:rPr>
          <w:rFonts w:ascii="仿宋" w:hAnsi="仿宋" w:eastAsia="仿宋"/>
          <w:bCs/>
          <w:sz w:val="18"/>
          <w:szCs w:val="18"/>
        </w:rPr>
        <w:t>卢盛峰、陈思霞，</w:t>
      </w:r>
      <w:r>
        <w:rPr>
          <w:rFonts w:hint="eastAsia" w:ascii="仿宋" w:hAnsi="仿宋" w:eastAsia="仿宋"/>
          <w:bCs/>
          <w:sz w:val="18"/>
          <w:szCs w:val="18"/>
        </w:rPr>
        <w:t>“</w:t>
      </w:r>
      <w:r>
        <w:rPr>
          <w:rFonts w:ascii="仿宋" w:hAnsi="仿宋" w:eastAsia="仿宋"/>
          <w:bCs/>
          <w:sz w:val="18"/>
          <w:szCs w:val="18"/>
        </w:rPr>
        <w:t>政府偏袒缓解了企业融资约束吗</w:t>
      </w:r>
      <w:r>
        <w:rPr>
          <w:rFonts w:ascii="Times New Roman" w:hAnsi="Times New Roman" w:eastAsia="仿宋"/>
          <w:bCs/>
          <w:sz w:val="18"/>
          <w:szCs w:val="18"/>
        </w:rPr>
        <w:t>?——</w:t>
      </w:r>
      <w:r>
        <w:rPr>
          <w:rFonts w:ascii="仿宋" w:hAnsi="仿宋" w:eastAsia="仿宋"/>
          <w:bCs/>
          <w:sz w:val="18"/>
          <w:szCs w:val="18"/>
        </w:rPr>
        <w:t>来自中国的准自然实验</w:t>
      </w:r>
      <w:r>
        <w:rPr>
          <w:rFonts w:hint="eastAsia" w:ascii="仿宋" w:hAnsi="仿宋" w:eastAsia="仿宋"/>
          <w:bCs/>
          <w:sz w:val="18"/>
          <w:szCs w:val="18"/>
        </w:rPr>
        <w:t>”</w:t>
      </w:r>
      <w:r>
        <w:rPr>
          <w:rFonts w:ascii="仿宋" w:hAnsi="仿宋" w:eastAsia="仿宋"/>
          <w:bCs/>
          <w:sz w:val="18"/>
          <w:szCs w:val="18"/>
        </w:rPr>
        <w:t>，《管理世界》</w:t>
      </w:r>
      <w:r>
        <w:rPr>
          <w:rFonts w:hint="eastAsia" w:ascii="仿宋" w:hAnsi="仿宋" w:eastAsia="仿宋"/>
          <w:bCs/>
          <w:sz w:val="18"/>
          <w:szCs w:val="18"/>
        </w:rPr>
        <w:t>，</w:t>
      </w:r>
      <w:r>
        <w:rPr>
          <w:rFonts w:ascii="Times New Roman" w:hAnsi="Times New Roman" w:eastAsia="仿宋"/>
          <w:bCs/>
          <w:sz w:val="18"/>
          <w:szCs w:val="18"/>
        </w:rPr>
        <w:t>2017</w:t>
      </w:r>
      <w:r>
        <w:rPr>
          <w:rFonts w:hint="eastAsia" w:ascii="仿宋" w:hAnsi="仿宋" w:eastAsia="仿宋"/>
          <w:bCs/>
          <w:sz w:val="18"/>
          <w:szCs w:val="18"/>
        </w:rPr>
        <w:t>年</w:t>
      </w:r>
      <w:r>
        <w:rPr>
          <w:rFonts w:ascii="仿宋" w:hAnsi="仿宋" w:eastAsia="仿宋"/>
          <w:bCs/>
          <w:sz w:val="18"/>
          <w:szCs w:val="18"/>
        </w:rPr>
        <w:t>第</w:t>
      </w:r>
      <w:r>
        <w:rPr>
          <w:rFonts w:ascii="Times New Roman" w:hAnsi="Times New Roman" w:eastAsia="仿宋"/>
          <w:bCs/>
          <w:sz w:val="18"/>
          <w:szCs w:val="18"/>
        </w:rPr>
        <w:t>5</w:t>
      </w:r>
      <w:r>
        <w:rPr>
          <w:rFonts w:ascii="仿宋" w:hAnsi="仿宋" w:eastAsia="仿宋"/>
          <w:bCs/>
          <w:sz w:val="18"/>
          <w:szCs w:val="18"/>
        </w:rPr>
        <w:t>期</w:t>
      </w:r>
      <w:r>
        <w:rPr>
          <w:rFonts w:hint="eastAsia" w:ascii="仿宋" w:hAnsi="仿宋" w:eastAsia="仿宋"/>
          <w:bCs/>
          <w:sz w:val="18"/>
          <w:szCs w:val="18"/>
        </w:rPr>
        <w:t>，第</w:t>
      </w:r>
      <w:r>
        <w:rPr>
          <w:rFonts w:ascii="Times New Roman" w:hAnsi="Times New Roman" w:eastAsia="仿宋"/>
          <w:bCs/>
          <w:sz w:val="18"/>
          <w:szCs w:val="18"/>
        </w:rPr>
        <w:t>51-65</w:t>
      </w:r>
      <w:r>
        <w:rPr>
          <w:rFonts w:hint="eastAsia" w:ascii="仿宋" w:hAnsi="仿宋" w:eastAsia="仿宋"/>
          <w:bCs/>
          <w:sz w:val="18"/>
          <w:szCs w:val="18"/>
        </w:rPr>
        <w:t>页</w:t>
      </w:r>
      <w:r>
        <w:rPr>
          <w:rFonts w:ascii="仿宋" w:hAnsi="仿宋" w:eastAsia="仿宋"/>
          <w:bCs/>
          <w:sz w:val="18"/>
          <w:szCs w:val="18"/>
        </w:rPr>
        <w:t>。</w:t>
      </w:r>
    </w:p>
    <w:p>
      <w:pPr>
        <w:pStyle w:val="10"/>
        <w:numPr>
          <w:ilvl w:val="1"/>
          <w:numId w:val="1"/>
        </w:numPr>
        <w:ind w:firstLineChars="0"/>
        <w:rPr>
          <w:rFonts w:ascii="Times New Roman" w:hAnsi="Times New Roman" w:eastAsia="仿宋"/>
          <w:bCs/>
          <w:sz w:val="18"/>
          <w:szCs w:val="18"/>
        </w:rPr>
      </w:pPr>
      <w:r>
        <w:rPr>
          <w:rFonts w:ascii="仿宋" w:hAnsi="仿宋" w:eastAsia="仿宋"/>
          <w:bCs/>
          <w:sz w:val="18"/>
          <w:szCs w:val="18"/>
        </w:rPr>
        <w:t>罗楚亮、李实、岳希明，</w:t>
      </w:r>
      <w:r>
        <w:rPr>
          <w:rFonts w:hint="eastAsia" w:ascii="仿宋" w:hAnsi="仿宋" w:eastAsia="仿宋"/>
          <w:bCs/>
          <w:sz w:val="18"/>
          <w:szCs w:val="18"/>
        </w:rPr>
        <w:t>“</w:t>
      </w:r>
      <w:r>
        <w:rPr>
          <w:rFonts w:ascii="仿宋" w:hAnsi="仿宋" w:eastAsia="仿宋"/>
          <w:bCs/>
          <w:sz w:val="18"/>
          <w:szCs w:val="18"/>
        </w:rPr>
        <w:t>中国居民收入差距变动分析（</w:t>
      </w:r>
      <w:r>
        <w:rPr>
          <w:rFonts w:ascii="Times New Roman" w:hAnsi="Times New Roman" w:eastAsia="仿宋"/>
          <w:bCs/>
          <w:sz w:val="18"/>
          <w:szCs w:val="18"/>
        </w:rPr>
        <w:t>2013—2018</w:t>
      </w:r>
      <w:r>
        <w:rPr>
          <w:rFonts w:ascii="仿宋" w:hAnsi="仿宋" w:eastAsia="仿宋"/>
          <w:bCs/>
          <w:sz w:val="18"/>
          <w:szCs w:val="18"/>
        </w:rPr>
        <w:t>）</w:t>
      </w:r>
      <w:r>
        <w:rPr>
          <w:rFonts w:hint="eastAsia" w:ascii="仿宋" w:hAnsi="仿宋" w:eastAsia="仿宋"/>
          <w:bCs/>
          <w:sz w:val="18"/>
          <w:szCs w:val="18"/>
        </w:rPr>
        <w:t>”</w:t>
      </w:r>
      <w:r>
        <w:rPr>
          <w:rFonts w:ascii="仿宋" w:hAnsi="仿宋" w:eastAsia="仿宋"/>
          <w:bCs/>
          <w:sz w:val="18"/>
          <w:szCs w:val="18"/>
        </w:rPr>
        <w:t>，《中国社会科学》</w:t>
      </w:r>
      <w:r>
        <w:rPr>
          <w:rFonts w:hint="eastAsia" w:ascii="仿宋" w:hAnsi="仿宋" w:eastAsia="仿宋"/>
          <w:bCs/>
          <w:sz w:val="18"/>
          <w:szCs w:val="18"/>
        </w:rPr>
        <w:t>，</w:t>
      </w:r>
      <w:r>
        <w:rPr>
          <w:rFonts w:ascii="Times New Roman" w:hAnsi="Times New Roman" w:eastAsia="仿宋"/>
          <w:bCs/>
          <w:sz w:val="18"/>
          <w:szCs w:val="18"/>
        </w:rPr>
        <w:t>2021</w:t>
      </w:r>
      <w:r>
        <w:rPr>
          <w:rFonts w:hint="eastAsia" w:ascii="仿宋" w:hAnsi="仿宋" w:eastAsia="仿宋"/>
          <w:bCs/>
          <w:sz w:val="18"/>
          <w:szCs w:val="18"/>
        </w:rPr>
        <w:t>年</w:t>
      </w:r>
      <w:r>
        <w:rPr>
          <w:rFonts w:ascii="仿宋" w:hAnsi="仿宋" w:eastAsia="仿宋"/>
          <w:bCs/>
          <w:sz w:val="18"/>
          <w:szCs w:val="18"/>
        </w:rPr>
        <w:t>第</w:t>
      </w:r>
      <w:r>
        <w:rPr>
          <w:rFonts w:ascii="Times New Roman" w:hAnsi="Times New Roman" w:eastAsia="仿宋"/>
          <w:bCs/>
          <w:sz w:val="18"/>
          <w:szCs w:val="18"/>
        </w:rPr>
        <w:t>1</w:t>
      </w:r>
      <w:r>
        <w:rPr>
          <w:rFonts w:ascii="仿宋" w:hAnsi="仿宋" w:eastAsia="仿宋"/>
          <w:bCs/>
          <w:sz w:val="18"/>
          <w:szCs w:val="18"/>
        </w:rPr>
        <w:t>期</w:t>
      </w:r>
      <w:r>
        <w:rPr>
          <w:rFonts w:hint="eastAsia" w:ascii="仿宋" w:hAnsi="仿宋" w:eastAsia="仿宋"/>
          <w:bCs/>
          <w:sz w:val="18"/>
          <w:szCs w:val="18"/>
        </w:rPr>
        <w:t>，第</w:t>
      </w:r>
      <w:r>
        <w:rPr>
          <w:rFonts w:ascii="Times New Roman" w:hAnsi="Times New Roman" w:eastAsia="仿宋"/>
          <w:bCs/>
          <w:sz w:val="18"/>
          <w:szCs w:val="18"/>
        </w:rPr>
        <w:t>33-54</w:t>
      </w:r>
      <w:r>
        <w:rPr>
          <w:rFonts w:hint="eastAsia" w:ascii="仿宋" w:hAnsi="仿宋" w:eastAsia="仿宋"/>
          <w:bCs/>
          <w:sz w:val="18"/>
          <w:szCs w:val="18"/>
        </w:rPr>
        <w:t>页</w:t>
      </w:r>
      <w:r>
        <w:rPr>
          <w:rFonts w:ascii="仿宋" w:hAnsi="仿宋" w:eastAsia="仿宋"/>
          <w:bCs/>
          <w:sz w:val="18"/>
          <w:szCs w:val="18"/>
        </w:rPr>
        <w:t>。</w:t>
      </w:r>
    </w:p>
    <w:p>
      <w:pPr>
        <w:pStyle w:val="10"/>
        <w:numPr>
          <w:ilvl w:val="1"/>
          <w:numId w:val="1"/>
        </w:numPr>
        <w:ind w:firstLineChars="0"/>
        <w:rPr>
          <w:rFonts w:ascii="Times New Roman" w:hAnsi="Times New Roman" w:eastAsia="仿宋"/>
          <w:bCs/>
          <w:sz w:val="18"/>
          <w:szCs w:val="18"/>
        </w:rPr>
      </w:pPr>
      <w:r>
        <w:rPr>
          <w:rFonts w:ascii="仿宋" w:hAnsi="仿宋" w:eastAsia="仿宋"/>
          <w:bCs/>
          <w:sz w:val="18"/>
          <w:szCs w:val="18"/>
        </w:rPr>
        <w:t>罗小龙、殷洁、田冬，</w:t>
      </w:r>
      <w:r>
        <w:rPr>
          <w:rFonts w:hint="eastAsia" w:ascii="仿宋" w:hAnsi="仿宋" w:eastAsia="仿宋"/>
          <w:bCs/>
          <w:sz w:val="18"/>
          <w:szCs w:val="18"/>
        </w:rPr>
        <w:t>“</w:t>
      </w:r>
      <w:r>
        <w:rPr>
          <w:rFonts w:ascii="仿宋" w:hAnsi="仿宋" w:eastAsia="仿宋"/>
          <w:bCs/>
          <w:sz w:val="18"/>
          <w:szCs w:val="18"/>
        </w:rPr>
        <w:t>不完全的再领域化与大都市区行政区划重组</w:t>
      </w:r>
      <w:r>
        <w:rPr>
          <w:rFonts w:ascii="Times New Roman" w:hAnsi="Times New Roman" w:eastAsia="仿宋"/>
          <w:bCs/>
          <w:sz w:val="18"/>
          <w:szCs w:val="18"/>
        </w:rPr>
        <w:t>——</w:t>
      </w:r>
      <w:r>
        <w:rPr>
          <w:rFonts w:ascii="仿宋" w:hAnsi="仿宋" w:eastAsia="仿宋"/>
          <w:bCs/>
          <w:sz w:val="18"/>
          <w:szCs w:val="18"/>
        </w:rPr>
        <w:t>以南京市江宁撤县设区为例</w:t>
      </w:r>
      <w:r>
        <w:rPr>
          <w:rFonts w:hint="eastAsia" w:ascii="仿宋" w:hAnsi="仿宋" w:eastAsia="仿宋"/>
          <w:bCs/>
          <w:sz w:val="18"/>
          <w:szCs w:val="18"/>
        </w:rPr>
        <w:t>”</w:t>
      </w:r>
      <w:r>
        <w:rPr>
          <w:rFonts w:ascii="仿宋" w:hAnsi="仿宋" w:eastAsia="仿宋"/>
          <w:bCs/>
          <w:sz w:val="18"/>
          <w:szCs w:val="18"/>
        </w:rPr>
        <w:t>，《地理研究》</w:t>
      </w:r>
      <w:r>
        <w:rPr>
          <w:rFonts w:hint="eastAsia" w:ascii="仿宋" w:hAnsi="仿宋" w:eastAsia="仿宋"/>
          <w:bCs/>
          <w:sz w:val="18"/>
          <w:szCs w:val="18"/>
        </w:rPr>
        <w:t>，</w:t>
      </w:r>
      <w:r>
        <w:rPr>
          <w:rFonts w:ascii="Times New Roman" w:hAnsi="Times New Roman" w:eastAsia="仿宋"/>
          <w:bCs/>
          <w:sz w:val="18"/>
          <w:szCs w:val="18"/>
        </w:rPr>
        <w:t>2010</w:t>
      </w:r>
      <w:r>
        <w:rPr>
          <w:rFonts w:hint="eastAsia" w:ascii="仿宋" w:hAnsi="仿宋" w:eastAsia="仿宋"/>
          <w:bCs/>
          <w:sz w:val="18"/>
          <w:szCs w:val="18"/>
        </w:rPr>
        <w:t>年</w:t>
      </w:r>
      <w:r>
        <w:rPr>
          <w:rFonts w:ascii="仿宋" w:hAnsi="仿宋" w:eastAsia="仿宋"/>
          <w:bCs/>
          <w:sz w:val="18"/>
          <w:szCs w:val="18"/>
        </w:rPr>
        <w:t>第</w:t>
      </w:r>
      <w:r>
        <w:rPr>
          <w:rFonts w:ascii="Times New Roman" w:hAnsi="Times New Roman" w:eastAsia="仿宋"/>
          <w:bCs/>
          <w:sz w:val="18"/>
          <w:szCs w:val="18"/>
        </w:rPr>
        <w:t>10</w:t>
      </w:r>
      <w:r>
        <w:rPr>
          <w:rFonts w:ascii="仿宋" w:hAnsi="仿宋" w:eastAsia="仿宋"/>
          <w:bCs/>
          <w:sz w:val="18"/>
          <w:szCs w:val="18"/>
        </w:rPr>
        <w:t>期</w:t>
      </w:r>
      <w:r>
        <w:rPr>
          <w:rFonts w:hint="eastAsia" w:ascii="仿宋" w:hAnsi="仿宋" w:eastAsia="仿宋"/>
          <w:bCs/>
          <w:sz w:val="18"/>
          <w:szCs w:val="18"/>
        </w:rPr>
        <w:t>，第</w:t>
      </w:r>
      <w:r>
        <w:rPr>
          <w:rFonts w:ascii="Times New Roman" w:hAnsi="Times New Roman" w:eastAsia="仿宋"/>
          <w:bCs/>
          <w:sz w:val="18"/>
          <w:szCs w:val="18"/>
        </w:rPr>
        <w:t>1746-1756</w:t>
      </w:r>
      <w:r>
        <w:rPr>
          <w:rFonts w:hint="eastAsia" w:ascii="仿宋" w:hAnsi="仿宋" w:eastAsia="仿宋"/>
          <w:bCs/>
          <w:sz w:val="18"/>
          <w:szCs w:val="18"/>
        </w:rPr>
        <w:t>页</w:t>
      </w:r>
      <w:r>
        <w:rPr>
          <w:rFonts w:ascii="仿宋" w:hAnsi="仿宋" w:eastAsia="仿宋"/>
          <w:bCs/>
          <w:sz w:val="18"/>
          <w:szCs w:val="18"/>
        </w:rPr>
        <w:t>。</w:t>
      </w:r>
    </w:p>
    <w:p>
      <w:pPr>
        <w:pStyle w:val="10"/>
        <w:numPr>
          <w:ilvl w:val="1"/>
          <w:numId w:val="1"/>
        </w:numPr>
        <w:ind w:firstLineChars="0"/>
        <w:rPr>
          <w:rFonts w:ascii="Times New Roman" w:hAnsi="Times New Roman" w:eastAsia="仿宋"/>
          <w:bCs/>
          <w:sz w:val="18"/>
          <w:szCs w:val="18"/>
        </w:rPr>
      </w:pPr>
      <w:r>
        <w:rPr>
          <w:rFonts w:ascii="仿宋" w:hAnsi="仿宋" w:eastAsia="仿宋"/>
          <w:bCs/>
          <w:sz w:val="18"/>
          <w:szCs w:val="18"/>
        </w:rPr>
        <w:t>乔俊峰、黄智琛，</w:t>
      </w:r>
      <w:r>
        <w:rPr>
          <w:rFonts w:hint="eastAsia" w:ascii="仿宋" w:hAnsi="仿宋" w:eastAsia="仿宋"/>
          <w:bCs/>
          <w:sz w:val="18"/>
          <w:szCs w:val="18"/>
        </w:rPr>
        <w:t>“</w:t>
      </w:r>
      <w:r>
        <w:rPr>
          <w:rFonts w:ascii="仿宋" w:hAnsi="仿宋" w:eastAsia="仿宋"/>
          <w:bCs/>
          <w:sz w:val="18"/>
          <w:szCs w:val="18"/>
        </w:rPr>
        <w:t>地方政府债务为何持续扩张</w:t>
      </w:r>
      <w:r>
        <w:rPr>
          <w:rFonts w:ascii="Times New Roman" w:hAnsi="Times New Roman" w:eastAsia="仿宋"/>
          <w:bCs/>
          <w:sz w:val="18"/>
          <w:szCs w:val="18"/>
        </w:rPr>
        <w:t>——</w:t>
      </w:r>
      <w:r>
        <w:rPr>
          <w:rFonts w:ascii="仿宋" w:hAnsi="仿宋" w:eastAsia="仿宋"/>
          <w:bCs/>
          <w:sz w:val="18"/>
          <w:szCs w:val="18"/>
        </w:rPr>
        <w:t>基于撤县设区的准自然实验分析</w:t>
      </w:r>
      <w:r>
        <w:rPr>
          <w:rFonts w:hint="eastAsia" w:ascii="仿宋" w:hAnsi="仿宋" w:eastAsia="仿宋"/>
          <w:bCs/>
          <w:sz w:val="18"/>
          <w:szCs w:val="18"/>
        </w:rPr>
        <w:t>”</w:t>
      </w:r>
      <w:r>
        <w:rPr>
          <w:rFonts w:ascii="仿宋" w:hAnsi="仿宋" w:eastAsia="仿宋"/>
          <w:bCs/>
          <w:sz w:val="18"/>
          <w:szCs w:val="18"/>
        </w:rPr>
        <w:t>，《南开经济研究》</w:t>
      </w:r>
      <w:r>
        <w:rPr>
          <w:rFonts w:hint="eastAsia" w:ascii="仿宋" w:hAnsi="仿宋" w:eastAsia="仿宋"/>
          <w:bCs/>
          <w:sz w:val="18"/>
          <w:szCs w:val="18"/>
        </w:rPr>
        <w:t>，</w:t>
      </w:r>
      <w:r>
        <w:rPr>
          <w:rFonts w:ascii="Times New Roman" w:hAnsi="Times New Roman" w:eastAsia="仿宋"/>
          <w:bCs/>
          <w:sz w:val="18"/>
          <w:szCs w:val="18"/>
        </w:rPr>
        <w:t>2021</w:t>
      </w:r>
      <w:r>
        <w:rPr>
          <w:rFonts w:hint="eastAsia" w:ascii="仿宋" w:hAnsi="仿宋" w:eastAsia="仿宋"/>
          <w:bCs/>
          <w:sz w:val="18"/>
          <w:szCs w:val="18"/>
        </w:rPr>
        <w:t>年</w:t>
      </w:r>
      <w:r>
        <w:rPr>
          <w:rFonts w:ascii="仿宋" w:hAnsi="仿宋" w:eastAsia="仿宋"/>
          <w:bCs/>
          <w:sz w:val="18"/>
          <w:szCs w:val="18"/>
        </w:rPr>
        <w:t>第</w:t>
      </w:r>
      <w:r>
        <w:rPr>
          <w:rFonts w:ascii="Times New Roman" w:hAnsi="Times New Roman" w:eastAsia="仿宋"/>
          <w:bCs/>
          <w:sz w:val="18"/>
          <w:szCs w:val="18"/>
        </w:rPr>
        <w:t>6</w:t>
      </w:r>
      <w:r>
        <w:rPr>
          <w:rFonts w:ascii="仿宋" w:hAnsi="仿宋" w:eastAsia="仿宋"/>
          <w:bCs/>
          <w:sz w:val="18"/>
          <w:szCs w:val="18"/>
        </w:rPr>
        <w:t>期</w:t>
      </w:r>
      <w:r>
        <w:rPr>
          <w:rFonts w:hint="eastAsia" w:ascii="仿宋" w:hAnsi="仿宋" w:eastAsia="仿宋"/>
          <w:bCs/>
          <w:sz w:val="18"/>
          <w:szCs w:val="18"/>
        </w:rPr>
        <w:t>，第</w:t>
      </w:r>
      <w:r>
        <w:rPr>
          <w:rFonts w:ascii="Times New Roman" w:hAnsi="Times New Roman" w:eastAsia="仿宋"/>
          <w:bCs/>
          <w:sz w:val="18"/>
          <w:szCs w:val="18"/>
        </w:rPr>
        <w:t>127-143</w:t>
      </w:r>
      <w:r>
        <w:rPr>
          <w:rFonts w:hint="eastAsia" w:ascii="仿宋" w:hAnsi="仿宋" w:eastAsia="仿宋"/>
          <w:bCs/>
          <w:sz w:val="18"/>
          <w:szCs w:val="18"/>
        </w:rPr>
        <w:t>页</w:t>
      </w:r>
      <w:r>
        <w:rPr>
          <w:rFonts w:ascii="仿宋" w:hAnsi="仿宋" w:eastAsia="仿宋"/>
          <w:bCs/>
          <w:sz w:val="18"/>
          <w:szCs w:val="18"/>
        </w:rPr>
        <w:t>。</w:t>
      </w:r>
    </w:p>
    <w:p>
      <w:pPr>
        <w:pStyle w:val="10"/>
        <w:numPr>
          <w:ilvl w:val="1"/>
          <w:numId w:val="1"/>
        </w:numPr>
        <w:ind w:firstLineChars="0"/>
        <w:rPr>
          <w:rFonts w:ascii="Times New Roman" w:hAnsi="Times New Roman" w:eastAsia="仿宋"/>
          <w:bCs/>
          <w:sz w:val="18"/>
          <w:szCs w:val="18"/>
        </w:rPr>
      </w:pPr>
      <w:r>
        <w:rPr>
          <w:rFonts w:ascii="Times New Roman" w:hAnsi="Times New Roman" w:eastAsia="仿宋"/>
          <w:sz w:val="18"/>
          <w:szCs w:val="18"/>
          <w:shd w:val="clear" w:color="auto" w:fill="FFFFFF"/>
        </w:rPr>
        <w:t xml:space="preserve">Roemer, J. E., </w:t>
      </w:r>
      <w:r>
        <w:rPr>
          <w:rFonts w:ascii="Times New Roman" w:hAnsi="Times New Roman" w:eastAsia="仿宋"/>
          <w:i/>
          <w:iCs/>
          <w:sz w:val="18"/>
          <w:szCs w:val="18"/>
          <w:shd w:val="clear" w:color="auto" w:fill="FFFFFF"/>
        </w:rPr>
        <w:t>Equality of Opportunity</w:t>
      </w:r>
      <w:r>
        <w:rPr>
          <w:rFonts w:ascii="Times New Roman" w:hAnsi="Times New Roman" w:eastAsia="仿宋"/>
          <w:sz w:val="18"/>
          <w:szCs w:val="18"/>
          <w:shd w:val="clear" w:color="auto" w:fill="FFFFFF"/>
        </w:rPr>
        <w:t>. Cambridge, MA and London: Harvard University Press, 1998.</w:t>
      </w:r>
    </w:p>
    <w:p>
      <w:pPr>
        <w:pStyle w:val="10"/>
        <w:numPr>
          <w:ilvl w:val="1"/>
          <w:numId w:val="1"/>
        </w:numPr>
        <w:ind w:firstLineChars="0"/>
        <w:rPr>
          <w:rFonts w:ascii="Times New Roman" w:hAnsi="Times New Roman" w:eastAsia="仿宋"/>
          <w:bCs/>
          <w:sz w:val="18"/>
          <w:szCs w:val="18"/>
        </w:rPr>
      </w:pPr>
      <w:r>
        <w:rPr>
          <w:rFonts w:ascii="仿宋" w:hAnsi="仿宋" w:eastAsia="仿宋"/>
          <w:bCs/>
          <w:sz w:val="18"/>
          <w:szCs w:val="18"/>
        </w:rPr>
        <w:t>邵朝对、苏丹妮、包群，</w:t>
      </w:r>
      <w:r>
        <w:rPr>
          <w:rFonts w:hint="eastAsia" w:ascii="仿宋" w:hAnsi="仿宋" w:eastAsia="仿宋"/>
          <w:bCs/>
          <w:sz w:val="18"/>
          <w:szCs w:val="18"/>
        </w:rPr>
        <w:t>“</w:t>
      </w:r>
      <w:r>
        <w:rPr>
          <w:rFonts w:ascii="仿宋" w:hAnsi="仿宋" w:eastAsia="仿宋"/>
          <w:bCs/>
          <w:sz w:val="18"/>
          <w:szCs w:val="18"/>
        </w:rPr>
        <w:t>中国式分权下撤县设区的增长绩效评估</w:t>
      </w:r>
      <w:r>
        <w:rPr>
          <w:rFonts w:hint="eastAsia" w:ascii="仿宋" w:hAnsi="仿宋" w:eastAsia="仿宋"/>
          <w:bCs/>
          <w:sz w:val="18"/>
          <w:szCs w:val="18"/>
        </w:rPr>
        <w:t>”</w:t>
      </w:r>
      <w:r>
        <w:rPr>
          <w:rFonts w:ascii="仿宋" w:hAnsi="仿宋" w:eastAsia="仿宋"/>
          <w:bCs/>
          <w:sz w:val="18"/>
          <w:szCs w:val="18"/>
        </w:rPr>
        <w:t>，《世界经济》</w:t>
      </w:r>
      <w:r>
        <w:rPr>
          <w:rFonts w:hint="eastAsia" w:ascii="仿宋" w:hAnsi="仿宋" w:eastAsia="仿宋"/>
          <w:bCs/>
          <w:sz w:val="18"/>
          <w:szCs w:val="18"/>
        </w:rPr>
        <w:t>，</w:t>
      </w:r>
      <w:r>
        <w:rPr>
          <w:rFonts w:ascii="Times New Roman" w:hAnsi="Times New Roman" w:eastAsia="仿宋"/>
          <w:bCs/>
          <w:sz w:val="18"/>
          <w:szCs w:val="18"/>
        </w:rPr>
        <w:t>2018</w:t>
      </w:r>
      <w:r>
        <w:rPr>
          <w:rFonts w:hint="eastAsia" w:ascii="仿宋" w:hAnsi="仿宋" w:eastAsia="仿宋"/>
          <w:bCs/>
          <w:sz w:val="18"/>
          <w:szCs w:val="18"/>
        </w:rPr>
        <w:t>年</w:t>
      </w:r>
      <w:r>
        <w:rPr>
          <w:rFonts w:ascii="仿宋" w:hAnsi="仿宋" w:eastAsia="仿宋"/>
          <w:bCs/>
          <w:sz w:val="18"/>
          <w:szCs w:val="18"/>
        </w:rPr>
        <w:t>第</w:t>
      </w:r>
      <w:r>
        <w:rPr>
          <w:rFonts w:ascii="Times New Roman" w:hAnsi="Times New Roman" w:eastAsia="仿宋"/>
          <w:bCs/>
          <w:sz w:val="18"/>
          <w:szCs w:val="18"/>
        </w:rPr>
        <w:t>10</w:t>
      </w:r>
      <w:r>
        <w:rPr>
          <w:rFonts w:ascii="仿宋" w:hAnsi="仿宋" w:eastAsia="仿宋"/>
          <w:bCs/>
          <w:sz w:val="18"/>
          <w:szCs w:val="18"/>
        </w:rPr>
        <w:t>期</w:t>
      </w:r>
      <w:r>
        <w:rPr>
          <w:rFonts w:hint="eastAsia" w:ascii="仿宋" w:hAnsi="仿宋" w:eastAsia="仿宋"/>
          <w:bCs/>
          <w:sz w:val="18"/>
          <w:szCs w:val="18"/>
        </w:rPr>
        <w:t>，第</w:t>
      </w:r>
      <w:r>
        <w:rPr>
          <w:rFonts w:ascii="Times New Roman" w:hAnsi="Times New Roman" w:eastAsia="仿宋"/>
          <w:bCs/>
          <w:sz w:val="18"/>
          <w:szCs w:val="18"/>
        </w:rPr>
        <w:t>101-125</w:t>
      </w:r>
      <w:r>
        <w:rPr>
          <w:rFonts w:hint="eastAsia" w:ascii="仿宋" w:hAnsi="仿宋" w:eastAsia="仿宋"/>
          <w:bCs/>
          <w:sz w:val="18"/>
          <w:szCs w:val="18"/>
        </w:rPr>
        <w:t>页</w:t>
      </w:r>
      <w:r>
        <w:rPr>
          <w:rFonts w:ascii="仿宋" w:hAnsi="仿宋" w:eastAsia="仿宋"/>
          <w:bCs/>
          <w:sz w:val="18"/>
          <w:szCs w:val="18"/>
        </w:rPr>
        <w:t>。</w:t>
      </w:r>
    </w:p>
    <w:p>
      <w:pPr>
        <w:pStyle w:val="6"/>
        <w:numPr>
          <w:ilvl w:val="1"/>
          <w:numId w:val="1"/>
        </w:numPr>
        <w:jc w:val="both"/>
        <w:rPr>
          <w:rFonts w:ascii="Times New Roman" w:hAnsi="Times New Roman" w:eastAsia="仿宋"/>
        </w:rPr>
      </w:pPr>
      <w:r>
        <w:rPr>
          <w:rFonts w:ascii="仿宋" w:hAnsi="仿宋" w:eastAsia="仿宋"/>
          <w:bCs/>
        </w:rPr>
        <w:t>史新杰、卫龙宝、方师乐、高叙文，</w:t>
      </w:r>
      <w:r>
        <w:rPr>
          <w:rFonts w:hint="eastAsia" w:ascii="仿宋" w:hAnsi="仿宋" w:eastAsia="仿宋"/>
          <w:bCs/>
        </w:rPr>
        <w:t>“</w:t>
      </w:r>
      <w:r>
        <w:rPr>
          <w:rFonts w:ascii="仿宋" w:hAnsi="仿宋" w:eastAsia="仿宋"/>
          <w:bCs/>
        </w:rPr>
        <w:t>中国收入分配中的机会不平等</w:t>
      </w:r>
      <w:r>
        <w:rPr>
          <w:rFonts w:hint="eastAsia" w:ascii="仿宋" w:hAnsi="仿宋" w:eastAsia="仿宋"/>
          <w:bCs/>
        </w:rPr>
        <w:t>”</w:t>
      </w:r>
      <w:r>
        <w:rPr>
          <w:rFonts w:ascii="仿宋" w:hAnsi="仿宋" w:eastAsia="仿宋"/>
          <w:bCs/>
        </w:rPr>
        <w:t>，《管理世界》</w:t>
      </w:r>
      <w:r>
        <w:rPr>
          <w:rFonts w:hint="eastAsia" w:ascii="仿宋" w:hAnsi="仿宋" w:eastAsia="仿宋"/>
          <w:bCs/>
        </w:rPr>
        <w:t>，</w:t>
      </w:r>
      <w:r>
        <w:rPr>
          <w:rFonts w:ascii="Times New Roman" w:hAnsi="Times New Roman" w:eastAsia="仿宋"/>
          <w:bCs/>
        </w:rPr>
        <w:t>2018</w:t>
      </w:r>
      <w:r>
        <w:rPr>
          <w:rFonts w:hint="eastAsia" w:ascii="仿宋" w:hAnsi="仿宋" w:eastAsia="仿宋"/>
          <w:bCs/>
        </w:rPr>
        <w:t>年</w:t>
      </w:r>
      <w:r>
        <w:rPr>
          <w:rFonts w:ascii="仿宋" w:hAnsi="仿宋" w:eastAsia="仿宋"/>
          <w:bCs/>
        </w:rPr>
        <w:t>第</w:t>
      </w:r>
      <w:r>
        <w:rPr>
          <w:rFonts w:ascii="Times New Roman" w:hAnsi="Times New Roman" w:eastAsia="仿宋"/>
          <w:bCs/>
        </w:rPr>
        <w:t>3</w:t>
      </w:r>
      <w:r>
        <w:rPr>
          <w:rFonts w:ascii="仿宋" w:hAnsi="仿宋" w:eastAsia="仿宋"/>
          <w:bCs/>
        </w:rPr>
        <w:t>期</w:t>
      </w:r>
      <w:r>
        <w:rPr>
          <w:rFonts w:hint="eastAsia" w:ascii="仿宋" w:hAnsi="仿宋" w:eastAsia="仿宋"/>
          <w:bCs/>
        </w:rPr>
        <w:t>，第</w:t>
      </w:r>
      <w:r>
        <w:rPr>
          <w:rFonts w:ascii="Times New Roman" w:hAnsi="Times New Roman" w:eastAsia="仿宋"/>
          <w:bCs/>
        </w:rPr>
        <w:t>27-37</w:t>
      </w:r>
      <w:r>
        <w:rPr>
          <w:rFonts w:hint="eastAsia" w:ascii="仿宋" w:hAnsi="仿宋" w:eastAsia="仿宋"/>
          <w:bCs/>
        </w:rPr>
        <w:t>页</w:t>
      </w:r>
      <w:r>
        <w:rPr>
          <w:rFonts w:ascii="仿宋" w:hAnsi="仿宋" w:eastAsia="仿宋"/>
          <w:bCs/>
        </w:rPr>
        <w:t>。</w:t>
      </w:r>
    </w:p>
    <w:p>
      <w:pPr>
        <w:pStyle w:val="10"/>
        <w:numPr>
          <w:ilvl w:val="1"/>
          <w:numId w:val="1"/>
        </w:numPr>
        <w:adjustRightInd w:val="0"/>
        <w:snapToGrid w:val="0"/>
        <w:ind w:firstLineChars="0"/>
        <w:rPr>
          <w:rFonts w:ascii="Times New Roman" w:hAnsi="Times New Roman" w:eastAsia="仿宋"/>
          <w:bCs/>
          <w:sz w:val="18"/>
          <w:szCs w:val="18"/>
        </w:rPr>
      </w:pPr>
      <w:r>
        <w:rPr>
          <w:rFonts w:hint="eastAsia" w:ascii="仿宋" w:hAnsi="仿宋" w:eastAsia="仿宋"/>
          <w:bCs/>
          <w:sz w:val="18"/>
          <w:szCs w:val="18"/>
        </w:rPr>
        <w:t>孙伟增、林嘉瑜，“教育资源供给能够降低学区房溢价吗</w:t>
      </w:r>
      <w:r>
        <w:rPr>
          <w:rFonts w:ascii="Times New Roman" w:hAnsi="Times New Roman" w:eastAsia="仿宋"/>
          <w:bCs/>
          <w:sz w:val="18"/>
          <w:szCs w:val="18"/>
        </w:rPr>
        <w:t>?——</w:t>
      </w:r>
      <w:r>
        <w:rPr>
          <w:rFonts w:ascii="仿宋" w:hAnsi="仿宋" w:eastAsia="仿宋"/>
          <w:bCs/>
          <w:sz w:val="18"/>
          <w:szCs w:val="18"/>
        </w:rPr>
        <w:t>来自北京市新建小学的证据</w:t>
      </w:r>
      <w:r>
        <w:rPr>
          <w:rFonts w:hint="eastAsia" w:ascii="仿宋" w:hAnsi="仿宋" w:eastAsia="仿宋"/>
          <w:bCs/>
          <w:sz w:val="18"/>
          <w:szCs w:val="18"/>
        </w:rPr>
        <w:t>”，《经济学</w:t>
      </w:r>
      <w:r>
        <w:rPr>
          <w:rFonts w:hint="eastAsia" w:ascii="仿宋" w:hAnsi="仿宋" w:eastAsia="仿宋"/>
          <w:bCs/>
          <w:sz w:val="18"/>
          <w:szCs w:val="18"/>
          <w:lang w:eastAsia="zh-CN"/>
        </w:rPr>
        <w:t>》</w:t>
      </w:r>
      <w:r>
        <w:rPr>
          <w:rFonts w:hint="eastAsia" w:ascii="仿宋" w:hAnsi="仿宋" w:eastAsia="仿宋"/>
          <w:bCs/>
          <w:sz w:val="18"/>
          <w:szCs w:val="18"/>
        </w:rPr>
        <w:t>（季刊），</w:t>
      </w:r>
      <w:r>
        <w:rPr>
          <w:rFonts w:hint="eastAsia" w:ascii="Times New Roman" w:hAnsi="Times New Roman" w:eastAsia="仿宋"/>
          <w:bCs/>
          <w:sz w:val="18"/>
          <w:szCs w:val="18"/>
        </w:rPr>
        <w:t>2</w:t>
      </w:r>
      <w:r>
        <w:rPr>
          <w:rFonts w:ascii="Times New Roman" w:hAnsi="Times New Roman" w:eastAsia="仿宋"/>
          <w:bCs/>
          <w:sz w:val="18"/>
          <w:szCs w:val="18"/>
        </w:rPr>
        <w:t>020</w:t>
      </w:r>
      <w:r>
        <w:rPr>
          <w:rFonts w:hint="eastAsia" w:ascii="仿宋" w:hAnsi="仿宋" w:eastAsia="仿宋"/>
          <w:bCs/>
          <w:sz w:val="18"/>
          <w:szCs w:val="18"/>
        </w:rPr>
        <w:t>年第</w:t>
      </w:r>
      <w:r>
        <w:rPr>
          <w:rFonts w:hint="eastAsia" w:ascii="Times New Roman" w:hAnsi="Times New Roman" w:eastAsia="仿宋"/>
          <w:bCs/>
          <w:sz w:val="18"/>
          <w:szCs w:val="18"/>
        </w:rPr>
        <w:t>2</w:t>
      </w:r>
      <w:r>
        <w:rPr>
          <w:rFonts w:hint="eastAsia" w:ascii="仿宋" w:hAnsi="仿宋" w:eastAsia="仿宋"/>
          <w:bCs/>
          <w:sz w:val="18"/>
          <w:szCs w:val="18"/>
        </w:rPr>
        <w:t>期，第</w:t>
      </w:r>
      <w:r>
        <w:rPr>
          <w:rFonts w:ascii="Times New Roman" w:hAnsi="Times New Roman" w:eastAsia="仿宋"/>
          <w:bCs/>
          <w:sz w:val="18"/>
          <w:szCs w:val="18"/>
        </w:rPr>
        <w:t>499-520</w:t>
      </w:r>
      <w:r>
        <w:rPr>
          <w:rFonts w:hint="eastAsia" w:ascii="仿宋" w:hAnsi="仿宋" w:eastAsia="仿宋"/>
          <w:bCs/>
          <w:sz w:val="18"/>
          <w:szCs w:val="18"/>
        </w:rPr>
        <w:t>页</w:t>
      </w:r>
      <w:r>
        <w:rPr>
          <w:rFonts w:ascii="仿宋" w:hAnsi="仿宋" w:eastAsia="仿宋"/>
          <w:bCs/>
          <w:sz w:val="18"/>
          <w:szCs w:val="18"/>
        </w:rPr>
        <w:t>。</w:t>
      </w:r>
    </w:p>
    <w:p>
      <w:pPr>
        <w:pStyle w:val="10"/>
        <w:numPr>
          <w:ilvl w:val="1"/>
          <w:numId w:val="1"/>
        </w:numPr>
        <w:adjustRightInd w:val="0"/>
        <w:snapToGrid w:val="0"/>
        <w:ind w:firstLineChars="0"/>
        <w:rPr>
          <w:rFonts w:ascii="Times New Roman" w:hAnsi="Times New Roman" w:eastAsia="仿宋"/>
          <w:sz w:val="18"/>
          <w:szCs w:val="18"/>
          <w:shd w:val="clear" w:color="auto" w:fill="FFFFFF"/>
        </w:rPr>
      </w:pPr>
      <w:r>
        <w:rPr>
          <w:rFonts w:ascii="Times New Roman" w:hAnsi="Times New Roman" w:eastAsia="仿宋"/>
          <w:sz w:val="18"/>
          <w:szCs w:val="18"/>
          <w:shd w:val="clear" w:color="auto" w:fill="FFFFFF"/>
        </w:rPr>
        <w:t>Tang</w:t>
      </w:r>
      <w:r>
        <w:rPr>
          <w:rFonts w:hint="eastAsia" w:ascii="Times New Roman" w:hAnsi="Times New Roman" w:eastAsia="仿宋"/>
          <w:sz w:val="18"/>
          <w:szCs w:val="18"/>
          <w:shd w:val="clear" w:color="auto" w:fill="FFFFFF"/>
          <w:lang w:val="en-US" w:eastAsia="zh-CN"/>
        </w:rPr>
        <w:t>,</w:t>
      </w:r>
      <w:r>
        <w:rPr>
          <w:rFonts w:ascii="Times New Roman" w:hAnsi="Times New Roman" w:eastAsia="仿宋"/>
          <w:sz w:val="18"/>
          <w:szCs w:val="18"/>
          <w:shd w:val="clear" w:color="auto" w:fill="FFFFFF"/>
        </w:rPr>
        <w:t xml:space="preserve"> W, G. Hewings, “Do City–</w:t>
      </w:r>
      <w:r>
        <w:rPr>
          <w:rFonts w:hint="eastAsia" w:ascii="Times New Roman" w:hAnsi="Times New Roman" w:eastAsia="仿宋"/>
          <w:sz w:val="18"/>
          <w:szCs w:val="18"/>
          <w:shd w:val="clear" w:color="auto" w:fill="FFFFFF"/>
          <w:lang w:val="en-US" w:eastAsia="zh-CN"/>
        </w:rPr>
        <w:t>C</w:t>
      </w:r>
      <w:r>
        <w:rPr>
          <w:rFonts w:ascii="Times New Roman" w:hAnsi="Times New Roman" w:eastAsia="仿宋"/>
          <w:sz w:val="18"/>
          <w:szCs w:val="18"/>
          <w:shd w:val="clear" w:color="auto" w:fill="FFFFFF"/>
        </w:rPr>
        <w:t xml:space="preserve">ounty Mergers in China Promote Local Economic Development?” </w:t>
      </w:r>
      <w:r>
        <w:rPr>
          <w:rFonts w:hint="eastAsia" w:ascii="Times New Roman" w:hAnsi="Times New Roman" w:eastAsia="仿宋"/>
          <w:sz w:val="18"/>
          <w:szCs w:val="18"/>
          <w:shd w:val="clear" w:color="auto" w:fill="FFFFFF"/>
          <w:lang w:val="en-US" w:eastAsia="zh-CN"/>
        </w:rPr>
        <w:t>,</w:t>
      </w:r>
      <w:r>
        <w:rPr>
          <w:rFonts w:ascii="Times New Roman" w:hAnsi="Times New Roman" w:eastAsia="仿宋"/>
          <w:i/>
          <w:iCs/>
          <w:sz w:val="18"/>
          <w:szCs w:val="18"/>
          <w:shd w:val="clear" w:color="auto" w:fill="FFFFFF"/>
        </w:rPr>
        <w:t>Economics of Transition</w:t>
      </w:r>
      <w:r>
        <w:rPr>
          <w:rFonts w:ascii="Times New Roman" w:hAnsi="Times New Roman" w:eastAsia="仿宋"/>
          <w:sz w:val="18"/>
          <w:szCs w:val="18"/>
          <w:shd w:val="clear" w:color="auto" w:fill="FFFFFF"/>
        </w:rPr>
        <w:t>, 2017, 25(3), 439-469.</w:t>
      </w:r>
    </w:p>
    <w:p>
      <w:pPr>
        <w:pStyle w:val="10"/>
        <w:numPr>
          <w:ilvl w:val="1"/>
          <w:numId w:val="1"/>
        </w:numPr>
        <w:ind w:firstLineChars="0"/>
        <w:rPr>
          <w:rFonts w:ascii="Times New Roman" w:hAnsi="Times New Roman" w:eastAsia="仿宋"/>
          <w:bCs/>
          <w:sz w:val="18"/>
          <w:szCs w:val="18"/>
        </w:rPr>
      </w:pPr>
      <w:r>
        <w:rPr>
          <w:rFonts w:ascii="仿宋" w:hAnsi="仿宋" w:eastAsia="仿宋"/>
          <w:bCs/>
          <w:sz w:val="18"/>
          <w:szCs w:val="18"/>
        </w:rPr>
        <w:t>唐为、王媛，</w:t>
      </w:r>
      <w:r>
        <w:rPr>
          <w:rFonts w:hint="eastAsia" w:ascii="仿宋" w:hAnsi="仿宋" w:eastAsia="仿宋"/>
          <w:bCs/>
          <w:sz w:val="18"/>
          <w:szCs w:val="18"/>
        </w:rPr>
        <w:t>“</w:t>
      </w:r>
      <w:r>
        <w:rPr>
          <w:rFonts w:ascii="仿宋" w:hAnsi="仿宋" w:eastAsia="仿宋"/>
          <w:bCs/>
          <w:sz w:val="18"/>
          <w:szCs w:val="18"/>
        </w:rPr>
        <w:t>行政区划调整与人口城市化：来自撤县设区的经验证据</w:t>
      </w:r>
      <w:r>
        <w:rPr>
          <w:rFonts w:hint="eastAsia" w:ascii="仿宋" w:hAnsi="仿宋" w:eastAsia="仿宋"/>
          <w:bCs/>
          <w:sz w:val="18"/>
          <w:szCs w:val="18"/>
        </w:rPr>
        <w:t>”</w:t>
      </w:r>
      <w:r>
        <w:rPr>
          <w:rFonts w:ascii="仿宋" w:hAnsi="仿宋" w:eastAsia="仿宋"/>
          <w:bCs/>
          <w:sz w:val="18"/>
          <w:szCs w:val="18"/>
        </w:rPr>
        <w:t>，《经济研究》</w:t>
      </w:r>
      <w:r>
        <w:rPr>
          <w:rFonts w:hint="eastAsia" w:ascii="仿宋" w:hAnsi="仿宋" w:eastAsia="仿宋"/>
          <w:bCs/>
          <w:sz w:val="18"/>
          <w:szCs w:val="18"/>
        </w:rPr>
        <w:t>，</w:t>
      </w:r>
      <w:r>
        <w:rPr>
          <w:rFonts w:ascii="Times New Roman" w:hAnsi="Times New Roman" w:eastAsia="仿宋"/>
          <w:bCs/>
          <w:sz w:val="18"/>
          <w:szCs w:val="18"/>
        </w:rPr>
        <w:t>2015</w:t>
      </w:r>
      <w:r>
        <w:rPr>
          <w:rFonts w:hint="eastAsia" w:ascii="仿宋" w:hAnsi="仿宋" w:eastAsia="仿宋"/>
          <w:bCs/>
          <w:sz w:val="18"/>
          <w:szCs w:val="18"/>
        </w:rPr>
        <w:t>年</w:t>
      </w:r>
      <w:r>
        <w:rPr>
          <w:rFonts w:ascii="仿宋" w:hAnsi="仿宋" w:eastAsia="仿宋"/>
          <w:bCs/>
          <w:sz w:val="18"/>
          <w:szCs w:val="18"/>
        </w:rPr>
        <w:t>第</w:t>
      </w:r>
      <w:r>
        <w:rPr>
          <w:rFonts w:ascii="Times New Roman" w:hAnsi="Times New Roman" w:eastAsia="仿宋"/>
          <w:bCs/>
          <w:sz w:val="18"/>
          <w:szCs w:val="18"/>
        </w:rPr>
        <w:t>9</w:t>
      </w:r>
      <w:r>
        <w:rPr>
          <w:rFonts w:ascii="仿宋" w:hAnsi="仿宋" w:eastAsia="仿宋"/>
          <w:bCs/>
          <w:sz w:val="18"/>
          <w:szCs w:val="18"/>
        </w:rPr>
        <w:t>期</w:t>
      </w:r>
      <w:r>
        <w:rPr>
          <w:rFonts w:hint="eastAsia" w:ascii="仿宋" w:hAnsi="仿宋" w:eastAsia="仿宋"/>
          <w:bCs/>
          <w:sz w:val="18"/>
          <w:szCs w:val="18"/>
        </w:rPr>
        <w:t>，第</w:t>
      </w:r>
      <w:r>
        <w:rPr>
          <w:rFonts w:ascii="Times New Roman" w:hAnsi="Times New Roman" w:eastAsia="仿宋"/>
          <w:bCs/>
          <w:sz w:val="18"/>
          <w:szCs w:val="18"/>
        </w:rPr>
        <w:t>72-85</w:t>
      </w:r>
      <w:r>
        <w:rPr>
          <w:rFonts w:hint="eastAsia" w:ascii="仿宋" w:hAnsi="仿宋" w:eastAsia="仿宋"/>
          <w:bCs/>
          <w:sz w:val="18"/>
          <w:szCs w:val="18"/>
        </w:rPr>
        <w:t>页</w:t>
      </w:r>
      <w:r>
        <w:rPr>
          <w:rFonts w:ascii="仿宋" w:hAnsi="仿宋" w:eastAsia="仿宋"/>
          <w:bCs/>
          <w:sz w:val="18"/>
          <w:szCs w:val="18"/>
        </w:rPr>
        <w:t>。</w:t>
      </w:r>
    </w:p>
    <w:p>
      <w:pPr>
        <w:pStyle w:val="10"/>
        <w:numPr>
          <w:ilvl w:val="1"/>
          <w:numId w:val="1"/>
        </w:numPr>
        <w:ind w:firstLineChars="0"/>
        <w:rPr>
          <w:rFonts w:ascii="Times New Roman" w:hAnsi="Times New Roman" w:eastAsia="仿宋"/>
          <w:bCs/>
          <w:sz w:val="18"/>
          <w:szCs w:val="18"/>
        </w:rPr>
      </w:pPr>
      <w:r>
        <w:rPr>
          <w:rFonts w:hint="eastAsia" w:ascii="仿宋" w:hAnsi="仿宋" w:eastAsia="仿宋"/>
          <w:bCs/>
          <w:sz w:val="18"/>
          <w:szCs w:val="18"/>
        </w:rPr>
        <w:t>王善迈，“基础教育</w:t>
      </w:r>
      <w:r>
        <w:rPr>
          <w:rFonts w:hint="eastAsia" w:ascii="仿宋" w:hAnsi="仿宋" w:eastAsia="仿宋"/>
          <w:bCs/>
          <w:sz w:val="18"/>
          <w:szCs w:val="18"/>
          <w:lang w:eastAsia="zh-CN"/>
        </w:rPr>
        <w:t>‘</w:t>
      </w:r>
      <w:r>
        <w:rPr>
          <w:rFonts w:hint="eastAsia" w:ascii="仿宋" w:hAnsi="仿宋" w:eastAsia="仿宋"/>
          <w:bCs/>
          <w:sz w:val="18"/>
          <w:szCs w:val="18"/>
        </w:rPr>
        <w:t>重点校</w:t>
      </w:r>
      <w:r>
        <w:rPr>
          <w:rFonts w:hint="eastAsia" w:ascii="仿宋" w:hAnsi="仿宋" w:eastAsia="仿宋"/>
          <w:bCs/>
          <w:sz w:val="18"/>
          <w:szCs w:val="18"/>
          <w:lang w:eastAsia="zh-CN"/>
        </w:rPr>
        <w:t>’</w:t>
      </w:r>
      <w:r>
        <w:rPr>
          <w:rFonts w:hint="eastAsia" w:ascii="仿宋" w:hAnsi="仿宋" w:eastAsia="仿宋"/>
          <w:bCs/>
          <w:sz w:val="18"/>
          <w:szCs w:val="18"/>
        </w:rPr>
        <w:t>政策分析</w:t>
      </w:r>
      <w:r>
        <w:rPr>
          <w:rFonts w:hint="eastAsia" w:ascii="仿宋" w:hAnsi="仿宋" w:eastAsia="仿宋"/>
          <w:bCs/>
          <w:sz w:val="18"/>
          <w:szCs w:val="18"/>
          <w:lang w:eastAsia="zh-CN"/>
        </w:rPr>
        <w:t>”</w:t>
      </w:r>
      <w:r>
        <w:rPr>
          <w:rFonts w:hint="eastAsia" w:ascii="仿宋" w:hAnsi="仿宋" w:eastAsia="仿宋"/>
          <w:bCs/>
          <w:sz w:val="18"/>
          <w:szCs w:val="18"/>
        </w:rPr>
        <w:t>，《教育研究》，</w:t>
      </w:r>
      <w:r>
        <w:rPr>
          <w:rFonts w:hint="eastAsia" w:ascii="Times New Roman" w:hAnsi="Times New Roman" w:eastAsia="仿宋"/>
          <w:bCs/>
          <w:sz w:val="18"/>
          <w:szCs w:val="18"/>
        </w:rPr>
        <w:t>2</w:t>
      </w:r>
      <w:r>
        <w:rPr>
          <w:rFonts w:ascii="Times New Roman" w:hAnsi="Times New Roman" w:eastAsia="仿宋"/>
          <w:bCs/>
          <w:sz w:val="18"/>
          <w:szCs w:val="18"/>
        </w:rPr>
        <w:t>008</w:t>
      </w:r>
      <w:r>
        <w:rPr>
          <w:rFonts w:hint="eastAsia" w:ascii="仿宋" w:hAnsi="仿宋" w:eastAsia="仿宋"/>
          <w:bCs/>
          <w:sz w:val="18"/>
          <w:szCs w:val="18"/>
        </w:rPr>
        <w:t>年第</w:t>
      </w:r>
      <w:r>
        <w:rPr>
          <w:rFonts w:hint="eastAsia" w:ascii="Times New Roman" w:hAnsi="Times New Roman" w:eastAsia="仿宋"/>
          <w:bCs/>
          <w:sz w:val="18"/>
          <w:szCs w:val="18"/>
        </w:rPr>
        <w:t>3</w:t>
      </w:r>
      <w:r>
        <w:rPr>
          <w:rFonts w:hint="eastAsia" w:ascii="仿宋" w:hAnsi="仿宋" w:eastAsia="仿宋"/>
          <w:bCs/>
          <w:sz w:val="18"/>
          <w:szCs w:val="18"/>
        </w:rPr>
        <w:t>期，第</w:t>
      </w:r>
      <w:r>
        <w:rPr>
          <w:rFonts w:hint="eastAsia" w:ascii="Times New Roman" w:hAnsi="Times New Roman" w:eastAsia="仿宋"/>
          <w:bCs/>
          <w:sz w:val="18"/>
          <w:szCs w:val="18"/>
        </w:rPr>
        <w:t>6</w:t>
      </w:r>
      <w:r>
        <w:rPr>
          <w:rFonts w:ascii="Times New Roman" w:hAnsi="Times New Roman" w:eastAsia="仿宋"/>
          <w:bCs/>
          <w:sz w:val="18"/>
          <w:szCs w:val="18"/>
        </w:rPr>
        <w:t>4-66</w:t>
      </w:r>
      <w:r>
        <w:rPr>
          <w:rFonts w:hint="eastAsia" w:ascii="仿宋" w:hAnsi="仿宋" w:eastAsia="仿宋"/>
          <w:bCs/>
          <w:sz w:val="18"/>
          <w:szCs w:val="18"/>
        </w:rPr>
        <w:t>页。</w:t>
      </w:r>
    </w:p>
    <w:p>
      <w:pPr>
        <w:pStyle w:val="10"/>
        <w:numPr>
          <w:ilvl w:val="1"/>
          <w:numId w:val="1"/>
        </w:numPr>
        <w:ind w:firstLineChars="0"/>
        <w:rPr>
          <w:rFonts w:ascii="Times New Roman" w:hAnsi="Times New Roman" w:eastAsia="仿宋"/>
          <w:bCs/>
          <w:sz w:val="18"/>
          <w:szCs w:val="18"/>
        </w:rPr>
      </w:pPr>
      <w:r>
        <w:rPr>
          <w:rFonts w:hint="eastAsia" w:ascii="仿宋" w:hAnsi="仿宋" w:eastAsia="仿宋"/>
          <w:bCs/>
          <w:sz w:val="18"/>
          <w:szCs w:val="18"/>
        </w:rPr>
        <w:t>吴晓刚、李忠路，“中国高等教育中的自主招生与人才选拔</w:t>
      </w:r>
      <w:r>
        <w:rPr>
          <w:rFonts w:ascii="Times New Roman" w:hAnsi="Times New Roman" w:eastAsia="仿宋"/>
          <w:bCs/>
          <w:sz w:val="18"/>
          <w:szCs w:val="18"/>
        </w:rPr>
        <w:t>:</w:t>
      </w:r>
      <w:r>
        <w:rPr>
          <w:rFonts w:ascii="仿宋" w:hAnsi="仿宋" w:eastAsia="仿宋"/>
          <w:bCs/>
          <w:sz w:val="18"/>
          <w:szCs w:val="18"/>
        </w:rPr>
        <w:t>来自北大、清华和人大的发现</w:t>
      </w:r>
      <w:r>
        <w:rPr>
          <w:rFonts w:hint="eastAsia" w:ascii="仿宋" w:hAnsi="仿宋" w:eastAsia="仿宋"/>
          <w:bCs/>
          <w:sz w:val="18"/>
          <w:szCs w:val="18"/>
        </w:rPr>
        <w:t>”，《社会》，</w:t>
      </w:r>
      <w:r>
        <w:rPr>
          <w:rFonts w:hint="eastAsia" w:ascii="Times New Roman" w:hAnsi="Times New Roman" w:eastAsia="仿宋"/>
          <w:bCs/>
          <w:sz w:val="18"/>
          <w:szCs w:val="18"/>
        </w:rPr>
        <w:t>2</w:t>
      </w:r>
      <w:r>
        <w:rPr>
          <w:rFonts w:ascii="Times New Roman" w:hAnsi="Times New Roman" w:eastAsia="仿宋"/>
          <w:bCs/>
          <w:sz w:val="18"/>
          <w:szCs w:val="18"/>
        </w:rPr>
        <w:t>017</w:t>
      </w:r>
      <w:r>
        <w:rPr>
          <w:rFonts w:hint="eastAsia" w:ascii="仿宋" w:hAnsi="仿宋" w:eastAsia="仿宋"/>
          <w:bCs/>
          <w:sz w:val="18"/>
          <w:szCs w:val="18"/>
        </w:rPr>
        <w:t>年第</w:t>
      </w:r>
      <w:r>
        <w:rPr>
          <w:rFonts w:hint="eastAsia" w:ascii="Times New Roman" w:hAnsi="Times New Roman" w:eastAsia="仿宋"/>
          <w:bCs/>
          <w:sz w:val="18"/>
          <w:szCs w:val="18"/>
        </w:rPr>
        <w:t>5</w:t>
      </w:r>
      <w:r>
        <w:rPr>
          <w:rFonts w:hint="eastAsia" w:ascii="仿宋" w:hAnsi="仿宋" w:eastAsia="仿宋"/>
          <w:bCs/>
          <w:sz w:val="18"/>
          <w:szCs w:val="18"/>
        </w:rPr>
        <w:t>期，第</w:t>
      </w:r>
      <w:r>
        <w:rPr>
          <w:rFonts w:hint="eastAsia" w:ascii="Times New Roman" w:hAnsi="Times New Roman" w:eastAsia="仿宋"/>
          <w:bCs/>
          <w:sz w:val="18"/>
          <w:szCs w:val="18"/>
        </w:rPr>
        <w:t>1</w:t>
      </w:r>
      <w:r>
        <w:rPr>
          <w:rFonts w:ascii="Times New Roman" w:hAnsi="Times New Roman" w:eastAsia="仿宋"/>
          <w:bCs/>
          <w:sz w:val="18"/>
          <w:szCs w:val="18"/>
        </w:rPr>
        <w:t>39-164</w:t>
      </w:r>
      <w:r>
        <w:rPr>
          <w:rFonts w:hint="eastAsia" w:ascii="仿宋" w:hAnsi="仿宋" w:eastAsia="仿宋"/>
          <w:bCs/>
          <w:sz w:val="18"/>
          <w:szCs w:val="18"/>
        </w:rPr>
        <w:t>页。</w:t>
      </w:r>
    </w:p>
    <w:p>
      <w:pPr>
        <w:pStyle w:val="10"/>
        <w:numPr>
          <w:ilvl w:val="1"/>
          <w:numId w:val="1"/>
        </w:numPr>
        <w:ind w:firstLineChars="0"/>
        <w:rPr>
          <w:rFonts w:ascii="Times New Roman" w:hAnsi="Times New Roman" w:eastAsia="仿宋"/>
          <w:bCs/>
          <w:sz w:val="18"/>
          <w:szCs w:val="18"/>
        </w:rPr>
      </w:pPr>
      <w:r>
        <w:rPr>
          <w:rFonts w:ascii="仿宋" w:hAnsi="仿宋" w:eastAsia="仿宋"/>
          <w:bCs/>
          <w:sz w:val="18"/>
          <w:szCs w:val="18"/>
        </w:rPr>
        <w:t>吴愈晓，</w:t>
      </w:r>
      <w:r>
        <w:rPr>
          <w:rFonts w:hint="eastAsia" w:ascii="仿宋" w:hAnsi="仿宋" w:eastAsia="仿宋"/>
          <w:bCs/>
          <w:sz w:val="18"/>
          <w:szCs w:val="18"/>
        </w:rPr>
        <w:t>“</w:t>
      </w:r>
      <w:r>
        <w:rPr>
          <w:rFonts w:ascii="仿宋" w:hAnsi="仿宋" w:eastAsia="仿宋"/>
          <w:bCs/>
          <w:sz w:val="18"/>
          <w:szCs w:val="18"/>
        </w:rPr>
        <w:t>中国城乡居民的教育机会不平等及其演变</w:t>
      </w:r>
      <w:r>
        <w:rPr>
          <w:rFonts w:ascii="Times New Roman" w:hAnsi="Times New Roman" w:eastAsia="仿宋"/>
          <w:bCs/>
          <w:sz w:val="18"/>
          <w:szCs w:val="18"/>
        </w:rPr>
        <w:t>(1978—2008)</w:t>
      </w:r>
      <w:r>
        <w:rPr>
          <w:rFonts w:hint="eastAsia" w:ascii="Times New Roman" w:hAnsi="Times New Roman" w:eastAsia="仿宋"/>
          <w:bCs/>
          <w:sz w:val="18"/>
          <w:szCs w:val="18"/>
        </w:rPr>
        <w:t xml:space="preserve"> </w:t>
      </w:r>
      <w:r>
        <w:rPr>
          <w:rFonts w:hint="eastAsia" w:ascii="仿宋" w:hAnsi="仿宋" w:eastAsia="仿宋"/>
          <w:bCs/>
          <w:sz w:val="18"/>
          <w:szCs w:val="18"/>
        </w:rPr>
        <w:t>”</w:t>
      </w:r>
      <w:r>
        <w:rPr>
          <w:rFonts w:ascii="仿宋" w:hAnsi="仿宋" w:eastAsia="仿宋"/>
          <w:bCs/>
          <w:sz w:val="18"/>
          <w:szCs w:val="18"/>
        </w:rPr>
        <w:t>，《中国社会科学》</w:t>
      </w:r>
      <w:r>
        <w:rPr>
          <w:rFonts w:hint="eastAsia" w:ascii="仿宋" w:hAnsi="仿宋" w:eastAsia="仿宋"/>
          <w:bCs/>
          <w:sz w:val="18"/>
          <w:szCs w:val="18"/>
        </w:rPr>
        <w:t>，</w:t>
      </w:r>
      <w:r>
        <w:rPr>
          <w:rFonts w:ascii="Times New Roman" w:hAnsi="Times New Roman" w:eastAsia="仿宋"/>
          <w:bCs/>
          <w:sz w:val="18"/>
          <w:szCs w:val="18"/>
        </w:rPr>
        <w:t>2013</w:t>
      </w:r>
      <w:r>
        <w:rPr>
          <w:rFonts w:hint="eastAsia" w:ascii="仿宋" w:hAnsi="仿宋" w:eastAsia="仿宋"/>
          <w:bCs/>
          <w:sz w:val="18"/>
          <w:szCs w:val="18"/>
        </w:rPr>
        <w:t>年</w:t>
      </w:r>
      <w:r>
        <w:rPr>
          <w:rFonts w:ascii="仿宋" w:hAnsi="仿宋" w:eastAsia="仿宋"/>
          <w:bCs/>
          <w:sz w:val="18"/>
          <w:szCs w:val="18"/>
        </w:rPr>
        <w:t>第</w:t>
      </w:r>
      <w:r>
        <w:rPr>
          <w:rFonts w:ascii="Times New Roman" w:hAnsi="Times New Roman" w:eastAsia="仿宋"/>
          <w:bCs/>
          <w:sz w:val="18"/>
          <w:szCs w:val="18"/>
        </w:rPr>
        <w:t>3</w:t>
      </w:r>
      <w:r>
        <w:rPr>
          <w:rFonts w:ascii="仿宋" w:hAnsi="仿宋" w:eastAsia="仿宋"/>
          <w:bCs/>
          <w:sz w:val="18"/>
          <w:szCs w:val="18"/>
        </w:rPr>
        <w:t>期</w:t>
      </w:r>
      <w:r>
        <w:rPr>
          <w:rFonts w:hint="eastAsia" w:ascii="仿宋" w:hAnsi="仿宋" w:eastAsia="仿宋"/>
          <w:bCs/>
          <w:sz w:val="18"/>
          <w:szCs w:val="18"/>
        </w:rPr>
        <w:t>，第</w:t>
      </w:r>
      <w:r>
        <w:rPr>
          <w:rFonts w:ascii="Times New Roman" w:hAnsi="Times New Roman" w:eastAsia="仿宋"/>
          <w:bCs/>
          <w:sz w:val="18"/>
          <w:szCs w:val="18"/>
        </w:rPr>
        <w:t>4-21</w:t>
      </w:r>
      <w:r>
        <w:rPr>
          <w:rFonts w:hint="eastAsia" w:ascii="仿宋" w:hAnsi="仿宋" w:eastAsia="仿宋"/>
          <w:bCs/>
          <w:sz w:val="18"/>
          <w:szCs w:val="18"/>
        </w:rPr>
        <w:t>页</w:t>
      </w:r>
      <w:r>
        <w:rPr>
          <w:rFonts w:ascii="仿宋" w:hAnsi="仿宋" w:eastAsia="仿宋"/>
          <w:bCs/>
          <w:sz w:val="18"/>
          <w:szCs w:val="18"/>
        </w:rPr>
        <w:t>。</w:t>
      </w:r>
    </w:p>
    <w:p>
      <w:pPr>
        <w:pStyle w:val="10"/>
        <w:numPr>
          <w:ilvl w:val="1"/>
          <w:numId w:val="1"/>
        </w:numPr>
        <w:ind w:firstLineChars="0"/>
        <w:rPr>
          <w:rFonts w:ascii="Times New Roman" w:hAnsi="Times New Roman" w:eastAsia="仿宋"/>
          <w:bCs/>
          <w:sz w:val="18"/>
          <w:szCs w:val="18"/>
        </w:rPr>
      </w:pPr>
      <w:r>
        <w:rPr>
          <w:rFonts w:ascii="仿宋" w:hAnsi="仿宋" w:eastAsia="仿宋"/>
          <w:bCs/>
          <w:sz w:val="18"/>
          <w:szCs w:val="18"/>
        </w:rPr>
        <w:t>杨奇明、林坚，</w:t>
      </w:r>
      <w:r>
        <w:rPr>
          <w:rFonts w:hint="eastAsia" w:ascii="仿宋" w:hAnsi="仿宋" w:eastAsia="仿宋"/>
          <w:bCs/>
          <w:sz w:val="18"/>
          <w:szCs w:val="18"/>
        </w:rPr>
        <w:t>“</w:t>
      </w:r>
      <w:r>
        <w:rPr>
          <w:rFonts w:ascii="仿宋" w:hAnsi="仿宋" w:eastAsia="仿宋"/>
          <w:bCs/>
          <w:sz w:val="18"/>
          <w:szCs w:val="18"/>
        </w:rPr>
        <w:t>教育扩张是否足以实现教育公平</w:t>
      </w:r>
      <w:r>
        <w:rPr>
          <w:rFonts w:ascii="Times New Roman" w:hAnsi="Times New Roman" w:eastAsia="仿宋"/>
          <w:bCs/>
          <w:sz w:val="18"/>
          <w:szCs w:val="18"/>
        </w:rPr>
        <w:t>?——</w:t>
      </w:r>
      <w:r>
        <w:rPr>
          <w:rFonts w:ascii="仿宋" w:hAnsi="仿宋" w:eastAsia="仿宋"/>
          <w:bCs/>
          <w:sz w:val="18"/>
          <w:szCs w:val="18"/>
        </w:rPr>
        <w:t>兼论</w:t>
      </w:r>
      <w:r>
        <w:rPr>
          <w:rFonts w:ascii="Times New Roman" w:hAnsi="Times New Roman" w:eastAsia="仿宋"/>
          <w:bCs/>
          <w:sz w:val="18"/>
          <w:szCs w:val="18"/>
        </w:rPr>
        <w:t>20</w:t>
      </w:r>
      <w:r>
        <w:rPr>
          <w:rFonts w:ascii="仿宋" w:hAnsi="仿宋" w:eastAsia="仿宋"/>
          <w:bCs/>
          <w:sz w:val="18"/>
          <w:szCs w:val="18"/>
        </w:rPr>
        <w:t>世纪末高等教育改革对教育公平的影响</w:t>
      </w:r>
      <w:r>
        <w:rPr>
          <w:rFonts w:hint="eastAsia" w:ascii="仿宋" w:hAnsi="仿宋" w:eastAsia="仿宋"/>
          <w:bCs/>
          <w:sz w:val="18"/>
          <w:szCs w:val="18"/>
        </w:rPr>
        <w:t>”</w:t>
      </w:r>
      <w:r>
        <w:rPr>
          <w:rFonts w:ascii="仿宋" w:hAnsi="仿宋" w:eastAsia="仿宋"/>
          <w:bCs/>
          <w:sz w:val="18"/>
          <w:szCs w:val="18"/>
        </w:rPr>
        <w:t>，《管理世界》</w:t>
      </w:r>
      <w:r>
        <w:rPr>
          <w:rFonts w:hint="eastAsia" w:ascii="仿宋" w:hAnsi="仿宋" w:eastAsia="仿宋"/>
          <w:bCs/>
          <w:sz w:val="18"/>
          <w:szCs w:val="18"/>
        </w:rPr>
        <w:t>，</w:t>
      </w:r>
      <w:r>
        <w:rPr>
          <w:rFonts w:ascii="Times New Roman" w:hAnsi="Times New Roman" w:eastAsia="仿宋"/>
          <w:bCs/>
          <w:sz w:val="18"/>
          <w:szCs w:val="18"/>
        </w:rPr>
        <w:t>2014</w:t>
      </w:r>
      <w:r>
        <w:rPr>
          <w:rFonts w:hint="eastAsia" w:ascii="仿宋" w:hAnsi="仿宋" w:eastAsia="仿宋"/>
          <w:bCs/>
          <w:sz w:val="18"/>
          <w:szCs w:val="18"/>
        </w:rPr>
        <w:t>年</w:t>
      </w:r>
      <w:r>
        <w:rPr>
          <w:rFonts w:ascii="仿宋" w:hAnsi="仿宋" w:eastAsia="仿宋"/>
          <w:bCs/>
          <w:sz w:val="18"/>
          <w:szCs w:val="18"/>
        </w:rPr>
        <w:t>第</w:t>
      </w:r>
      <w:r>
        <w:rPr>
          <w:rFonts w:ascii="Times New Roman" w:hAnsi="Times New Roman" w:eastAsia="仿宋"/>
          <w:bCs/>
          <w:sz w:val="18"/>
          <w:szCs w:val="18"/>
        </w:rPr>
        <w:t>8</w:t>
      </w:r>
      <w:r>
        <w:rPr>
          <w:rFonts w:ascii="仿宋" w:hAnsi="仿宋" w:eastAsia="仿宋"/>
          <w:bCs/>
          <w:sz w:val="18"/>
          <w:szCs w:val="18"/>
        </w:rPr>
        <w:t>期</w:t>
      </w:r>
      <w:r>
        <w:rPr>
          <w:rFonts w:hint="eastAsia" w:ascii="仿宋" w:hAnsi="仿宋" w:eastAsia="仿宋"/>
          <w:bCs/>
          <w:sz w:val="18"/>
          <w:szCs w:val="18"/>
        </w:rPr>
        <w:t>，第</w:t>
      </w:r>
      <w:r>
        <w:rPr>
          <w:rFonts w:ascii="Times New Roman" w:hAnsi="Times New Roman" w:eastAsia="仿宋"/>
          <w:bCs/>
          <w:sz w:val="18"/>
          <w:szCs w:val="18"/>
        </w:rPr>
        <w:t>55-67</w:t>
      </w:r>
      <w:r>
        <w:rPr>
          <w:rFonts w:hint="eastAsia" w:ascii="仿宋" w:hAnsi="仿宋" w:eastAsia="仿宋"/>
          <w:bCs/>
          <w:sz w:val="18"/>
          <w:szCs w:val="18"/>
        </w:rPr>
        <w:t>页</w:t>
      </w:r>
      <w:r>
        <w:rPr>
          <w:rFonts w:ascii="仿宋" w:hAnsi="仿宋" w:eastAsia="仿宋"/>
          <w:bCs/>
          <w:sz w:val="18"/>
          <w:szCs w:val="18"/>
        </w:rPr>
        <w:t>。</w:t>
      </w:r>
    </w:p>
    <w:p>
      <w:pPr>
        <w:pStyle w:val="10"/>
        <w:numPr>
          <w:ilvl w:val="1"/>
          <w:numId w:val="1"/>
        </w:numPr>
        <w:ind w:firstLineChars="0"/>
        <w:rPr>
          <w:rFonts w:ascii="Times New Roman" w:hAnsi="Times New Roman" w:eastAsia="仿宋"/>
          <w:bCs/>
          <w:sz w:val="18"/>
          <w:szCs w:val="18"/>
        </w:rPr>
      </w:pPr>
      <w:r>
        <w:rPr>
          <w:rFonts w:ascii="仿宋" w:hAnsi="仿宋" w:eastAsia="仿宋"/>
          <w:bCs/>
          <w:sz w:val="18"/>
          <w:szCs w:val="18"/>
        </w:rPr>
        <w:t>张莉、皮嘉勇、宋光祥，</w:t>
      </w:r>
      <w:r>
        <w:rPr>
          <w:rFonts w:hint="eastAsia" w:ascii="仿宋" w:hAnsi="仿宋" w:eastAsia="仿宋"/>
          <w:bCs/>
          <w:sz w:val="18"/>
          <w:szCs w:val="18"/>
        </w:rPr>
        <w:t>“</w:t>
      </w:r>
      <w:r>
        <w:rPr>
          <w:rFonts w:ascii="仿宋" w:hAnsi="仿宋" w:eastAsia="仿宋"/>
          <w:bCs/>
          <w:sz w:val="18"/>
          <w:szCs w:val="18"/>
        </w:rPr>
        <w:t>地方政府竞争与生产性支出偏向</w:t>
      </w:r>
      <w:r>
        <w:rPr>
          <w:rFonts w:ascii="Times New Roman" w:hAnsi="Times New Roman" w:eastAsia="仿宋"/>
          <w:bCs/>
          <w:sz w:val="18"/>
          <w:szCs w:val="18"/>
        </w:rPr>
        <w:t>——</w:t>
      </w:r>
      <w:r>
        <w:rPr>
          <w:rFonts w:ascii="仿宋" w:hAnsi="仿宋" w:eastAsia="仿宋"/>
          <w:bCs/>
          <w:sz w:val="18"/>
          <w:szCs w:val="18"/>
        </w:rPr>
        <w:t>撤县设区的政治经济学分析</w:t>
      </w:r>
      <w:r>
        <w:rPr>
          <w:rFonts w:hint="eastAsia" w:ascii="仿宋" w:hAnsi="仿宋" w:eastAsia="仿宋"/>
          <w:bCs/>
          <w:sz w:val="18"/>
          <w:szCs w:val="18"/>
        </w:rPr>
        <w:t>”</w:t>
      </w:r>
      <w:r>
        <w:rPr>
          <w:rFonts w:ascii="仿宋" w:hAnsi="仿宋" w:eastAsia="仿宋"/>
          <w:bCs/>
          <w:sz w:val="18"/>
          <w:szCs w:val="18"/>
        </w:rPr>
        <w:t>，《财贸经济》</w:t>
      </w:r>
      <w:r>
        <w:rPr>
          <w:rFonts w:hint="eastAsia" w:ascii="仿宋" w:hAnsi="仿宋" w:eastAsia="仿宋"/>
          <w:bCs/>
          <w:sz w:val="18"/>
          <w:szCs w:val="18"/>
        </w:rPr>
        <w:t>，</w:t>
      </w:r>
      <w:r>
        <w:rPr>
          <w:rFonts w:ascii="Times New Roman" w:hAnsi="Times New Roman" w:eastAsia="仿宋"/>
          <w:bCs/>
          <w:sz w:val="18"/>
          <w:szCs w:val="18"/>
        </w:rPr>
        <w:t>2018</w:t>
      </w:r>
      <w:r>
        <w:rPr>
          <w:rFonts w:hint="eastAsia" w:ascii="仿宋" w:hAnsi="仿宋" w:eastAsia="仿宋"/>
          <w:bCs/>
          <w:sz w:val="18"/>
          <w:szCs w:val="18"/>
        </w:rPr>
        <w:t>年</w:t>
      </w:r>
      <w:r>
        <w:rPr>
          <w:rFonts w:ascii="仿宋" w:hAnsi="仿宋" w:eastAsia="仿宋"/>
          <w:bCs/>
          <w:sz w:val="18"/>
          <w:szCs w:val="18"/>
        </w:rPr>
        <w:t>第</w:t>
      </w:r>
      <w:r>
        <w:rPr>
          <w:rFonts w:ascii="Times New Roman" w:hAnsi="Times New Roman" w:eastAsia="仿宋"/>
          <w:bCs/>
          <w:sz w:val="18"/>
          <w:szCs w:val="18"/>
        </w:rPr>
        <w:t>3</w:t>
      </w:r>
      <w:r>
        <w:rPr>
          <w:rFonts w:ascii="仿宋" w:hAnsi="仿宋" w:eastAsia="仿宋"/>
          <w:bCs/>
          <w:sz w:val="18"/>
          <w:szCs w:val="18"/>
        </w:rPr>
        <w:t>期</w:t>
      </w:r>
      <w:r>
        <w:rPr>
          <w:rFonts w:hint="eastAsia" w:ascii="仿宋" w:hAnsi="仿宋" w:eastAsia="仿宋"/>
          <w:bCs/>
          <w:sz w:val="18"/>
          <w:szCs w:val="18"/>
        </w:rPr>
        <w:t>，第</w:t>
      </w:r>
      <w:r>
        <w:rPr>
          <w:rFonts w:hint="eastAsia" w:ascii="Times New Roman" w:hAnsi="Times New Roman" w:eastAsia="仿宋"/>
          <w:bCs/>
          <w:sz w:val="18"/>
          <w:szCs w:val="18"/>
        </w:rPr>
        <w:t>6</w:t>
      </w:r>
      <w:r>
        <w:rPr>
          <w:rFonts w:ascii="Times New Roman" w:hAnsi="Times New Roman" w:eastAsia="仿宋"/>
          <w:bCs/>
          <w:sz w:val="18"/>
          <w:szCs w:val="18"/>
        </w:rPr>
        <w:t>5-78</w:t>
      </w:r>
      <w:r>
        <w:rPr>
          <w:rFonts w:hint="eastAsia" w:ascii="仿宋" w:hAnsi="仿宋" w:eastAsia="仿宋"/>
          <w:bCs/>
          <w:sz w:val="18"/>
          <w:szCs w:val="18"/>
        </w:rPr>
        <w:t>页</w:t>
      </w:r>
      <w:r>
        <w:rPr>
          <w:rFonts w:ascii="仿宋" w:hAnsi="仿宋" w:eastAsia="仿宋"/>
          <w:bCs/>
          <w:sz w:val="18"/>
          <w:szCs w:val="18"/>
        </w:rPr>
        <w:t>。</w:t>
      </w:r>
    </w:p>
    <w:p>
      <w:pPr>
        <w:pStyle w:val="10"/>
        <w:numPr>
          <w:ilvl w:val="1"/>
          <w:numId w:val="1"/>
        </w:numPr>
        <w:adjustRightInd w:val="0"/>
        <w:snapToGrid w:val="0"/>
        <w:ind w:firstLineChars="0"/>
        <w:rPr>
          <w:rFonts w:ascii="Times New Roman" w:hAnsi="Times New Roman" w:eastAsia="仿宋"/>
          <w:bCs/>
          <w:sz w:val="18"/>
          <w:szCs w:val="18"/>
        </w:rPr>
      </w:pPr>
      <w:r>
        <w:rPr>
          <w:rFonts w:ascii="仿宋" w:hAnsi="仿宋" w:eastAsia="仿宋"/>
          <w:bCs/>
          <w:sz w:val="18"/>
          <w:szCs w:val="18"/>
        </w:rPr>
        <w:t>周黎安，</w:t>
      </w:r>
      <w:r>
        <w:rPr>
          <w:rFonts w:hint="eastAsia" w:ascii="仿宋" w:hAnsi="仿宋" w:eastAsia="仿宋"/>
          <w:bCs/>
          <w:sz w:val="18"/>
          <w:szCs w:val="18"/>
        </w:rPr>
        <w:t>“</w:t>
      </w:r>
      <w:r>
        <w:rPr>
          <w:rFonts w:ascii="仿宋" w:hAnsi="仿宋" w:eastAsia="仿宋"/>
          <w:bCs/>
          <w:sz w:val="18"/>
          <w:szCs w:val="18"/>
        </w:rPr>
        <w:t>晋升博弈中政府官员的激励与合作</w:t>
      </w:r>
      <w:r>
        <w:rPr>
          <w:rFonts w:ascii="Times New Roman" w:hAnsi="Times New Roman" w:eastAsia="仿宋"/>
          <w:bCs/>
          <w:sz w:val="18"/>
          <w:szCs w:val="18"/>
        </w:rPr>
        <w:t>——</w:t>
      </w:r>
      <w:r>
        <w:rPr>
          <w:rFonts w:ascii="仿宋" w:hAnsi="仿宋" w:eastAsia="仿宋"/>
          <w:bCs/>
          <w:sz w:val="18"/>
          <w:szCs w:val="18"/>
        </w:rPr>
        <w:t>兼论我国地方保护主义和重复建设问题长期存在的原因</w:t>
      </w:r>
      <w:r>
        <w:rPr>
          <w:rFonts w:hint="eastAsia" w:ascii="仿宋" w:hAnsi="仿宋" w:eastAsia="仿宋"/>
          <w:bCs/>
          <w:sz w:val="18"/>
          <w:szCs w:val="18"/>
        </w:rPr>
        <w:t>”</w:t>
      </w:r>
      <w:r>
        <w:rPr>
          <w:rFonts w:ascii="仿宋" w:hAnsi="仿宋" w:eastAsia="仿宋"/>
          <w:bCs/>
          <w:sz w:val="18"/>
          <w:szCs w:val="18"/>
        </w:rPr>
        <w:t>，《经济研究》</w:t>
      </w:r>
      <w:r>
        <w:rPr>
          <w:rFonts w:hint="eastAsia" w:ascii="仿宋" w:hAnsi="仿宋" w:eastAsia="仿宋"/>
          <w:bCs/>
          <w:sz w:val="18"/>
          <w:szCs w:val="18"/>
        </w:rPr>
        <w:t>，</w:t>
      </w:r>
      <w:r>
        <w:rPr>
          <w:rFonts w:ascii="Times New Roman" w:hAnsi="Times New Roman" w:eastAsia="仿宋"/>
          <w:bCs/>
          <w:sz w:val="18"/>
          <w:szCs w:val="18"/>
        </w:rPr>
        <w:t>2004</w:t>
      </w:r>
      <w:r>
        <w:rPr>
          <w:rFonts w:hint="eastAsia" w:ascii="仿宋" w:hAnsi="仿宋" w:eastAsia="仿宋"/>
          <w:bCs/>
          <w:sz w:val="18"/>
          <w:szCs w:val="18"/>
        </w:rPr>
        <w:t>年</w:t>
      </w:r>
      <w:r>
        <w:rPr>
          <w:rFonts w:ascii="仿宋" w:hAnsi="仿宋" w:eastAsia="仿宋"/>
          <w:bCs/>
          <w:sz w:val="18"/>
          <w:szCs w:val="18"/>
        </w:rPr>
        <w:t>第</w:t>
      </w:r>
      <w:r>
        <w:rPr>
          <w:rFonts w:ascii="Times New Roman" w:hAnsi="Times New Roman" w:eastAsia="仿宋"/>
          <w:bCs/>
          <w:sz w:val="18"/>
          <w:szCs w:val="18"/>
        </w:rPr>
        <w:t>6</w:t>
      </w:r>
      <w:r>
        <w:rPr>
          <w:rFonts w:ascii="仿宋" w:hAnsi="仿宋" w:eastAsia="仿宋"/>
          <w:bCs/>
          <w:sz w:val="18"/>
          <w:szCs w:val="18"/>
        </w:rPr>
        <w:t>期</w:t>
      </w:r>
      <w:r>
        <w:rPr>
          <w:rFonts w:hint="eastAsia" w:ascii="仿宋" w:hAnsi="仿宋" w:eastAsia="仿宋"/>
          <w:bCs/>
          <w:sz w:val="18"/>
          <w:szCs w:val="18"/>
        </w:rPr>
        <w:t>，第</w:t>
      </w:r>
      <w:r>
        <w:rPr>
          <w:rFonts w:hint="eastAsia" w:ascii="Times New Roman" w:hAnsi="Times New Roman" w:eastAsia="仿宋"/>
          <w:bCs/>
          <w:sz w:val="18"/>
          <w:szCs w:val="18"/>
        </w:rPr>
        <w:t>3</w:t>
      </w:r>
      <w:r>
        <w:rPr>
          <w:rFonts w:ascii="Times New Roman" w:hAnsi="Times New Roman" w:eastAsia="仿宋"/>
          <w:bCs/>
          <w:sz w:val="18"/>
          <w:szCs w:val="18"/>
        </w:rPr>
        <w:t>3-40</w:t>
      </w:r>
      <w:r>
        <w:rPr>
          <w:rFonts w:hint="eastAsia" w:ascii="仿宋" w:hAnsi="仿宋" w:eastAsia="仿宋"/>
          <w:bCs/>
          <w:sz w:val="18"/>
          <w:szCs w:val="18"/>
        </w:rPr>
        <w:t>页</w:t>
      </w:r>
      <w:r>
        <w:rPr>
          <w:rFonts w:ascii="仿宋" w:hAnsi="仿宋" w:eastAsia="仿宋"/>
          <w:bCs/>
          <w:sz w:val="18"/>
          <w:szCs w:val="18"/>
        </w:rPr>
        <w:t>。</w:t>
      </w:r>
    </w:p>
    <w:p>
      <w:pPr>
        <w:rPr>
          <w:rFonts w:hint="eastAsia" w:ascii="Times New Roman" w:hAnsi="Times New Roman" w:eastAsia="仿宋" w:cs="Times New Roman"/>
          <w:sz w:val="36"/>
          <w:szCs w:val="36"/>
        </w:rPr>
      </w:pPr>
    </w:p>
    <w:p>
      <w:pPr>
        <w:rPr>
          <w:rFonts w:hint="eastAsia" w:ascii="Times New Roman" w:hAnsi="Times New Roman" w:eastAsia="仿宋" w:cs="Times New Roman"/>
          <w:sz w:val="36"/>
          <w:szCs w:val="36"/>
        </w:rPr>
      </w:pPr>
    </w:p>
    <w:p>
      <w:pPr>
        <w:rPr>
          <w:rFonts w:hint="eastAsia" w:ascii="Times New Roman" w:hAnsi="Times New Roman" w:eastAsia="仿宋" w:cs="Times New Roman"/>
          <w:sz w:val="36"/>
          <w:szCs w:val="36"/>
        </w:rPr>
      </w:pPr>
    </w:p>
    <w:p>
      <w:pPr>
        <w:rPr>
          <w:rFonts w:ascii="宋体" w:hAnsi="宋体" w:cs="Arial"/>
          <w:b/>
          <w:bCs/>
          <w:color w:val="auto"/>
          <w:kern w:val="0"/>
          <w:szCs w:val="21"/>
        </w:rPr>
      </w:pPr>
      <w:r>
        <w:rPr>
          <w:rFonts w:hint="eastAsia" w:ascii="Calibri" w:hAnsi="Calibri" w:cs="Times New Roman"/>
          <w:b/>
          <w:color w:val="auto"/>
          <w:szCs w:val="22"/>
        </w:rPr>
        <w:t>注：该附录是期刊所发表论文的组成部分，同样视为作者公开发表的内容。如研究中使用该附录中的内容，</w:t>
      </w:r>
      <w:r>
        <w:rPr>
          <w:rFonts w:hint="eastAsia" w:ascii="宋体" w:hAnsi="宋体" w:cs="Arial"/>
          <w:b/>
          <w:bCs/>
          <w:color w:val="auto"/>
          <w:kern w:val="0"/>
          <w:szCs w:val="21"/>
        </w:rPr>
        <w:t>请务必在研究成果上注明</w:t>
      </w:r>
      <w:r>
        <w:rPr>
          <w:rFonts w:hint="eastAsia" w:ascii="宋体" w:hAnsi="宋体" w:cs="Arial"/>
          <w:b/>
          <w:bCs/>
          <w:color w:val="auto"/>
          <w:kern w:val="0"/>
          <w:szCs w:val="21"/>
          <w:lang w:val="en-US" w:eastAsia="zh-CN"/>
        </w:rPr>
        <w:t>附录</w:t>
      </w:r>
      <w:r>
        <w:rPr>
          <w:rFonts w:hint="eastAsia" w:ascii="宋体" w:hAnsi="宋体" w:cs="Arial"/>
          <w:b/>
          <w:bCs/>
          <w:color w:val="auto"/>
          <w:kern w:val="0"/>
          <w:szCs w:val="21"/>
        </w:rPr>
        <w:t>下载出处</w:t>
      </w:r>
      <w:r>
        <w:rPr>
          <w:rFonts w:hint="eastAsia" w:ascii="宋体" w:hAnsi="宋体" w:cs="Arial"/>
          <w:color w:val="auto"/>
          <w:kern w:val="0"/>
          <w:szCs w:val="21"/>
        </w:rPr>
        <w:t>。</w:t>
      </w:r>
    </w:p>
    <w:p>
      <w:pPr>
        <w:spacing w:line="480" w:lineRule="auto"/>
        <w:jc w:val="both"/>
        <w:rPr>
          <w:rFonts w:hint="eastAsia" w:ascii="仿宋" w:hAnsi="仿宋" w:eastAsia="仿宋" w:cs="仿宋"/>
          <w:b/>
          <w:bCs/>
          <w:sz w:val="24"/>
          <w:szCs w:val="32"/>
        </w:rPr>
      </w:pPr>
    </w:p>
    <w:p>
      <w:pPr>
        <w:rPr>
          <w:rFonts w:hint="eastAsia" w:ascii="Times New Roman" w:hAnsi="Times New Roman" w:eastAsia="仿宋" w:cs="Times New Roman"/>
          <w:sz w:val="36"/>
          <w:szCs w:val="36"/>
        </w:rPr>
      </w:pP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J8jdAgAAJ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mZ4hJEkDRT8&#10;/tvX++8/7398QSMvz1bbCUTdaohzu0u1g6bp9y1seta7yjT+H/gg8IO4dwdx2c4h6g+lgzSNwEXB&#10;1y8APzwe18a6V0w1yBsZNlC9VlSyWVjXhfYh/japCi5EW0Eh0TbDw9OzqD1w8AC4kD4WsgCMvdVV&#10;5tM4Gl+lV2kSJIPhVZBEeR7MinkSDIt4dJaf5vN5Hn/2eHEyqXlZMunv67skTp5XhX2ndPU99IlV&#10;gpcezqdkzWo5FwZtCHRp0f68wpD8g7DwcRqtG1g9oRQPkuhyMA6KYToKkiI5C8ajKA2ieHw5Hkb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J0wnyN0CAAAkBgAADgAAAAAAAAABACAAAAAfAQAAZHJzL2Uyb0RvYy54bWxQSwUG&#10;AAAAAAYABgBZAQAAbgY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rPr>
        <w:rFonts w:hint="eastAsia" w:ascii="仿宋" w:hAnsi="仿宋" w:eastAsia="仿宋" w:cs="仿宋"/>
        <w:lang w:val="en-US" w:eastAsia="zh-CN"/>
      </w:rPr>
    </w:pPr>
    <w:r>
      <w:rPr>
        <w:rFonts w:hint="eastAsia" w:ascii="仿宋" w:hAnsi="仿宋" w:eastAsia="仿宋" w:cs="仿宋"/>
        <w:lang w:eastAsia="zh-CN"/>
      </w:rPr>
      <w:t>《</w:t>
    </w:r>
    <w:r>
      <w:rPr>
        <w:rFonts w:hint="eastAsia" w:ascii="仿宋" w:hAnsi="仿宋" w:eastAsia="仿宋" w:cs="仿宋"/>
        <w:lang w:val="en-US" w:eastAsia="zh-CN"/>
      </w:rPr>
      <w:t>经济学</w:t>
    </w:r>
    <w:r>
      <w:rPr>
        <w:rFonts w:hint="eastAsia" w:ascii="仿宋" w:hAnsi="仿宋" w:eastAsia="仿宋" w:cs="仿宋"/>
        <w:lang w:eastAsia="zh-CN"/>
      </w:rPr>
      <w:t>》（</w:t>
    </w:r>
    <w:r>
      <w:rPr>
        <w:rFonts w:hint="eastAsia" w:ascii="仿宋" w:hAnsi="仿宋" w:eastAsia="仿宋" w:cs="仿宋"/>
        <w:lang w:val="en-US" w:eastAsia="zh-CN"/>
      </w:rPr>
      <w:t>季刊</w:t>
    </w:r>
    <w:r>
      <w:rPr>
        <w:rFonts w:hint="eastAsia" w:ascii="仿宋" w:hAnsi="仿宋" w:eastAsia="仿宋" w:cs="仿宋"/>
        <w:lang w:eastAsia="zh-CN"/>
      </w:rPr>
      <w:t>）</w:t>
    </w:r>
    <w:r>
      <w:rPr>
        <w:rFonts w:hint="eastAsia" w:ascii="仿宋" w:hAnsi="仿宋" w:eastAsia="仿宋" w:cs="仿宋"/>
        <w:lang w:val="en-US" w:eastAsia="zh-CN"/>
      </w:rPr>
      <w:t xml:space="preserve">                                                            2023年第6期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B57F3B"/>
    <w:multiLevelType w:val="multilevel"/>
    <w:tmpl w:val="18B57F3B"/>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562" w:hanging="420"/>
      </w:pPr>
      <w:rPr>
        <w:rFonts w:hint="default" w:ascii="Times New Roman" w:hAnsi="Times New Roman" w:eastAsia="宋体" w:cs="Times New Roman"/>
        <w:i w:val="0"/>
        <w:iCs w:val="0"/>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k5YTY5MzAxODJhZDAxMGMwZGQwZTA0ZDg0NjA2ZDkifQ=="/>
  </w:docVars>
  <w:rsids>
    <w:rsidRoot w:val="0066620D"/>
    <w:rsid w:val="00124DE6"/>
    <w:rsid w:val="00232748"/>
    <w:rsid w:val="002421CE"/>
    <w:rsid w:val="003B2FFE"/>
    <w:rsid w:val="004A134C"/>
    <w:rsid w:val="0066620D"/>
    <w:rsid w:val="0068358C"/>
    <w:rsid w:val="006E0B4A"/>
    <w:rsid w:val="00B766B0"/>
    <w:rsid w:val="00D86D5E"/>
    <w:rsid w:val="015D585D"/>
    <w:rsid w:val="052439C6"/>
    <w:rsid w:val="09750994"/>
    <w:rsid w:val="0B733425"/>
    <w:rsid w:val="0DD934B3"/>
    <w:rsid w:val="144D3336"/>
    <w:rsid w:val="17C819DD"/>
    <w:rsid w:val="1DC72C45"/>
    <w:rsid w:val="22B155AE"/>
    <w:rsid w:val="34C75F13"/>
    <w:rsid w:val="35CB2BBD"/>
    <w:rsid w:val="35DE49AC"/>
    <w:rsid w:val="35F80DD4"/>
    <w:rsid w:val="39E23AB6"/>
    <w:rsid w:val="45A42650"/>
    <w:rsid w:val="4A386B23"/>
    <w:rsid w:val="509727E6"/>
    <w:rsid w:val="51C17219"/>
    <w:rsid w:val="55951045"/>
    <w:rsid w:val="5BD243D6"/>
    <w:rsid w:val="604D1D2E"/>
    <w:rsid w:val="73E87E58"/>
    <w:rsid w:val="7705471A"/>
    <w:rsid w:val="7D803B1F"/>
    <w:rsid w:val="7F5B5C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character" w:default="1" w:styleId="9">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footer"/>
    <w:basedOn w:val="1"/>
    <w:semiHidden/>
    <w:unhideWhenUsed/>
    <w:uiPriority w:val="99"/>
    <w:pPr>
      <w:tabs>
        <w:tab w:val="center" w:pos="4153"/>
        <w:tab w:val="right" w:pos="8306"/>
      </w:tabs>
      <w:snapToGrid w:val="0"/>
      <w:jc w:val="left"/>
    </w:pPr>
    <w:rPr>
      <w:sz w:val="18"/>
    </w:rPr>
  </w:style>
  <w:style w:type="paragraph" w:styleId="4">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semiHidden/>
    <w:unhideWhenUsed/>
    <w:qFormat/>
    <w:uiPriority w:val="39"/>
  </w:style>
  <w:style w:type="paragraph" w:styleId="6">
    <w:name w:val="footnote text"/>
    <w:basedOn w:val="1"/>
    <w:link w:val="11"/>
    <w:semiHidden/>
    <w:unhideWhenUsed/>
    <w:qFormat/>
    <w:uiPriority w:val="99"/>
    <w:pPr>
      <w:snapToGrid w:val="0"/>
      <w:jc w:val="left"/>
    </w:pPr>
    <w:rPr>
      <w:rFonts w:ascii="等线" w:hAnsi="等线" w:eastAsia="等线" w:cs="Times New Roman"/>
      <w:sz w:val="18"/>
      <w:szCs w:val="18"/>
    </w:rPr>
  </w:style>
  <w:style w:type="table" w:styleId="8">
    <w:name w:val="Table Grid"/>
    <w:basedOn w:val="7"/>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List Paragraph"/>
    <w:basedOn w:val="1"/>
    <w:link w:val="13"/>
    <w:qFormat/>
    <w:uiPriority w:val="0"/>
    <w:pPr>
      <w:ind w:firstLine="420" w:firstLineChars="200"/>
    </w:pPr>
    <w:rPr>
      <w:rFonts w:ascii="等线" w:hAnsi="等线" w:eastAsia="等线" w:cs="Times New Roman"/>
      <w:szCs w:val="21"/>
    </w:rPr>
  </w:style>
  <w:style w:type="character" w:customStyle="1" w:styleId="11">
    <w:name w:val="脚注文本 字符"/>
    <w:basedOn w:val="9"/>
    <w:link w:val="6"/>
    <w:semiHidden/>
    <w:qFormat/>
    <w:uiPriority w:val="99"/>
    <w:rPr>
      <w:rFonts w:ascii="等线" w:hAnsi="等线" w:eastAsia="等线" w:cs="Times New Roman"/>
      <w:sz w:val="18"/>
      <w:szCs w:val="18"/>
    </w:rPr>
  </w:style>
  <w:style w:type="table" w:customStyle="1" w:styleId="12">
    <w:name w:val="三线表"/>
    <w:basedOn w:val="7"/>
    <w:qFormat/>
    <w:uiPriority w:val="0"/>
    <w:rPr>
      <w:rFonts w:ascii="Times New Roman" w:hAnsi="Times New Roman" w:eastAsia="Times New Roman" w:cs="Times New Roman"/>
      <w:kern w:val="0"/>
      <w:sz w:val="20"/>
      <w:szCs w:val="20"/>
    </w:rPr>
    <w:tblPr>
      <w:tblBorders>
        <w:top w:val="single" w:color="auto" w:sz="12" w:space="0"/>
        <w:bottom w:val="single" w:color="auto" w:sz="12" w:space="0"/>
      </w:tblBorders>
    </w:tblPr>
    <w:tblStylePr w:type="firstRow">
      <w:tcPr>
        <w:tcBorders>
          <w:top w:val="single" w:color="auto" w:sz="12" w:space="0"/>
          <w:left w:val="nil"/>
          <w:bottom w:val="single" w:color="auto" w:sz="6" w:space="0"/>
          <w:right w:val="nil"/>
          <w:insideH w:val="nil"/>
          <w:insideV w:val="nil"/>
          <w:tl2br w:val="nil"/>
          <w:tr2bl w:val="nil"/>
        </w:tcBorders>
      </w:tcPr>
    </w:tblStylePr>
  </w:style>
  <w:style w:type="character" w:customStyle="1" w:styleId="13">
    <w:name w:val="List Paragraph Char"/>
    <w:link w:val="10"/>
    <w:qFormat/>
    <w:uiPriority w:val="0"/>
    <w:rPr>
      <w:rFonts w:ascii="等线" w:hAnsi="等线" w:eastAsia="等线" w:cs="Times New Roman"/>
      <w:szCs w:val="21"/>
    </w:rPr>
  </w:style>
  <w:style w:type="paragraph" w:customStyle="1" w:styleId="14">
    <w:name w:val="WPSOffice手动目录 1"/>
    <w:qFormat/>
    <w:uiPriority w:val="0"/>
    <w:pPr>
      <w:ind w:leftChars="0"/>
    </w:pPr>
    <w:rPr>
      <w:rFonts w:ascii="Times New Roman" w:hAnsi="Times New Roman" w:eastAsia="宋体" w:cs="Times New Roman"/>
      <w:sz w:val="20"/>
      <w:szCs w:val="20"/>
    </w:rPr>
  </w:style>
  <w:style w:type="paragraph" w:customStyle="1" w:styleId="15">
    <w:name w:val="论文正文"/>
    <w:basedOn w:val="1"/>
    <w:qFormat/>
    <w:uiPriority w:val="0"/>
    <w:pPr>
      <w:spacing w:line="400" w:lineRule="exact"/>
      <w:ind w:firstLine="200" w:firstLineChars="200"/>
    </w:pPr>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1147</Words>
  <Characters>6542</Characters>
  <Lines>54</Lines>
  <Paragraphs>15</Paragraphs>
  <TotalTime>4</TotalTime>
  <ScaleCrop>false</ScaleCrop>
  <LinksUpToDate>false</LinksUpToDate>
  <CharactersWithSpaces>7674</CharactersWithSpaces>
  <Application>WPS Office_12.1.0.15933_F1E327BC-269C-435d-A152-05C5408002CA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2023-08-29T02:44:00Z</dcterms:created>
  <dc:creator>Kang Yankun</dc:creator>
  <cp:lastModifiedBy>刘京</cp:lastModifiedBy>
  <dcterms:modified xsi:type="dcterms:W3CDTF">2023-11-17T08:25:20Z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2052-12.1.0.15933</vt:lpwstr>
  </property>
  <property fmtid="{D5CDD505-2E9C-101B-9397-08002B2CF9AE}" pid="3" name="ICV">
    <vt:lpwstr>FCD9C088D81B4A2FA469934E2B3A8250_13</vt:lpwstr>
  </property>
</Properties>
</file>