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beforeLines="100"/>
        <w:jc w:val="center"/>
        <w:rPr>
          <w:rFonts w:ascii="仿宋" w:hAnsi="仿宋" w:eastAsia="仿宋" w:cs="Times New Roman"/>
          <w:b/>
          <w:kern w:val="0"/>
          <w:sz w:val="32"/>
          <w:szCs w:val="36"/>
        </w:rPr>
      </w:pPr>
    </w:p>
    <w:p>
      <w:pPr>
        <w:autoSpaceDE w:val="0"/>
        <w:autoSpaceDN w:val="0"/>
        <w:adjustRightInd w:val="0"/>
        <w:spacing w:before="312" w:beforeLines="100"/>
        <w:jc w:val="center"/>
        <w:rPr>
          <w:rFonts w:ascii="仿宋" w:hAnsi="仿宋" w:eastAsia="仿宋" w:cs="Times New Roman"/>
          <w:b/>
          <w:kern w:val="0"/>
          <w:sz w:val="32"/>
          <w:szCs w:val="36"/>
        </w:rPr>
      </w:pPr>
    </w:p>
    <w:p>
      <w:pPr>
        <w:autoSpaceDE w:val="0"/>
        <w:autoSpaceDN w:val="0"/>
        <w:adjustRightInd w:val="0"/>
        <w:spacing w:before="312" w:beforeLines="100"/>
        <w:jc w:val="center"/>
        <w:rPr>
          <w:rFonts w:hint="eastAsia"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债信政策不确定性何以影响公共性发展金融机构的</w:t>
      </w:r>
    </w:p>
    <w:p>
      <w:pPr>
        <w:autoSpaceDE w:val="0"/>
        <w:autoSpaceDN w:val="0"/>
        <w:adjustRightInd w:val="0"/>
        <w:spacing w:before="312" w:beforeLines="100"/>
        <w:jc w:val="center"/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债券融资？</w:t>
      </w:r>
    </w:p>
    <w:p>
      <w:pPr>
        <w:autoSpaceDE w:val="0"/>
        <w:autoSpaceDN w:val="0"/>
        <w:adjustRightInd w:val="0"/>
        <w:spacing w:before="312" w:beforeLines="100" w:after="312" w:afterLines="100"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——来自中国国家开发银行的证据</w:t>
      </w:r>
    </w:p>
    <w:p>
      <w:pPr>
        <w:jc w:val="center"/>
        <w:rPr>
          <w:rFonts w:ascii="楷体" w:hAnsi="仿宋" w:eastAsia="楷体" w:cs="Times New Roman"/>
          <w:kern w:val="0"/>
          <w:sz w:val="28"/>
          <w:szCs w:val="28"/>
        </w:rPr>
      </w:pPr>
    </w:p>
    <w:p>
      <w:pPr>
        <w:jc w:val="center"/>
        <w:rPr>
          <w:rFonts w:ascii="楷体" w:hAnsi="仿宋" w:eastAsia="楷体" w:cs="Times New Roman"/>
          <w:kern w:val="0"/>
          <w:sz w:val="28"/>
          <w:szCs w:val="28"/>
        </w:rPr>
      </w:pPr>
    </w:p>
    <w:p>
      <w:pPr>
        <w:jc w:val="center"/>
        <w:rPr>
          <w:rFonts w:ascii="楷体" w:hAnsi="仿宋" w:eastAsia="楷体" w:cs="Times New Roman"/>
          <w:kern w:val="0"/>
          <w:sz w:val="28"/>
          <w:szCs w:val="28"/>
        </w:rPr>
      </w:pPr>
      <w:r>
        <w:rPr>
          <w:rFonts w:hint="eastAsia" w:ascii="楷体" w:hAnsi="仿宋" w:eastAsia="楷体" w:cs="Times New Roman"/>
          <w:kern w:val="0"/>
          <w:sz w:val="28"/>
          <w:szCs w:val="28"/>
        </w:rPr>
        <w:t>王可第 徐佳君</w:t>
      </w:r>
    </w:p>
    <w:p>
      <w:pPr>
        <w:jc w:val="center"/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 录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表A1 变量定义及描述性统计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1633"/>
        <w:gridCol w:w="6250"/>
        <w:gridCol w:w="1245"/>
        <w:gridCol w:w="1245"/>
        <w:gridCol w:w="1245"/>
        <w:gridCol w:w="1245"/>
        <w:gridCol w:w="124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2" w:hRule="atLeast"/>
          <w:jc w:val="center"/>
        </w:trPr>
        <w:tc>
          <w:tcPr>
            <w:tcW w:w="579" w:type="pct"/>
            <w:tcBorders>
              <w:top w:val="single" w:color="auto" w:sz="8" w:space="0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变量</w:t>
            </w:r>
          </w:p>
        </w:tc>
        <w:tc>
          <w:tcPr>
            <w:tcW w:w="2215" w:type="pct"/>
            <w:tcBorders>
              <w:top w:val="single" w:color="auto" w:sz="8" w:space="0"/>
              <w:left w:val="nil"/>
              <w:bottom w:val="single" w:color="auto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变量定义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平均数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标准差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中位数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最大值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BR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[-10,+1]</w:t>
            </w:r>
          </w:p>
        </w:tc>
        <w:tc>
          <w:tcPr>
            <w:tcW w:w="2215" w:type="pct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事件窗口[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-10,+1]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的债券短期回报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0.045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0.890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-3.295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0.097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4.203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BR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[-10,+10]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事件窗口[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-10,+10]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的债券短期回报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0.121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0.859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-3.295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0.137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4.203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BR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+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1,+365]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事件窗口[+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1,+365]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的债券长期回报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-0.847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3.102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-14.580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4.412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BR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+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10,+365]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事件窗口[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-10,+365]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的债券长期回报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-0.788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3.020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-12.896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0.074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4.412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Spread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信用利差，债券发行时的票面利率与同期国债票面利率之差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0.810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0.781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-0.160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0.670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5.350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LnT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erm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债券期限，指债券从发行之日起至偿清本息之日止的时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间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（单位：年）。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3.912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Medium</w:t>
            </w: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&amp;Long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中长期债券虚拟变量，期限在1年以上的债券为1，否则为0。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0.8490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0.3583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1.0000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CDB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债券发行主体为国开行则取值为1，否则为0。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Reform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2007年1月20日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之后取值为1，否则为0。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0.767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0.423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1.000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aturity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债券剩余期限（单位：年）。</w:t>
            </w:r>
          </w:p>
        </w:tc>
        <w:tc>
          <w:tcPr>
            <w:tcW w:w="441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5.095</w:t>
            </w:r>
          </w:p>
        </w:tc>
        <w:tc>
          <w:tcPr>
            <w:tcW w:w="441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3.931</w:t>
            </w:r>
          </w:p>
        </w:tc>
        <w:tc>
          <w:tcPr>
            <w:tcW w:w="441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0.032</w:t>
            </w:r>
          </w:p>
        </w:tc>
        <w:tc>
          <w:tcPr>
            <w:tcW w:w="441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4.394</w:t>
            </w:r>
          </w:p>
        </w:tc>
        <w:tc>
          <w:tcPr>
            <w:tcW w:w="441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17.973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Ln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Amount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债券募集资金规模，定义为发行债券时实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际筹集到的资金总量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的自然对数。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5.056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5.075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7.700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Coupon Rate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票面利率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3.877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3.930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6.050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Float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浮动利率为1，固定利率为0。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0.090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0.286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Size</w:t>
            </w:r>
          </w:p>
        </w:tc>
        <w:tc>
          <w:tcPr>
            <w:tcW w:w="2215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债券发行主体的总资产的自然对数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19.382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16.025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19.385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20.956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79" w:type="pct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Leverage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债券发行主体的资产负债率，定义为总负债除以总资产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0.951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0.879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0.934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0.988</w:t>
            </w:r>
          </w:p>
        </w:tc>
      </w:tr>
    </w:tbl>
    <w:p>
      <w:pPr>
        <w:spacing w:before="156" w:beforeLines="50" w:after="156" w:afterLines="50"/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</w:pPr>
      <w:r>
        <w:drawing>
          <wp:inline distT="0" distB="0" distL="0" distR="0">
            <wp:extent cx="2634615" cy="1916430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191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34615" cy="191643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191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图A</w:t>
      </w:r>
      <w:r>
        <w:rPr>
          <w:rFonts w:ascii="宋体" w:hAnsi="宋体" w:eastAsia="宋体" w:cs="宋体"/>
          <w:b/>
          <w:sz w:val="20"/>
          <w:szCs w:val="20"/>
        </w:rPr>
        <w:t>1 平行趋势检验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表A</w:t>
      </w:r>
      <w:r>
        <w:rPr>
          <w:rFonts w:ascii="宋体" w:hAnsi="宋体" w:eastAsia="宋体" w:cs="宋体"/>
          <w:b/>
          <w:sz w:val="20"/>
          <w:szCs w:val="20"/>
        </w:rPr>
        <w:t xml:space="preserve">2 </w:t>
      </w:r>
      <w:r>
        <w:rPr>
          <w:rFonts w:hint="eastAsia" w:ascii="宋体" w:hAnsi="宋体" w:eastAsia="宋体" w:cs="宋体"/>
          <w:b/>
          <w:sz w:val="20"/>
          <w:szCs w:val="20"/>
        </w:rPr>
        <w:t>稳健性检验：改变事件窗口的债券短期收益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1691"/>
        <w:gridCol w:w="1691"/>
        <w:gridCol w:w="1691"/>
        <w:gridCol w:w="1691"/>
        <w:gridCol w:w="1692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变量</w:t>
            </w:r>
          </w:p>
        </w:tc>
        <w:tc>
          <w:tcPr>
            <w:tcW w:w="4000" w:type="pct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因变量=债券短期收益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vMerge w:val="continue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0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全部样本</w:t>
            </w:r>
          </w:p>
        </w:tc>
        <w:tc>
          <w:tcPr>
            <w:tcW w:w="200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匹配样本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vMerge w:val="continue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[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-30,+1]</w:t>
            </w:r>
          </w:p>
        </w:tc>
        <w:tc>
          <w:tcPr>
            <w:tcW w:w="1000" w:type="pct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[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-30,+30]</w:t>
            </w:r>
          </w:p>
        </w:tc>
        <w:tc>
          <w:tcPr>
            <w:tcW w:w="1000" w:type="pct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[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-30,+1]</w:t>
            </w:r>
          </w:p>
        </w:tc>
        <w:tc>
          <w:tcPr>
            <w:tcW w:w="1000" w:type="pct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[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-30,+30]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vMerge w:val="continue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(1)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(2)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(3)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(4)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CDB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-0.282***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-0.345***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-0.162*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-0.396**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(-22.66)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(-33.78)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(-3.09)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(-5.01)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Maturity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-0.015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0.013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0.057***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0.151***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(-0.59)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(0.71)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(10.96)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(10.64)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LnAmount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0.580***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0.657***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0.404**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0.523*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(19.86)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(10.36)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(5.70)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(3.96)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oupon Rate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0.067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0.042**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0.119**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-0.003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(2.84)</w:t>
            </w:r>
          </w:p>
        </w:tc>
        <w:tc>
          <w:tcPr>
            <w:tcW w:w="1000" w:type="pct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(6.74)</w:t>
            </w:r>
          </w:p>
        </w:tc>
        <w:tc>
          <w:tcPr>
            <w:tcW w:w="1000" w:type="pct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(5.92)</w:t>
            </w:r>
          </w:p>
        </w:tc>
        <w:tc>
          <w:tcPr>
            <w:tcW w:w="1000" w:type="pct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(-0.76)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Size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0.136**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0.184***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-0.187**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(9.74)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(27.73)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(-5.97)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(1.03)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-4.848***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-6.048***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1.748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-3.312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(-13.48)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(-17.35)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(1.99)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(-2.04)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0.055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0.070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0.100</w:t>
            </w:r>
          </w:p>
        </w:tc>
      </w:tr>
    </w:tbl>
    <w:p>
      <w:pPr>
        <w:ind w:firstLine="360" w:firstLineChars="200"/>
        <w:rPr>
          <w:rFonts w:ascii="Times New Roman" w:hAnsi="Times New Roman" w:eastAsia="仿宋" w:cs="Times New Roman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注：括号内为</w:t>
      </w:r>
      <w:r>
        <w:rPr>
          <w:rFonts w:hint="eastAsia" w:ascii="Times New Roman" w:hAnsi="Times New Roman" w:eastAsia="仿宋" w:cs="Times New Roman"/>
          <w:i/>
          <w:iCs/>
          <w:kern w:val="0"/>
          <w:sz w:val="18"/>
          <w:szCs w:val="18"/>
        </w:rPr>
        <w:t>T</w:t>
      </w: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值，***、**、*分别代表在1%、5%和1</w:t>
      </w:r>
      <w:r>
        <w:rPr>
          <w:rFonts w:ascii="Times New Roman" w:hAnsi="Times New Roman" w:eastAsia="仿宋" w:cs="Times New Roman"/>
          <w:kern w:val="0"/>
          <w:sz w:val="18"/>
          <w:szCs w:val="18"/>
        </w:rPr>
        <w:t>0</w:t>
      </w: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%的水平上显著，对标准误差进行了银行层面的聚类调整。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表A</w:t>
      </w:r>
      <w:r>
        <w:rPr>
          <w:rFonts w:ascii="宋体" w:hAnsi="宋体" w:eastAsia="宋体" w:cs="宋体"/>
          <w:b/>
          <w:sz w:val="20"/>
          <w:szCs w:val="20"/>
        </w:rPr>
        <w:t>3 稳健性检验：改变</w:t>
      </w:r>
      <w:r>
        <w:rPr>
          <w:rFonts w:hint="eastAsia" w:ascii="宋体" w:hAnsi="宋体" w:eastAsia="宋体" w:cs="宋体"/>
          <w:b/>
          <w:sz w:val="20"/>
          <w:szCs w:val="20"/>
        </w:rPr>
        <w:t>事件</w:t>
      </w:r>
      <w:r>
        <w:rPr>
          <w:rFonts w:ascii="宋体" w:hAnsi="宋体" w:eastAsia="宋体" w:cs="宋体"/>
          <w:b/>
          <w:sz w:val="20"/>
          <w:szCs w:val="20"/>
        </w:rPr>
        <w:t>窗口的债券</w:t>
      </w:r>
      <w:r>
        <w:rPr>
          <w:rFonts w:hint="eastAsia" w:ascii="宋体" w:hAnsi="宋体" w:eastAsia="宋体" w:cs="宋体"/>
          <w:b/>
          <w:sz w:val="20"/>
          <w:szCs w:val="20"/>
        </w:rPr>
        <w:t>长期</w:t>
      </w:r>
      <w:r>
        <w:rPr>
          <w:rFonts w:ascii="宋体" w:hAnsi="宋体" w:eastAsia="宋体" w:cs="宋体"/>
          <w:b/>
          <w:sz w:val="20"/>
          <w:szCs w:val="20"/>
        </w:rPr>
        <w:t>收益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2818"/>
        <w:gridCol w:w="2819"/>
        <w:gridCol w:w="281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变量</w:t>
            </w:r>
          </w:p>
        </w:tc>
        <w:tc>
          <w:tcPr>
            <w:tcW w:w="3334" w:type="pct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因变量=债券长期收益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全部样本</w:t>
            </w: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匹配样本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[+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30,+365]</w:t>
            </w: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[+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30,+365]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vMerge w:val="continue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(1)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(2)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CDB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-1.387***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-1.829**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(-51.82)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(-7.46)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Maturity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-0.141**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-0.259***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(-7.98)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(-43.18)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LnAmount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-0.508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0.399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(-2.87)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(1.70)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oupon_Rate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(0.28)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(0.03)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Size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0.253***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0.927***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(36.83)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(14.99)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-1.748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-18.614**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(-2.72)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(-8.98)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0.135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0.088</w:t>
            </w:r>
          </w:p>
        </w:tc>
      </w:tr>
    </w:tbl>
    <w:p>
      <w:pPr>
        <w:autoSpaceDE w:val="0"/>
        <w:autoSpaceDN w:val="0"/>
        <w:adjustRightInd w:val="0"/>
        <w:ind w:firstLine="360" w:firstLineChars="200"/>
        <w:rPr>
          <w:rFonts w:ascii="Times New Roman" w:hAnsi="Times New Roman" w:eastAsia="仿宋" w:cs="Times New Roman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注：括号内为</w:t>
      </w:r>
      <w:r>
        <w:rPr>
          <w:rFonts w:hint="eastAsia" w:ascii="Times New Roman" w:hAnsi="Times New Roman" w:eastAsia="仿宋" w:cs="Times New Roman"/>
          <w:i/>
          <w:iCs/>
          <w:kern w:val="0"/>
          <w:sz w:val="18"/>
          <w:szCs w:val="18"/>
        </w:rPr>
        <w:t>T</w:t>
      </w: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值，***、**、*分别代表在1%、5%和1</w:t>
      </w:r>
      <w:r>
        <w:rPr>
          <w:rFonts w:ascii="Times New Roman" w:hAnsi="Times New Roman" w:eastAsia="仿宋" w:cs="Times New Roman"/>
          <w:kern w:val="0"/>
          <w:sz w:val="18"/>
          <w:szCs w:val="18"/>
        </w:rPr>
        <w:t>0</w:t>
      </w: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%的水平上显著，对标准误差进行了银行层面的聚类调整。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表A</w:t>
      </w:r>
      <w:r>
        <w:rPr>
          <w:rFonts w:ascii="宋体" w:hAnsi="宋体" w:eastAsia="宋体" w:cs="宋体"/>
          <w:b/>
          <w:sz w:val="20"/>
          <w:szCs w:val="20"/>
        </w:rPr>
        <w:t>4 稳健性检验：</w:t>
      </w:r>
      <w:r>
        <w:rPr>
          <w:rFonts w:hint="eastAsia" w:ascii="宋体" w:hAnsi="宋体" w:eastAsia="宋体" w:cs="宋体"/>
          <w:b/>
          <w:sz w:val="20"/>
          <w:szCs w:val="20"/>
        </w:rPr>
        <w:t>PSM-DID检验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2818"/>
        <w:gridCol w:w="2819"/>
        <w:gridCol w:w="281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变量</w:t>
            </w:r>
          </w:p>
        </w:tc>
        <w:tc>
          <w:tcPr>
            <w:tcW w:w="3334" w:type="pct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因变量=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Spread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vMerge w:val="continue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(1)</w:t>
            </w: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(2)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DB</w:t>
            </w: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×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Reform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0.362***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0.368***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(6.13)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(9.40)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aturity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-0.051*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-0.052*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(-2.89)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(-2.73)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LnAmount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-0.904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-1.375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(-0.37)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(-0.22)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Coupon Rate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0.403***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0.403***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(30.73)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(32.02)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Float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-0.131*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-0.134*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(-2.49)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(-2.73)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Size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(-0.09)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Leverage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-0.564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(-0.35)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-0.621***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0.410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(-10.74)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(0.07)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发行年度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YES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发行主体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YES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565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0.254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0.254</w:t>
            </w:r>
          </w:p>
        </w:tc>
      </w:tr>
    </w:tbl>
    <w:p>
      <w:pPr>
        <w:ind w:firstLine="360" w:firstLineChars="200"/>
        <w:rPr>
          <w:rFonts w:ascii="Times New Roman" w:hAnsi="Times New Roman" w:eastAsia="仿宋" w:cs="Times New Roman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注：括号内为</w:t>
      </w:r>
      <w:r>
        <w:rPr>
          <w:rFonts w:hint="eastAsia" w:ascii="Times New Roman" w:hAnsi="Times New Roman" w:eastAsia="仿宋" w:cs="Times New Roman"/>
          <w:i/>
          <w:iCs/>
          <w:kern w:val="0"/>
          <w:sz w:val="18"/>
          <w:szCs w:val="18"/>
        </w:rPr>
        <w:t>T</w:t>
      </w: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值，***、**、*分别代表在1%、5%和1</w:t>
      </w:r>
      <w:r>
        <w:rPr>
          <w:rFonts w:ascii="Times New Roman" w:hAnsi="Times New Roman" w:eastAsia="仿宋" w:cs="Times New Roman"/>
          <w:kern w:val="0"/>
          <w:sz w:val="18"/>
          <w:szCs w:val="18"/>
        </w:rPr>
        <w:t>0</w:t>
      </w: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%的水平上显著，对标准误差进行了银行层面的聚类调整。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表A</w:t>
      </w:r>
      <w:r>
        <w:rPr>
          <w:rFonts w:ascii="宋体" w:hAnsi="宋体" w:eastAsia="宋体" w:cs="宋体"/>
          <w:b/>
          <w:sz w:val="20"/>
          <w:szCs w:val="20"/>
        </w:rPr>
        <w:t>5 稳健性检验：</w:t>
      </w:r>
      <w:r>
        <w:rPr>
          <w:rFonts w:hint="eastAsia" w:ascii="宋体" w:hAnsi="宋体" w:eastAsia="宋体" w:cs="宋体"/>
          <w:b/>
          <w:sz w:val="20"/>
          <w:szCs w:val="20"/>
        </w:rPr>
        <w:t>改变对照组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2818"/>
        <w:gridCol w:w="2819"/>
        <w:gridCol w:w="281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变量</w:t>
            </w:r>
          </w:p>
        </w:tc>
        <w:tc>
          <w:tcPr>
            <w:tcW w:w="3334" w:type="pct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因变量=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Spread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vMerge w:val="continue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全样本</w:t>
            </w: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PSM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样本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vMerge w:val="continue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(1)</w:t>
            </w:r>
          </w:p>
        </w:tc>
        <w:tc>
          <w:tcPr>
            <w:tcW w:w="1667" w:type="pct"/>
            <w:tcBorders>
              <w:top w:val="single" w:color="auto" w:sz="6" w:space="0"/>
              <w:left w:val="nil"/>
              <w:bottom w:val="single" w:color="auto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(2)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DB</w:t>
            </w: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×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Reform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0.244**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0.270*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(1.97)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(1.69)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aturity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-0.037***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-0.017*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(-5.37)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(-1.85)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LnAmount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-0.000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(-1.59)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(-0.69)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Coupon_Rate</w:t>
            </w: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0.439***</w:t>
            </w: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0.376***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(11.53)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(6.61)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kern w:val="0"/>
                <w:sz w:val="18"/>
                <w:szCs w:val="18"/>
              </w:rPr>
              <w:t>Float</w:t>
            </w: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-0.116</w:t>
            </w: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-0.205*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(-1.10)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(-1.69)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-0.450***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-0.449**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(-2.90)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(-1.98)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发行年度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YES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发行主体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YES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1,327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666" w:type="pct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0.561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0.415</w:t>
            </w:r>
          </w:p>
        </w:tc>
      </w:tr>
    </w:tbl>
    <w:p>
      <w:pPr>
        <w:ind w:firstLine="360" w:firstLineChars="200"/>
        <w:rPr>
          <w:rFonts w:hint="eastAsia" w:ascii="Times New Roman" w:hAnsi="Times New Roman" w:eastAsia="仿宋" w:cs="Times New Roman"/>
          <w:kern w:val="0"/>
          <w:sz w:val="18"/>
          <w:szCs w:val="18"/>
        </w:rPr>
      </w:pP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注：括号内为</w:t>
      </w:r>
      <w:bookmarkStart w:id="0" w:name="_GoBack"/>
      <w:r>
        <w:rPr>
          <w:rFonts w:hint="eastAsia" w:ascii="Times New Roman" w:hAnsi="Times New Roman" w:eastAsia="仿宋" w:cs="Times New Roman"/>
          <w:i/>
          <w:iCs/>
          <w:kern w:val="0"/>
          <w:sz w:val="18"/>
          <w:szCs w:val="18"/>
        </w:rPr>
        <w:t>T</w:t>
      </w:r>
      <w:bookmarkEnd w:id="0"/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值，***、**、*分别代表在1%、5%和1</w:t>
      </w:r>
      <w:r>
        <w:rPr>
          <w:rFonts w:ascii="Times New Roman" w:hAnsi="Times New Roman" w:eastAsia="仿宋" w:cs="Times New Roman"/>
          <w:kern w:val="0"/>
          <w:sz w:val="18"/>
          <w:szCs w:val="18"/>
        </w:rPr>
        <w:t>0</w:t>
      </w:r>
      <w:r>
        <w:rPr>
          <w:rFonts w:hint="eastAsia" w:ascii="Times New Roman" w:hAnsi="Times New Roman" w:eastAsia="仿宋" w:cs="Times New Roman"/>
          <w:kern w:val="0"/>
          <w:sz w:val="18"/>
          <w:szCs w:val="18"/>
        </w:rPr>
        <w:t>%的水平上显著，对标准误差进行了银行层面的聚类调整。</w:t>
      </w:r>
    </w:p>
    <w:p>
      <w:pPr>
        <w:ind w:firstLine="360" w:firstLineChars="200"/>
        <w:rPr>
          <w:rFonts w:hint="eastAsia" w:ascii="Times New Roman" w:hAnsi="Times New Roman" w:eastAsia="仿宋" w:cs="Times New Roman"/>
          <w:kern w:val="0"/>
          <w:sz w:val="18"/>
          <w:szCs w:val="18"/>
        </w:rPr>
      </w:pPr>
    </w:p>
    <w:p>
      <w:pPr>
        <w:ind w:firstLine="360" w:firstLineChars="200"/>
        <w:rPr>
          <w:rFonts w:hint="eastAsia" w:ascii="Times New Roman" w:hAnsi="Times New Roman" w:eastAsia="仿宋" w:cs="Times New Roman"/>
          <w:kern w:val="0"/>
          <w:sz w:val="18"/>
          <w:szCs w:val="18"/>
        </w:rPr>
      </w:pPr>
    </w:p>
    <w:p>
      <w:pPr>
        <w:ind w:firstLine="360" w:firstLineChars="200"/>
        <w:rPr>
          <w:rFonts w:hint="eastAsia" w:ascii="Times New Roman" w:hAnsi="Times New Roman" w:eastAsia="仿宋" w:cs="Times New Roman"/>
          <w:kern w:val="0"/>
          <w:sz w:val="18"/>
          <w:szCs w:val="18"/>
        </w:rPr>
      </w:pPr>
    </w:p>
    <w:p>
      <w:pPr>
        <w:ind w:firstLine="360" w:firstLineChars="200"/>
        <w:rPr>
          <w:rFonts w:hint="eastAsia" w:ascii="Times New Roman" w:hAnsi="Times New Roman" w:eastAsia="仿宋" w:cs="Times New Roman"/>
          <w:kern w:val="0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>
      <w:pPr>
        <w:ind w:firstLine="360" w:firstLineChars="200"/>
        <w:rPr>
          <w:rFonts w:hint="eastAsia" w:ascii="Times New Roman" w:hAnsi="Times New Roman" w:eastAsia="仿宋" w:cs="Times New Roman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《</w:t>
    </w:r>
    <w:r>
      <w:rPr>
        <w:rFonts w:hint="eastAsia"/>
        <w:lang w:val="en-US" w:eastAsia="zh-CN"/>
      </w:rPr>
      <w:t>经济学</w:t>
    </w:r>
    <w:r>
      <w:rPr>
        <w:rFonts w:hint="eastAsia"/>
        <w:lang w:eastAsia="zh-CN"/>
      </w:rPr>
      <w:t>》（</w:t>
    </w:r>
    <w:r>
      <w:rPr>
        <w:rFonts w:hint="eastAsia"/>
        <w:lang w:val="en-US" w:eastAsia="zh-CN"/>
      </w:rPr>
      <w:t>季刊</w:t>
    </w:r>
    <w:r>
      <w:rPr>
        <w:rFonts w:hint="eastAsia"/>
        <w:lang w:eastAsia="zh-CN"/>
      </w:rPr>
      <w:t>）</w:t>
    </w:r>
    <w:r>
      <w:rPr>
        <w:rFonts w:hint="eastAsia"/>
        <w:lang w:val="en-US" w:eastAsia="zh-CN"/>
      </w:rPr>
      <w:t xml:space="preserve">                                                              2023年第6期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TY5MzAxODJhZDAxMGMwZGQwZTA0ZDg0NjA2ZDkifQ=="/>
  </w:docVars>
  <w:rsids>
    <w:rsidRoot w:val="009C2C70"/>
    <w:rsid w:val="00213C05"/>
    <w:rsid w:val="00970DF7"/>
    <w:rsid w:val="009C2C70"/>
    <w:rsid w:val="00A031CE"/>
    <w:rsid w:val="00A963D0"/>
    <w:rsid w:val="00AA0DB0"/>
    <w:rsid w:val="00B107E4"/>
    <w:rsid w:val="2EB76F86"/>
    <w:rsid w:val="3B645405"/>
    <w:rsid w:val="3FA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86AAEE-FD88-4856-8E4E-AC4C0B205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457</Words>
  <Characters>2607</Characters>
  <Lines>21</Lines>
  <Paragraphs>6</Paragraphs>
  <TotalTime>1</TotalTime>
  <ScaleCrop>false</ScaleCrop>
  <LinksUpToDate>false</LinksUpToDate>
  <CharactersWithSpaces>3058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2023-11-16T04:08:00Z</dcterms:created>
  <dc:creator>Kedi Wang</dc:creator>
  <cp:lastModifiedBy>刘京</cp:lastModifiedBy>
  <dcterms:modified xsi:type="dcterms:W3CDTF">2023-11-21T08:51:16Z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6A60C134453542AAA7D5B7558C51C999_12</vt:lpwstr>
  </property>
</Properties>
</file>