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360" w:lineRule="auto"/>
        <w:outlineLvl w:val="9"/>
        <w:rPr>
          <w:rFonts w:hint="eastAsia" w:ascii="仿宋" w:hAnsi="仿宋" w:eastAsia="仿宋" w:cs="仿宋"/>
          <w:bCs/>
          <w:sz w:val="32"/>
          <w:szCs w:val="32"/>
        </w:rPr>
      </w:pPr>
      <w:r>
        <w:rPr>
          <w:rFonts w:hint="eastAsia" w:ascii="仿宋" w:hAnsi="仿宋" w:eastAsia="仿宋" w:cs="仿宋"/>
          <w:bCs/>
          <w:sz w:val="32"/>
          <w:szCs w:val="32"/>
        </w:rPr>
        <w:t>污染信息公开与公众的回应：来自房地产市场的证据</w:t>
      </w:r>
    </w:p>
    <w:p>
      <w:pPr>
        <w:jc w:val="center"/>
      </w:pPr>
    </w:p>
    <w:p>
      <w:pPr>
        <w:jc w:val="center"/>
      </w:pPr>
    </w:p>
    <w:p>
      <w:pPr>
        <w:jc w:val="center"/>
        <w:rPr>
          <w:rFonts w:hint="eastAsia" w:ascii="楷体" w:hAnsi="楷体" w:eastAsia="楷体" w:cs="楷体"/>
          <w:sz w:val="28"/>
          <w:szCs w:val="32"/>
        </w:rPr>
      </w:pPr>
      <w:r>
        <w:rPr>
          <w:rFonts w:hint="eastAsia" w:ascii="楷体" w:hAnsi="楷体" w:eastAsia="楷体" w:cs="楷体"/>
          <w:sz w:val="28"/>
          <w:szCs w:val="32"/>
        </w:rPr>
        <w:t>蒙莉娜 余华义 陈琦悦</w:t>
      </w:r>
    </w:p>
    <w:p>
      <w:pPr>
        <w:jc w:val="center"/>
      </w:pPr>
    </w:p>
    <w:p>
      <w:pPr>
        <w:pStyle w:val="24"/>
        <w:jc w:val="center"/>
        <w:rPr>
          <w:rFonts w:hint="eastAsia" w:ascii="Times New Roman" w:hAnsi="Times New Roman" w:eastAsia="仿宋" w:cstheme="minorBidi"/>
          <w:b/>
          <w:bCs/>
          <w:color w:val="auto"/>
          <w:kern w:val="2"/>
          <w:sz w:val="28"/>
          <w:szCs w:val="32"/>
          <w:lang w:val="en-US" w:eastAsia="zh-CN"/>
        </w:rPr>
      </w:pPr>
      <w:r>
        <w:rPr>
          <w:rFonts w:hint="eastAsia" w:ascii="Times New Roman" w:hAnsi="Times New Roman" w:eastAsia="仿宋" w:cstheme="minorBidi"/>
          <w:b/>
          <w:bCs/>
          <w:color w:val="auto"/>
          <w:kern w:val="2"/>
          <w:sz w:val="28"/>
          <w:szCs w:val="32"/>
          <w:lang w:val="en-US" w:eastAsia="zh-CN"/>
        </w:rPr>
        <w:t>目 录</w:t>
      </w:r>
    </w:p>
    <w:sdt>
      <w:sdtPr>
        <w:rPr>
          <w:rFonts w:ascii="Times New Roman" w:hAnsi="Times New Roman" w:eastAsia="仿宋" w:cstheme="minorBidi"/>
          <w:color w:val="auto"/>
          <w:kern w:val="2"/>
          <w:sz w:val="21"/>
          <w:szCs w:val="22"/>
          <w:lang w:val="zh-CN"/>
        </w:rPr>
        <w:id w:val="443432229"/>
        <w:docPartObj>
          <w:docPartGallery w:val="Table of Contents"/>
          <w:docPartUnique/>
        </w:docPartObj>
      </w:sdtPr>
      <w:sdtEndPr>
        <w:rPr>
          <w:rFonts w:hint="eastAsia" w:ascii="楷体" w:hAnsi="楷体" w:eastAsia="楷体" w:cs="楷体"/>
          <w:b w:val="0"/>
          <w:bCs w:val="0"/>
          <w:color w:val="auto"/>
          <w:kern w:val="2"/>
          <w:sz w:val="28"/>
          <w:szCs w:val="28"/>
          <w:lang w:val="zh-CN"/>
        </w:rPr>
      </w:sdtEndPr>
      <w:sdtContent>
        <w:p>
          <w:pPr>
            <w:pStyle w:val="24"/>
          </w:pPr>
        </w:p>
        <w:p>
          <w:pPr>
            <w:pStyle w:val="2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2"/>
              <w:szCs w:val="22"/>
            </w:rPr>
          </w:pPr>
          <w:r>
            <w:rPr>
              <w:rFonts w:hint="eastAsia" w:ascii="仿宋" w:hAnsi="仿宋" w:eastAsia="仿宋" w:cs="仿宋"/>
              <w:b w:val="0"/>
              <w:bCs w:val="0"/>
              <w:sz w:val="22"/>
              <w:szCs w:val="22"/>
            </w:rPr>
            <w:fldChar w:fldCharType="begin"/>
          </w:r>
          <w:r>
            <w:rPr>
              <w:rFonts w:hint="eastAsia" w:ascii="仿宋" w:hAnsi="仿宋" w:eastAsia="仿宋" w:cs="仿宋"/>
              <w:b w:val="0"/>
              <w:bCs w:val="0"/>
              <w:sz w:val="22"/>
              <w:szCs w:val="22"/>
            </w:rPr>
            <w:instrText xml:space="preserve"> TOC \o "1-3" \h \z \u </w:instrText>
          </w:r>
          <w:r>
            <w:rPr>
              <w:rFonts w:hint="eastAsia" w:ascii="仿宋" w:hAnsi="仿宋" w:eastAsia="仿宋" w:cs="仿宋"/>
              <w:b w:val="0"/>
              <w:bCs w:val="0"/>
              <w:sz w:val="22"/>
              <w:szCs w:val="22"/>
            </w:rPr>
            <w:fldChar w:fldCharType="separate"/>
          </w:r>
          <w:r>
            <w:rPr>
              <w:rFonts w:hint="eastAsia" w:ascii="仿宋" w:hAnsi="仿宋" w:eastAsia="仿宋" w:cs="仿宋"/>
              <w:b w:val="0"/>
              <w:bCs w:val="0"/>
              <w:sz w:val="22"/>
              <w:szCs w:val="22"/>
            </w:rPr>
            <w:fldChar w:fldCharType="begin"/>
          </w:r>
          <w:r>
            <w:rPr>
              <w:rFonts w:hint="eastAsia" w:ascii="仿宋" w:hAnsi="仿宋" w:eastAsia="仿宋" w:cs="仿宋"/>
              <w:b w:val="0"/>
              <w:bCs w:val="0"/>
              <w:sz w:val="22"/>
              <w:szCs w:val="22"/>
            </w:rPr>
            <w:instrText xml:space="preserve"> HYPERLINK \l "_Toc154058023" </w:instrText>
          </w:r>
          <w:r>
            <w:rPr>
              <w:rFonts w:hint="eastAsia" w:ascii="仿宋" w:hAnsi="仿宋" w:eastAsia="仿宋" w:cs="仿宋"/>
              <w:b w:val="0"/>
              <w:bCs w:val="0"/>
              <w:sz w:val="22"/>
              <w:szCs w:val="22"/>
            </w:rPr>
            <w:fldChar w:fldCharType="separate"/>
          </w:r>
          <w:r>
            <w:rPr>
              <w:rFonts w:hint="eastAsia" w:ascii="仿宋" w:hAnsi="仿宋" w:eastAsia="仿宋" w:cs="仿宋"/>
              <w:b w:val="0"/>
              <w:bCs w:val="0"/>
              <w:sz w:val="22"/>
              <w:szCs w:val="22"/>
            </w:rPr>
            <w:t>附录I 使用非参估计方法确定污染企业的影响范围</w:t>
          </w:r>
          <w:r>
            <w:rPr>
              <w:rFonts w:hint="eastAsia" w:ascii="仿宋" w:hAnsi="仿宋" w:eastAsia="仿宋" w:cs="仿宋"/>
              <w:b w:val="0"/>
              <w:bCs w:val="0"/>
              <w:sz w:val="22"/>
              <w:szCs w:val="22"/>
            </w:rPr>
            <w:tab/>
          </w:r>
          <w:r>
            <w:rPr>
              <w:rFonts w:hint="eastAsia" w:ascii="仿宋" w:hAnsi="仿宋" w:eastAsia="仿宋" w:cs="仿宋"/>
              <w:b w:val="0"/>
              <w:bCs w:val="0"/>
              <w:sz w:val="22"/>
              <w:szCs w:val="22"/>
              <w:lang w:val="en-US" w:eastAsia="zh-CN"/>
            </w:rPr>
            <w:t>1</w:t>
          </w:r>
          <w:r>
            <w:rPr>
              <w:rFonts w:hint="eastAsia" w:ascii="仿宋" w:hAnsi="仿宋" w:eastAsia="仿宋" w:cs="仿宋"/>
              <w:b w:val="0"/>
              <w:bCs w:val="0"/>
              <w:sz w:val="22"/>
              <w:szCs w:val="22"/>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2"/>
              <w:szCs w:val="22"/>
            </w:rPr>
          </w:pPr>
          <w:r>
            <w:rPr>
              <w:rFonts w:hint="eastAsia" w:ascii="仿宋" w:hAnsi="仿宋" w:eastAsia="仿宋" w:cs="仿宋"/>
              <w:b w:val="0"/>
              <w:bCs w:val="0"/>
              <w:sz w:val="22"/>
              <w:szCs w:val="22"/>
            </w:rPr>
            <w:fldChar w:fldCharType="begin"/>
          </w:r>
          <w:r>
            <w:rPr>
              <w:rFonts w:hint="eastAsia" w:ascii="仿宋" w:hAnsi="仿宋" w:eastAsia="仿宋" w:cs="仿宋"/>
              <w:b w:val="0"/>
              <w:bCs w:val="0"/>
              <w:sz w:val="22"/>
              <w:szCs w:val="22"/>
            </w:rPr>
            <w:instrText xml:space="preserve"> HYPERLINK \l "_Toc154058024" </w:instrText>
          </w:r>
          <w:r>
            <w:rPr>
              <w:rFonts w:hint="eastAsia" w:ascii="仿宋" w:hAnsi="仿宋" w:eastAsia="仿宋" w:cs="仿宋"/>
              <w:b w:val="0"/>
              <w:bCs w:val="0"/>
              <w:sz w:val="22"/>
              <w:szCs w:val="22"/>
            </w:rPr>
            <w:fldChar w:fldCharType="separate"/>
          </w:r>
          <w:r>
            <w:rPr>
              <w:rFonts w:hint="eastAsia" w:ascii="仿宋" w:hAnsi="仿宋" w:eastAsia="仿宋" w:cs="仿宋"/>
              <w:b w:val="0"/>
              <w:bCs w:val="0"/>
              <w:sz w:val="22"/>
              <w:szCs w:val="22"/>
            </w:rPr>
            <w:t>附录II 污染信息公开效应的空间溢出范围</w:t>
          </w:r>
          <w:r>
            <w:rPr>
              <w:rFonts w:hint="eastAsia" w:ascii="仿宋" w:hAnsi="仿宋" w:eastAsia="仿宋" w:cs="仿宋"/>
              <w:b w:val="0"/>
              <w:bCs w:val="0"/>
              <w:sz w:val="22"/>
              <w:szCs w:val="22"/>
            </w:rPr>
            <w:tab/>
          </w:r>
          <w:r>
            <w:rPr>
              <w:rFonts w:hint="eastAsia" w:ascii="仿宋" w:hAnsi="仿宋" w:eastAsia="仿宋" w:cs="仿宋"/>
              <w:b w:val="0"/>
              <w:bCs w:val="0"/>
              <w:sz w:val="22"/>
              <w:szCs w:val="22"/>
            </w:rPr>
            <w:fldChar w:fldCharType="begin"/>
          </w:r>
          <w:r>
            <w:rPr>
              <w:rFonts w:hint="eastAsia" w:ascii="仿宋" w:hAnsi="仿宋" w:eastAsia="仿宋" w:cs="仿宋"/>
              <w:b w:val="0"/>
              <w:bCs w:val="0"/>
              <w:sz w:val="22"/>
              <w:szCs w:val="22"/>
            </w:rPr>
            <w:instrText xml:space="preserve"> PAGEREF _Toc154058024 \h </w:instrText>
          </w:r>
          <w:r>
            <w:rPr>
              <w:rFonts w:hint="eastAsia" w:ascii="仿宋" w:hAnsi="仿宋" w:eastAsia="仿宋" w:cs="仿宋"/>
              <w:b w:val="0"/>
              <w:bCs w:val="0"/>
              <w:sz w:val="22"/>
              <w:szCs w:val="22"/>
            </w:rPr>
            <w:fldChar w:fldCharType="separate"/>
          </w:r>
          <w:r>
            <w:rPr>
              <w:rFonts w:hint="eastAsia" w:ascii="仿宋" w:hAnsi="仿宋" w:eastAsia="仿宋" w:cs="仿宋"/>
              <w:b w:val="0"/>
              <w:bCs w:val="0"/>
              <w:sz w:val="22"/>
              <w:szCs w:val="22"/>
            </w:rPr>
            <w:t>2</w:t>
          </w:r>
          <w:r>
            <w:rPr>
              <w:rFonts w:hint="eastAsia" w:ascii="仿宋" w:hAnsi="仿宋" w:eastAsia="仿宋" w:cs="仿宋"/>
              <w:b w:val="0"/>
              <w:bCs w:val="0"/>
              <w:sz w:val="22"/>
              <w:szCs w:val="22"/>
            </w:rPr>
            <w:fldChar w:fldCharType="end"/>
          </w:r>
          <w:r>
            <w:rPr>
              <w:rFonts w:hint="eastAsia" w:ascii="仿宋" w:hAnsi="仿宋" w:eastAsia="仿宋" w:cs="仿宋"/>
              <w:b w:val="0"/>
              <w:bCs w:val="0"/>
              <w:sz w:val="22"/>
              <w:szCs w:val="22"/>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2"/>
              <w:szCs w:val="22"/>
            </w:rPr>
          </w:pPr>
          <w:r>
            <w:rPr>
              <w:rFonts w:hint="eastAsia" w:ascii="仿宋" w:hAnsi="仿宋" w:eastAsia="仿宋" w:cs="仿宋"/>
              <w:b w:val="0"/>
              <w:bCs w:val="0"/>
              <w:sz w:val="22"/>
              <w:szCs w:val="22"/>
            </w:rPr>
            <w:fldChar w:fldCharType="begin"/>
          </w:r>
          <w:r>
            <w:rPr>
              <w:rFonts w:hint="eastAsia" w:ascii="仿宋" w:hAnsi="仿宋" w:eastAsia="仿宋" w:cs="仿宋"/>
              <w:b w:val="0"/>
              <w:bCs w:val="0"/>
              <w:sz w:val="22"/>
              <w:szCs w:val="22"/>
            </w:rPr>
            <w:instrText xml:space="preserve"> HYPERLINK \l "_Toc154058025" </w:instrText>
          </w:r>
          <w:r>
            <w:rPr>
              <w:rFonts w:hint="eastAsia" w:ascii="仿宋" w:hAnsi="仿宋" w:eastAsia="仿宋" w:cs="仿宋"/>
              <w:b w:val="0"/>
              <w:bCs w:val="0"/>
              <w:sz w:val="22"/>
              <w:szCs w:val="22"/>
            </w:rPr>
            <w:fldChar w:fldCharType="separate"/>
          </w:r>
          <w:r>
            <w:rPr>
              <w:rFonts w:hint="eastAsia" w:ascii="仿宋" w:hAnsi="仿宋" w:eastAsia="仿宋" w:cs="仿宋"/>
              <w:b w:val="0"/>
              <w:bCs w:val="0"/>
              <w:sz w:val="22"/>
              <w:szCs w:val="22"/>
            </w:rPr>
            <w:t>附录III 安慰剂检验</w:t>
          </w:r>
          <w:r>
            <w:rPr>
              <w:rFonts w:hint="eastAsia" w:ascii="仿宋" w:hAnsi="仿宋" w:eastAsia="仿宋" w:cs="仿宋"/>
              <w:b w:val="0"/>
              <w:bCs w:val="0"/>
              <w:sz w:val="22"/>
              <w:szCs w:val="22"/>
            </w:rPr>
            <w:tab/>
          </w:r>
          <w:r>
            <w:rPr>
              <w:rFonts w:hint="eastAsia" w:ascii="仿宋" w:hAnsi="仿宋" w:eastAsia="仿宋" w:cs="仿宋"/>
              <w:b w:val="0"/>
              <w:bCs w:val="0"/>
              <w:sz w:val="22"/>
              <w:szCs w:val="22"/>
            </w:rPr>
            <w:fldChar w:fldCharType="begin"/>
          </w:r>
          <w:r>
            <w:rPr>
              <w:rFonts w:hint="eastAsia" w:ascii="仿宋" w:hAnsi="仿宋" w:eastAsia="仿宋" w:cs="仿宋"/>
              <w:b w:val="0"/>
              <w:bCs w:val="0"/>
              <w:sz w:val="22"/>
              <w:szCs w:val="22"/>
            </w:rPr>
            <w:instrText xml:space="preserve"> PAGEREF _Toc154058025 \h </w:instrText>
          </w:r>
          <w:r>
            <w:rPr>
              <w:rFonts w:hint="eastAsia" w:ascii="仿宋" w:hAnsi="仿宋" w:eastAsia="仿宋" w:cs="仿宋"/>
              <w:b w:val="0"/>
              <w:bCs w:val="0"/>
              <w:sz w:val="22"/>
              <w:szCs w:val="22"/>
            </w:rPr>
            <w:fldChar w:fldCharType="separate"/>
          </w:r>
          <w:r>
            <w:rPr>
              <w:rFonts w:hint="eastAsia" w:ascii="仿宋" w:hAnsi="仿宋" w:eastAsia="仿宋" w:cs="仿宋"/>
              <w:b w:val="0"/>
              <w:bCs w:val="0"/>
              <w:sz w:val="22"/>
              <w:szCs w:val="22"/>
            </w:rPr>
            <w:t>3</w:t>
          </w:r>
          <w:r>
            <w:rPr>
              <w:rFonts w:hint="eastAsia" w:ascii="仿宋" w:hAnsi="仿宋" w:eastAsia="仿宋" w:cs="仿宋"/>
              <w:b w:val="0"/>
              <w:bCs w:val="0"/>
              <w:sz w:val="22"/>
              <w:szCs w:val="22"/>
            </w:rPr>
            <w:fldChar w:fldCharType="end"/>
          </w:r>
          <w:r>
            <w:rPr>
              <w:rFonts w:hint="eastAsia" w:ascii="仿宋" w:hAnsi="仿宋" w:eastAsia="仿宋" w:cs="仿宋"/>
              <w:b w:val="0"/>
              <w:bCs w:val="0"/>
              <w:sz w:val="22"/>
              <w:szCs w:val="22"/>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楷体" w:hAnsi="楷体" w:eastAsia="楷体" w:cs="楷体"/>
              <w:b w:val="0"/>
              <w:bCs w:val="0"/>
              <w:sz w:val="28"/>
              <w:szCs w:val="28"/>
            </w:rPr>
          </w:pPr>
          <w:r>
            <w:rPr>
              <w:rFonts w:hint="eastAsia" w:ascii="仿宋" w:hAnsi="仿宋" w:eastAsia="仿宋" w:cs="仿宋"/>
              <w:b w:val="0"/>
              <w:bCs w:val="0"/>
              <w:sz w:val="22"/>
              <w:szCs w:val="22"/>
            </w:rPr>
            <w:fldChar w:fldCharType="end"/>
          </w:r>
        </w:p>
      </w:sdtContent>
    </w:sdt>
    <w:p>
      <w:pPr>
        <w:jc w:val="center"/>
      </w:pPr>
    </w:p>
    <w:p>
      <w:pPr>
        <w:jc w:val="center"/>
      </w:pPr>
    </w:p>
    <w:p>
      <w:pPr>
        <w:jc w:val="center"/>
        <w:sectPr>
          <w:headerReference r:id="rId3" w:type="default"/>
          <w:pgSz w:w="11906" w:h="16838"/>
          <w:pgMar w:top="1440" w:right="1800" w:bottom="1440" w:left="1800" w:header="851" w:footer="992" w:gutter="0"/>
          <w:cols w:space="425" w:num="1"/>
          <w:docGrid w:type="lines" w:linePitch="312" w:charSpace="0"/>
        </w:sectPr>
      </w:pPr>
    </w:p>
    <w:p>
      <w:pPr>
        <w:pStyle w:val="2"/>
        <w:jc w:val="center"/>
        <w:rPr>
          <w:rFonts w:hint="eastAsia" w:ascii="楷体" w:hAnsi="楷体" w:eastAsia="楷体" w:cs="楷体"/>
          <w:b w:val="0"/>
          <w:bCs w:val="0"/>
        </w:rPr>
      </w:pPr>
      <w:bookmarkStart w:id="0" w:name="_Toc154058023"/>
      <w:r>
        <w:rPr>
          <w:rFonts w:hint="eastAsia" w:ascii="楷体" w:hAnsi="楷体" w:eastAsia="楷体" w:cs="楷体"/>
          <w:b w:val="0"/>
          <w:bCs w:val="0"/>
        </w:rPr>
        <w:t>附录I 使用非参估计方法确定污染企业的影响范围</w:t>
      </w:r>
      <w:bookmarkEnd w:id="0"/>
    </w:p>
    <w:p>
      <w:pPr>
        <w:ind w:firstLine="420" w:firstLineChars="200"/>
        <w:rPr>
          <w:rFonts w:hint="eastAsia" w:ascii="宋体" w:hAnsi="宋体" w:cs="Times New Roman"/>
          <w:bCs/>
          <w:szCs w:val="24"/>
        </w:rPr>
      </w:pPr>
      <w:r>
        <w:rPr>
          <w:rFonts w:hint="eastAsia"/>
        </w:rPr>
        <w:t>为了准确识别污染企业的影响范围，参照</w:t>
      </w:r>
      <w:r>
        <w:fldChar w:fldCharType="begin"/>
      </w:r>
      <w:r>
        <w:instrText xml:space="preserve"> ADDIN EN.CITE &lt;EndNote&gt;&lt;Cite AuthorYear="1"&gt;&lt;Author&gt;Muehlenbachs&lt;/Author&gt;&lt;Year&gt;2015&lt;/Year&gt;&lt;RecNum&gt;152&lt;/RecNum&gt;&lt;DisplayText&gt;Muehlenbachs et al. (2015)&lt;/DisplayText&gt;&lt;record&gt;&lt;rec-number&gt;152&lt;/rec-number&gt;&lt;foreign-keys&gt;&lt;key app="EN" db-id="2xtv0fvfgwfpx9eewz9pwptyt95prswextet" timestamp="1624714578"&gt;152&lt;/key&gt;&lt;/foreign-keys&gt;&lt;ref-type name="Journal Article"&gt;17&lt;/ref-type&gt;&lt;contributors&gt;&lt;authors&gt;&lt;author&gt;Muehlenbachs, Lucija&lt;/author&gt;&lt;author&gt;Spiller, Elisheba&lt;/author&gt;&lt;author&gt;Timmins, Christopher&lt;/author&gt;&lt;/authors&gt;&lt;/contributors&gt;&lt;titles&gt;&lt;title&gt;The housing market impacts of shale gas development&lt;/title&gt;&lt;secondary-title&gt;American Economic Review&lt;/secondary-title&gt;&lt;/titles&gt;&lt;periodical&gt;&lt;full-title&gt;American Economic Review&lt;/full-title&gt;&lt;/periodical&gt;&lt;pages&gt;3633-59&lt;/pages&gt;&lt;volume&gt;105&lt;/volume&gt;&lt;number&gt;12&lt;/number&gt;&lt;dates&gt;&lt;year&gt;2015&lt;/year&gt;&lt;/dates&gt;&lt;urls&gt;&lt;related-urls&gt;&lt;url&gt;&lt;style face="underline" font="default" size="100%"&gt;http://www.aeaweb.org/articles?id=10.1257/aer.20140079&lt;/style&gt;&lt;/url&gt;&lt;/related-urls&gt;&lt;/urls&gt;&lt;electronic-resource-num&gt;doi: 10.1257/aer.20140079&lt;/electronic-resource-num&gt;&lt;/record&gt;&lt;/Cite&gt;&lt;/EndNote&gt;</w:instrText>
      </w:r>
      <w:r>
        <w:fldChar w:fldCharType="separate"/>
      </w:r>
      <w:r>
        <w:t>Muehlenbachs et al. (2015)</w:t>
      </w:r>
      <w:r>
        <w:fldChar w:fldCharType="end"/>
      </w:r>
      <w:r>
        <w:rPr>
          <w:rFonts w:hint="eastAsia"/>
        </w:rPr>
        <w:t>的方法，我们使用非参估计的方法确定污染企业的影响范围</w:t>
      </w:r>
      <w:r>
        <w:rPr>
          <w:i/>
          <w:iCs/>
        </w:rPr>
        <w:t>d</w:t>
      </w:r>
      <w:r>
        <w:rPr>
          <w:rFonts w:hint="eastAsia"/>
        </w:rPr>
        <w:t>。</w:t>
      </w:r>
      <w:r>
        <w:rPr>
          <w:rFonts w:hint="eastAsia" w:ascii="宋体" w:hAnsi="宋体"/>
          <w:szCs w:val="24"/>
        </w:rPr>
        <w:t>具体地，</w:t>
      </w:r>
      <w:r>
        <w:rPr>
          <w:rFonts w:hint="eastAsia" w:ascii="宋体" w:hAnsi="宋体" w:cs="Times New Roman"/>
          <w:bCs/>
          <w:szCs w:val="24"/>
        </w:rPr>
        <w:t>我们首先通过匹配最近污染点的距离估计两个价格函数：一个是《信息公开办法》实施前发生的住宅交易样本，另一个是在《信息公开办法》实施后发生的住宅交易样本。其次，为了提高估计效率，我们仅保留与污染企业最近距离为</w:t>
      </w:r>
      <w:r>
        <w:rPr>
          <w:rFonts w:cs="Times New Roman"/>
          <w:bCs/>
          <w:szCs w:val="24"/>
        </w:rPr>
        <w:t>10</w:t>
      </w:r>
      <w:r>
        <w:rPr>
          <w:rFonts w:hint="eastAsia"/>
        </w:rPr>
        <w:t>公里</w:t>
      </w:r>
      <w:r>
        <w:rPr>
          <w:rFonts w:hint="eastAsia" w:ascii="宋体" w:hAnsi="宋体" w:cs="Times New Roman"/>
          <w:bCs/>
          <w:szCs w:val="24"/>
        </w:rPr>
        <w:t>以内的样本。</w:t>
      </w:r>
      <w:r>
        <w:rPr>
          <w:rFonts w:hint="eastAsia"/>
        </w:rPr>
        <w:t>估计</w:t>
      </w:r>
      <w:r>
        <w:rPr>
          <w:rFonts w:hint="eastAsia" w:ascii="宋体" w:hAnsi="宋体" w:cs="Times New Roman"/>
          <w:bCs/>
          <w:szCs w:val="24"/>
        </w:rPr>
        <w:t>结果如图</w:t>
      </w:r>
      <w:r>
        <w:rPr>
          <w:rFonts w:hint="eastAsia" w:ascii="宋体" w:hAnsi="宋体" w:eastAsia="宋体" w:cs="宋体"/>
          <w:bCs/>
          <w:szCs w:val="24"/>
        </w:rPr>
        <w:t>Ⅰ</w:t>
      </w:r>
      <w:r>
        <w:rPr>
          <w:rFonts w:ascii="宋体" w:hAnsi="宋体" w:cs="Times New Roman"/>
          <w:bCs/>
          <w:szCs w:val="24"/>
        </w:rPr>
        <w:t>1</w:t>
      </w:r>
      <w:r>
        <w:rPr>
          <w:rFonts w:hint="eastAsia" w:ascii="宋体" w:hAnsi="宋体" w:cs="Times New Roman"/>
          <w:bCs/>
          <w:szCs w:val="24"/>
        </w:rPr>
        <w:t>所示，污染信息公开后，靠近污染点的住宅价格明显要比之前更低，这种价格差异在大约</w:t>
      </w:r>
      <w:r>
        <w:rPr>
          <w:rFonts w:cs="Times New Roman"/>
          <w:bCs/>
          <w:szCs w:val="24"/>
        </w:rPr>
        <w:t>2070</w:t>
      </w:r>
      <w:r>
        <w:rPr>
          <w:rFonts w:hint="eastAsia" w:cs="Times New Roman"/>
          <w:bCs/>
          <w:szCs w:val="24"/>
        </w:rPr>
        <w:t>米</w:t>
      </w:r>
      <w:r>
        <w:rPr>
          <w:rFonts w:hint="eastAsia" w:ascii="宋体" w:hAnsi="宋体" w:cs="Times New Roman"/>
          <w:bCs/>
          <w:szCs w:val="24"/>
        </w:rPr>
        <w:t>处消失。因此，本文将与污染企业距离</w:t>
      </w:r>
      <w:r>
        <w:rPr>
          <w:rFonts w:ascii="宋体" w:hAnsi="宋体" w:cs="Times New Roman"/>
          <w:bCs/>
          <w:szCs w:val="24"/>
        </w:rPr>
        <w:t>0</w:t>
      </w:r>
      <w:r>
        <w:rPr>
          <w:rFonts w:hint="eastAsia" w:ascii="宋体" w:hAnsi="宋体" w:cs="Times New Roman"/>
          <w:bCs/>
          <w:szCs w:val="24"/>
          <w:lang w:eastAsia="zh-CN"/>
        </w:rPr>
        <w:t>—</w:t>
      </w:r>
      <w:r>
        <w:rPr>
          <w:rFonts w:ascii="宋体" w:hAnsi="宋体" w:cs="Times New Roman"/>
          <w:bCs/>
          <w:szCs w:val="24"/>
        </w:rPr>
        <w:t>2070</w:t>
      </w:r>
      <w:r>
        <w:rPr>
          <w:rFonts w:hint="eastAsia" w:ascii="宋体" w:hAnsi="宋体" w:cs="Times New Roman"/>
          <w:bCs/>
          <w:szCs w:val="24"/>
        </w:rPr>
        <w:t>米的住宅小区为处理组。</w:t>
      </w:r>
    </w:p>
    <w:p>
      <w:pPr>
        <w:ind w:firstLine="420" w:firstLineChars="200"/>
        <w:rPr>
          <w:rFonts w:hint="eastAsia" w:ascii="宋体" w:hAnsi="宋体" w:cs="Times New Roman"/>
          <w:bCs/>
          <w:szCs w:val="24"/>
        </w:rPr>
      </w:pPr>
    </w:p>
    <w:p>
      <w:pPr>
        <w:ind w:firstLine="420" w:firstLineChars="200"/>
        <w:rPr>
          <w:rFonts w:hint="eastAsia" w:ascii="宋体" w:hAnsi="宋体" w:cs="Times New Roman"/>
          <w:bCs/>
          <w:szCs w:val="24"/>
        </w:rPr>
      </w:pPr>
    </w:p>
    <w:p>
      <w:pPr>
        <w:jc w:val="center"/>
        <w:rPr>
          <w:rFonts w:ascii="宋体" w:hAnsi="宋体" w:cs="Times New Roman"/>
          <w:bCs/>
          <w:szCs w:val="24"/>
        </w:rPr>
      </w:pPr>
      <w:r>
        <w:drawing>
          <wp:inline distT="0" distB="0" distL="0" distR="0">
            <wp:extent cx="3599815" cy="2620010"/>
            <wp:effectExtent l="0" t="0" r="635"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00000" cy="2620167"/>
                    </a:xfrm>
                    <a:prstGeom prst="rect">
                      <a:avLst/>
                    </a:prstGeom>
                    <a:noFill/>
                    <a:ln>
                      <a:noFill/>
                    </a:ln>
                  </pic:spPr>
                </pic:pic>
              </a:graphicData>
            </a:graphic>
          </wp:inline>
        </w:drawing>
      </w:r>
    </w:p>
    <w:p>
      <w:pPr>
        <w:jc w:val="center"/>
        <w:rPr>
          <w:rFonts w:hint="eastAsia" w:ascii="宋体" w:hAnsi="宋体" w:eastAsia="宋体" w:cs="宋体"/>
          <w:b/>
          <w:bCs w:val="0"/>
          <w:sz w:val="20"/>
          <w:szCs w:val="22"/>
        </w:rPr>
      </w:pPr>
      <w:r>
        <w:rPr>
          <w:rFonts w:hint="eastAsia" w:ascii="宋体" w:hAnsi="宋体" w:eastAsia="宋体" w:cs="宋体"/>
          <w:b/>
          <w:bCs w:val="0"/>
          <w:sz w:val="20"/>
          <w:szCs w:val="22"/>
        </w:rPr>
        <w:t xml:space="preserve">图Ⅰ1 </w:t>
      </w:r>
      <w:r>
        <w:rPr>
          <w:rFonts w:hint="eastAsia" w:ascii="宋体" w:hAnsi="宋体" w:eastAsia="宋体" w:cs="宋体"/>
          <w:b/>
          <w:bCs w:val="0"/>
          <w:sz w:val="20"/>
          <w:szCs w:val="21"/>
        </w:rPr>
        <w:t>污染影响范围与房价关系的半参数估计</w:t>
      </w:r>
    </w:p>
    <w:p>
      <w:pPr>
        <w:jc w:val="center"/>
        <w:rPr>
          <w:rFonts w:ascii="宋体" w:hAnsi="宋体" w:cs="Times New Roman"/>
          <w:bCs/>
          <w:szCs w:val="24"/>
        </w:rPr>
      </w:pPr>
    </w:p>
    <w:p>
      <w:pPr>
        <w:pStyle w:val="2"/>
        <w:rPr>
          <w:rFonts w:hint="eastAsia"/>
        </w:rPr>
      </w:pPr>
      <w:bookmarkStart w:id="1" w:name="_Toc154058024"/>
    </w:p>
    <w:p>
      <w:pPr>
        <w:rPr>
          <w:rFonts w:hint="eastAsia"/>
        </w:rPr>
      </w:pPr>
    </w:p>
    <w:p>
      <w:pPr>
        <w:pStyle w:val="2"/>
        <w:rPr>
          <w:rFonts w:hint="eastAsia"/>
        </w:rPr>
      </w:pPr>
    </w:p>
    <w:p>
      <w:pPr>
        <w:pStyle w:val="2"/>
        <w:rPr>
          <w:rFonts w:hint="eastAsia"/>
        </w:rPr>
      </w:pPr>
    </w:p>
    <w:p>
      <w:pPr>
        <w:bidi w:val="0"/>
        <w:rPr>
          <w:rFonts w:hint="eastAsia"/>
        </w:rPr>
      </w:pPr>
    </w:p>
    <w:p>
      <w:pPr>
        <w:bidi w:val="0"/>
        <w:jc w:val="center"/>
        <w:rPr>
          <w:rFonts w:hint="eastAsia" w:ascii="楷体" w:hAnsi="楷体" w:eastAsia="楷体" w:cs="楷体"/>
          <w:sz w:val="28"/>
          <w:szCs w:val="32"/>
        </w:rPr>
      </w:pPr>
      <w:r>
        <w:rPr>
          <w:rFonts w:hint="eastAsia" w:ascii="楷体" w:hAnsi="楷体" w:eastAsia="楷体" w:cs="楷体"/>
          <w:sz w:val="28"/>
          <w:szCs w:val="32"/>
        </w:rPr>
        <w:t>附录II 污染信息公开效应的空间溢出范围</w:t>
      </w:r>
      <w:bookmarkEnd w:id="1"/>
    </w:p>
    <w:p>
      <w:pPr>
        <w:pStyle w:val="16"/>
        <w:rPr>
          <w:rFonts w:hint="eastAsia"/>
        </w:rPr>
      </w:pPr>
      <w:r>
        <w:rPr>
          <w:rFonts w:hint="eastAsia"/>
        </w:rPr>
        <w:t>进一步的，我们还检验了污染信息公开效应的空间溢出范围。具体地，我们以</w:t>
      </w:r>
      <w:r>
        <w:t>500</w:t>
      </w:r>
      <w:r>
        <w:rPr>
          <w:rFonts w:hint="eastAsia"/>
        </w:rPr>
        <w:t>米为间隔带，将与污染企业距离为</w:t>
      </w:r>
      <w:r>
        <w:t>0</w:t>
      </w:r>
      <w:r>
        <w:rPr>
          <w:rFonts w:hint="eastAsia"/>
          <w:lang w:eastAsia="zh-CN"/>
        </w:rPr>
        <w:t>—</w:t>
      </w:r>
      <w:r>
        <w:t>5000</w:t>
      </w:r>
      <w:r>
        <w:rPr>
          <w:rFonts w:hint="eastAsia"/>
        </w:rPr>
        <w:t>米的小区分为</w:t>
      </w:r>
      <w:r>
        <w:t>10</w:t>
      </w:r>
      <w:r>
        <w:rPr>
          <w:rFonts w:hint="eastAsia"/>
        </w:rPr>
        <w:t>个处理组子集并与</w:t>
      </w:r>
      <m:oMath>
        <m:sSub>
          <m:sSubPr>
            <m:ctrlPr>
              <w:rPr>
                <w:rFonts w:ascii="Cambria Math" w:hAnsi="Cambria Math"/>
              </w:rPr>
            </m:ctrlPr>
          </m:sSubPr>
          <m:e>
            <m:r>
              <m:rPr/>
              <w:rPr>
                <w:rFonts w:ascii="Cambria Math" w:hAnsi="Cambria Math"/>
              </w:rPr>
              <m:t>Disclose</m:t>
            </m:r>
            <m:ctrlPr>
              <w:rPr>
                <w:rFonts w:ascii="Cambria Math" w:hAnsi="Cambria Math"/>
              </w:rPr>
            </m:ctrlPr>
          </m:e>
          <m:sub>
            <m:r>
              <m:rPr/>
              <w:rPr>
                <w:rFonts w:ascii="Cambria Math" w:hAnsi="Cambria Math"/>
              </w:rPr>
              <m:t>t</m:t>
            </m:r>
            <m:r>
              <m:rPr>
                <m:sty m:val="p"/>
              </m:rPr>
              <w:rPr>
                <w:rFonts w:hint="eastAsia" w:ascii="Cambria Math" w:hAnsi="Cambria Math"/>
              </w:rPr>
              <m:t>≥</m:t>
            </m:r>
            <m:r>
              <m:rPr>
                <m:sty m:val="p"/>
              </m:rPr>
              <w:rPr>
                <w:rFonts w:ascii="Cambria Math" w:hAnsi="Cambria Math"/>
              </w:rPr>
              <m:t>2014</m:t>
            </m:r>
            <m:ctrlPr>
              <w:rPr>
                <w:rFonts w:ascii="Cambria Math" w:hAnsi="Cambria Math"/>
              </w:rPr>
            </m:ctrlPr>
          </m:sub>
        </m:sSub>
      </m:oMath>
      <w:r>
        <w:rPr>
          <w:rFonts w:hint="eastAsia"/>
        </w:rPr>
        <w:t>交乘，以位于污染企业</w:t>
      </w:r>
      <w:r>
        <w:t>5000</w:t>
      </w:r>
      <w:r>
        <w:rPr>
          <w:rFonts w:hint="eastAsia"/>
        </w:rPr>
        <w:t>米以外的小区为控制组进行回归，结果如图</w:t>
      </w:r>
      <w:r>
        <w:rPr>
          <w:rFonts w:hint="eastAsia" w:ascii="仿宋" w:hAnsi="仿宋" w:eastAsia="仿宋" w:cs="仿宋"/>
        </w:rPr>
        <w:t>Ⅱ</w:t>
      </w:r>
      <w:r>
        <w:rPr>
          <w:rFonts w:hint="eastAsia"/>
          <w:lang w:val="en-US" w:eastAsia="zh-CN"/>
        </w:rPr>
        <w:t>1</w:t>
      </w:r>
      <w:r>
        <w:rPr>
          <w:rFonts w:hint="eastAsia"/>
        </w:rPr>
        <w:t>所示。总体上，污染信息公开显著降低了公众对污染企业附近小区的支付意愿，且这一影响在</w:t>
      </w:r>
      <w:r>
        <w:t>2500</w:t>
      </w:r>
      <w:r>
        <w:rPr>
          <w:rFonts w:hint="eastAsia"/>
        </w:rPr>
        <w:t>米左右消失，也再次验证了我们基准回归中以与污染企业距离</w:t>
      </w:r>
      <w:r>
        <w:t>0</w:t>
      </w:r>
      <w:r>
        <w:rPr>
          <w:rFonts w:hint="eastAsia"/>
          <w:lang w:eastAsia="zh-CN"/>
        </w:rPr>
        <w:t>—</w:t>
      </w:r>
      <w:r>
        <w:t>2070米的住宅小区为处理组</w:t>
      </w:r>
      <w:r>
        <w:rPr>
          <w:rFonts w:hint="eastAsia"/>
        </w:rPr>
        <w:t>，以</w:t>
      </w:r>
      <w:r>
        <w:t>与污染企业距离为2500 – 5000米的住宅小区作为控制组</w:t>
      </w:r>
      <w:r>
        <w:rPr>
          <w:rFonts w:hint="eastAsia"/>
        </w:rPr>
        <w:t>的合理性。</w:t>
      </w:r>
    </w:p>
    <w:p>
      <w:pPr>
        <w:pStyle w:val="16"/>
        <w:rPr>
          <w:rFonts w:hint="eastAsia"/>
        </w:rPr>
      </w:pPr>
    </w:p>
    <w:p>
      <w:pPr>
        <w:pStyle w:val="16"/>
        <w:rPr>
          <w:rFonts w:hint="eastAsia"/>
        </w:rPr>
      </w:pPr>
    </w:p>
    <w:p>
      <w:pPr>
        <w:pStyle w:val="16"/>
        <w:ind w:firstLine="0"/>
        <w:jc w:val="center"/>
      </w:pPr>
      <w:r>
        <w:drawing>
          <wp:inline distT="0" distB="0" distL="0" distR="0">
            <wp:extent cx="3599815" cy="2620010"/>
            <wp:effectExtent l="0" t="0" r="635"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00000" cy="2620167"/>
                    </a:xfrm>
                    <a:prstGeom prst="rect">
                      <a:avLst/>
                    </a:prstGeom>
                    <a:noFill/>
                    <a:ln>
                      <a:noFill/>
                    </a:ln>
                  </pic:spPr>
                </pic:pic>
              </a:graphicData>
            </a:graphic>
          </wp:inline>
        </w:drawing>
      </w:r>
    </w:p>
    <w:p>
      <w:pPr>
        <w:jc w:val="center"/>
        <w:rPr>
          <w:rFonts w:hint="eastAsia" w:ascii="宋体" w:hAnsi="宋体" w:eastAsia="宋体" w:cs="宋体"/>
          <w:b/>
          <w:bCs/>
          <w:sz w:val="20"/>
          <w:szCs w:val="21"/>
        </w:rPr>
      </w:pPr>
      <w:r>
        <w:rPr>
          <w:rFonts w:hint="eastAsia" w:ascii="宋体" w:hAnsi="宋体" w:eastAsia="宋体" w:cs="宋体"/>
          <w:b/>
          <w:bCs/>
          <w:sz w:val="20"/>
          <w:szCs w:val="21"/>
        </w:rPr>
        <w:t>图 Ⅱ</w:t>
      </w:r>
      <w:r>
        <w:rPr>
          <w:rFonts w:hint="eastAsia" w:ascii="宋体" w:hAnsi="宋体" w:eastAsia="宋体" w:cs="宋体"/>
          <w:b/>
          <w:bCs/>
          <w:sz w:val="20"/>
          <w:szCs w:val="21"/>
          <w:lang w:val="en-US" w:eastAsia="zh-CN"/>
        </w:rPr>
        <w:t>1</w:t>
      </w:r>
      <w:r>
        <w:rPr>
          <w:rFonts w:hint="eastAsia" w:ascii="宋体" w:hAnsi="宋体" w:eastAsia="宋体" w:cs="宋体"/>
          <w:b/>
          <w:bCs/>
          <w:sz w:val="20"/>
          <w:szCs w:val="21"/>
        </w:rPr>
        <w:t xml:space="preserve"> 污染信息公开对位于不同距离带小区交易价格的影响</w:t>
      </w:r>
    </w:p>
    <w:p>
      <w:pPr>
        <w:pStyle w:val="20"/>
        <w:rPr>
          <w:sz w:val="18"/>
          <w:szCs w:val="28"/>
        </w:rPr>
      </w:pPr>
      <w:r>
        <w:rPr>
          <w:rFonts w:hint="eastAsia"/>
          <w:sz w:val="18"/>
          <w:szCs w:val="28"/>
        </w:rPr>
        <w:t>注：图中圆点代表估计系数，竖线为估计系数的9</w:t>
      </w:r>
      <w:r>
        <w:rPr>
          <w:sz w:val="18"/>
          <w:szCs w:val="28"/>
        </w:rPr>
        <w:t>5%</w:t>
      </w:r>
      <w:r>
        <w:rPr>
          <w:rFonts w:hint="eastAsia"/>
          <w:sz w:val="18"/>
          <w:szCs w:val="28"/>
        </w:rPr>
        <w:t>置信区间。</w:t>
      </w:r>
    </w:p>
    <w:p>
      <w:pPr>
        <w:pStyle w:val="16"/>
      </w:pPr>
    </w:p>
    <w:p>
      <w:pPr>
        <w:pStyle w:val="2"/>
        <w:rPr>
          <w:rFonts w:hint="eastAsia"/>
        </w:rPr>
      </w:pPr>
      <w:bookmarkStart w:id="2" w:name="_Toc154058025"/>
    </w:p>
    <w:p>
      <w:pPr>
        <w:pStyle w:val="2"/>
        <w:rPr>
          <w:rFonts w:hint="eastAsia"/>
        </w:rPr>
      </w:pPr>
    </w:p>
    <w:p>
      <w:pPr>
        <w:pStyle w:val="2"/>
        <w:rPr>
          <w:rFonts w:hint="eastAsia"/>
        </w:rPr>
      </w:pPr>
    </w:p>
    <w:p>
      <w:pPr>
        <w:pStyle w:val="2"/>
        <w:rPr>
          <w:rFonts w:hint="eastAsia"/>
        </w:rPr>
      </w:pPr>
    </w:p>
    <w:p>
      <w:pPr>
        <w:bidi w:val="0"/>
        <w:rPr>
          <w:rFonts w:hint="eastAsia"/>
        </w:rPr>
      </w:pPr>
    </w:p>
    <w:p>
      <w:pPr>
        <w:bidi w:val="0"/>
        <w:rPr>
          <w:rFonts w:hint="eastAsia"/>
        </w:rPr>
      </w:pPr>
    </w:p>
    <w:p>
      <w:pPr>
        <w:bidi w:val="0"/>
        <w:jc w:val="center"/>
        <w:rPr>
          <w:rFonts w:hint="eastAsia" w:ascii="楷体" w:hAnsi="楷体" w:eastAsia="楷体" w:cs="楷体"/>
          <w:sz w:val="28"/>
          <w:szCs w:val="32"/>
        </w:rPr>
      </w:pPr>
      <w:r>
        <w:rPr>
          <w:rFonts w:hint="eastAsia" w:ascii="楷体" w:hAnsi="楷体" w:eastAsia="楷体" w:cs="楷体"/>
          <w:sz w:val="28"/>
          <w:szCs w:val="32"/>
        </w:rPr>
        <w:t>附录III 安慰剂检验</w:t>
      </w:r>
      <w:bookmarkEnd w:id="2"/>
    </w:p>
    <w:p>
      <w:pPr>
        <w:ind w:firstLine="420" w:firstLineChars="200"/>
        <w:rPr>
          <w:rFonts w:hint="eastAsia"/>
        </w:rPr>
      </w:pPr>
      <w:r>
        <w:rPr>
          <w:rFonts w:hint="eastAsia"/>
        </w:rPr>
        <w:t>为了检验房地产市场价格的变动是否是由于社会经济因素的随机变化驱动的，而不是由于污染信息公开驱动的，我们将受到污染信息公开影响的住宅小区随机分配给5</w:t>
      </w:r>
      <w:r>
        <w:t>000</w:t>
      </w:r>
      <w:r>
        <w:rPr>
          <w:rFonts w:hint="eastAsia"/>
        </w:rPr>
        <w:t>个抽样住宅小区，并按照正文中的式（</w:t>
      </w:r>
      <w:r>
        <w:t>1</w:t>
      </w:r>
      <w:r>
        <w:rPr>
          <w:rFonts w:hint="eastAsia"/>
        </w:rPr>
        <w:t>）重复回归5</w:t>
      </w:r>
      <w:r>
        <w:t>00</w:t>
      </w:r>
      <w:r>
        <w:rPr>
          <w:rFonts w:hint="eastAsia"/>
        </w:rPr>
        <w:t>次。图</w:t>
      </w:r>
      <w:r>
        <w:rPr>
          <w:rFonts w:hint="eastAsia" w:ascii="仿宋" w:hAnsi="仿宋" w:eastAsia="仿宋" w:cs="仿宋"/>
        </w:rPr>
        <w:t>Ⅲ</w:t>
      </w:r>
      <w:r>
        <w:rPr>
          <w:rFonts w:hint="eastAsia"/>
          <w:lang w:val="en-US" w:eastAsia="zh-CN"/>
        </w:rPr>
        <w:t>1</w:t>
      </w:r>
      <w:r>
        <w:rPr>
          <w:rFonts w:hint="eastAsia"/>
        </w:rPr>
        <w:t>为</w:t>
      </w:r>
      <w:r>
        <w:t>500次随机处理后的估计系数</w:t>
      </w:r>
      <w:r>
        <w:rPr>
          <w:rFonts w:hint="eastAsia"/>
        </w:rPr>
        <w:t>和对应</w:t>
      </w:r>
      <w:r>
        <w:rPr>
          <w:rFonts w:hint="eastAsia"/>
          <w:i w:val="0"/>
          <w:iCs w:val="0"/>
        </w:rPr>
        <w:t>P</w:t>
      </w:r>
      <w:r>
        <w:rPr>
          <w:rFonts w:hint="eastAsia"/>
        </w:rPr>
        <w:t>值的密度</w:t>
      </w:r>
      <w:r>
        <w:t>分布，发现估计系数集中分布在零附近，</w:t>
      </w:r>
      <w:r>
        <w:rPr>
          <w:rFonts w:hint="eastAsia"/>
        </w:rPr>
        <w:t>且大部分的估计系数</w:t>
      </w:r>
      <w:r>
        <w:rPr>
          <w:rFonts w:hint="eastAsia"/>
          <w:i w:val="0"/>
          <w:iCs w:val="0"/>
        </w:rPr>
        <w:t>P</w:t>
      </w:r>
      <w:r>
        <w:rPr>
          <w:rFonts w:hint="eastAsia"/>
        </w:rPr>
        <w:t>值均大于1</w:t>
      </w:r>
      <w:r>
        <w:t>0%</w:t>
      </w:r>
      <w:r>
        <w:rPr>
          <w:rFonts w:hint="eastAsia"/>
        </w:rPr>
        <w:t>，</w:t>
      </w:r>
      <w:r>
        <w:t>表明</w:t>
      </w:r>
      <w:r>
        <w:rPr>
          <w:rFonts w:hint="eastAsia"/>
        </w:rPr>
        <w:t>前文中的回归结果不是由于社会经济的随机变化驱动的，回归结果可信。</w:t>
      </w:r>
    </w:p>
    <w:p>
      <w:pPr>
        <w:ind w:firstLine="420" w:firstLineChars="200"/>
        <w:rPr>
          <w:rFonts w:hint="eastAsia"/>
        </w:rPr>
      </w:pPr>
    </w:p>
    <w:p>
      <w:pPr>
        <w:pStyle w:val="16"/>
        <w:jc w:val="center"/>
      </w:pPr>
      <w:r>
        <w:drawing>
          <wp:inline distT="0" distB="0" distL="0" distR="0">
            <wp:extent cx="3599815" cy="2620010"/>
            <wp:effectExtent l="0" t="0" r="635"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600000" cy="2620167"/>
                    </a:xfrm>
                    <a:prstGeom prst="rect">
                      <a:avLst/>
                    </a:prstGeom>
                    <a:noFill/>
                    <a:ln>
                      <a:noFill/>
                    </a:ln>
                  </pic:spPr>
                </pic:pic>
              </a:graphicData>
            </a:graphic>
          </wp:inline>
        </w:drawing>
      </w:r>
    </w:p>
    <w:p>
      <w:pPr>
        <w:pStyle w:val="18"/>
        <w:rPr>
          <w:rFonts w:hint="eastAsia" w:ascii="宋体" w:hAnsi="宋体" w:eastAsia="宋体" w:cs="宋体"/>
          <w:sz w:val="20"/>
          <w:szCs w:val="18"/>
        </w:rPr>
      </w:pPr>
      <w:r>
        <w:rPr>
          <w:rFonts w:hint="eastAsia" w:ascii="宋体" w:hAnsi="宋体" w:eastAsia="宋体" w:cs="宋体"/>
          <w:sz w:val="20"/>
          <w:szCs w:val="18"/>
        </w:rPr>
        <w:t>图 Ⅲ</w:t>
      </w:r>
      <w:r>
        <w:rPr>
          <w:rFonts w:hint="eastAsia" w:ascii="宋体" w:hAnsi="宋体" w:eastAsia="宋体" w:cs="宋体"/>
          <w:sz w:val="20"/>
          <w:szCs w:val="18"/>
          <w:lang w:val="en-US" w:eastAsia="zh-CN"/>
        </w:rPr>
        <w:t>1</w:t>
      </w:r>
      <w:r>
        <w:rPr>
          <w:rFonts w:hint="eastAsia" w:ascii="宋体" w:hAnsi="宋体" w:eastAsia="宋体" w:cs="宋体"/>
          <w:sz w:val="20"/>
          <w:szCs w:val="18"/>
        </w:rPr>
        <w:t>安慰剂检验</w:t>
      </w:r>
    </w:p>
    <w:p>
      <w:pPr>
        <w:pStyle w:val="2"/>
        <w:jc w:val="center"/>
        <w:rPr>
          <w:rFonts w:hint="eastAsia"/>
          <w:b w:val="0"/>
          <w:bCs w:val="0"/>
        </w:rPr>
      </w:pPr>
      <w:bookmarkStart w:id="3" w:name="_Toc154058026"/>
    </w:p>
    <w:p>
      <w:pPr>
        <w:pStyle w:val="2"/>
        <w:jc w:val="center"/>
        <w:rPr>
          <w:rFonts w:hint="eastAsia"/>
          <w:b w:val="0"/>
          <w:bCs w:val="0"/>
        </w:rPr>
      </w:pPr>
    </w:p>
    <w:p>
      <w:pPr>
        <w:pStyle w:val="2"/>
        <w:jc w:val="center"/>
        <w:rPr>
          <w:b w:val="0"/>
          <w:bCs w:val="0"/>
        </w:rPr>
      </w:pPr>
      <w:r>
        <w:rPr>
          <w:rFonts w:hint="eastAsia"/>
          <w:b w:val="0"/>
          <w:bCs w:val="0"/>
        </w:rPr>
        <w:t>参考文献</w:t>
      </w:r>
      <w:bookmarkEnd w:id="3"/>
    </w:p>
    <w:p>
      <w:pPr>
        <w:pStyle w:val="13"/>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ADDIN EN.REFLIST </w:instrText>
      </w:r>
      <w:r>
        <w:rPr>
          <w:rFonts w:hint="eastAsia" w:ascii="仿宋" w:hAnsi="仿宋" w:eastAsia="仿宋" w:cs="仿宋"/>
          <w:sz w:val="20"/>
          <w:szCs w:val="20"/>
        </w:rPr>
        <w:fldChar w:fldCharType="separate"/>
      </w:r>
      <w:r>
        <w:rPr>
          <w:rFonts w:hint="eastAsia" w:ascii="仿宋" w:hAnsi="仿宋" w:eastAsia="仿宋" w:cs="仿宋"/>
          <w:b/>
          <w:sz w:val="20"/>
          <w:szCs w:val="20"/>
        </w:rPr>
        <w:t>Muehlenbachs, L</w:t>
      </w:r>
      <w:r>
        <w:rPr>
          <w:rFonts w:hint="eastAsia" w:ascii="仿宋" w:hAnsi="仿宋" w:eastAsia="仿宋" w:cs="仿宋"/>
          <w:b/>
          <w:sz w:val="20"/>
          <w:szCs w:val="20"/>
          <w:lang w:val="en-US" w:eastAsia="zh-CN"/>
        </w:rPr>
        <w:t>.,</w:t>
      </w:r>
      <w:r>
        <w:rPr>
          <w:rFonts w:hint="eastAsia" w:ascii="仿宋" w:hAnsi="仿宋" w:eastAsia="仿宋" w:cs="仿宋"/>
          <w:b/>
          <w:sz w:val="20"/>
          <w:szCs w:val="20"/>
        </w:rPr>
        <w:t xml:space="preserve"> E</w:t>
      </w:r>
      <w:r>
        <w:rPr>
          <w:rFonts w:hint="eastAsia" w:ascii="仿宋" w:hAnsi="仿宋" w:eastAsia="仿宋" w:cs="仿宋"/>
          <w:b/>
          <w:sz w:val="20"/>
          <w:szCs w:val="20"/>
          <w:lang w:val="en-US" w:eastAsia="zh-CN"/>
        </w:rPr>
        <w:t>.</w:t>
      </w:r>
      <w:r>
        <w:rPr>
          <w:rFonts w:hint="eastAsia" w:ascii="仿宋" w:hAnsi="仿宋" w:eastAsia="仿宋" w:cs="仿宋"/>
          <w:b/>
          <w:sz w:val="20"/>
          <w:szCs w:val="20"/>
        </w:rPr>
        <w:t xml:space="preserve"> Spiller</w:t>
      </w:r>
      <w:r>
        <w:rPr>
          <w:rFonts w:hint="eastAsia" w:ascii="仿宋" w:hAnsi="仿宋" w:eastAsia="仿宋" w:cs="仿宋"/>
          <w:b/>
          <w:sz w:val="20"/>
          <w:szCs w:val="20"/>
          <w:lang w:val="en-US" w:eastAsia="zh-CN"/>
        </w:rPr>
        <w:t>,</w:t>
      </w:r>
      <w:r>
        <w:rPr>
          <w:rFonts w:hint="eastAsia" w:ascii="仿宋" w:hAnsi="仿宋" w:eastAsia="仿宋" w:cs="仿宋"/>
          <w:b/>
          <w:sz w:val="20"/>
          <w:szCs w:val="20"/>
        </w:rPr>
        <w:t xml:space="preserve"> and C</w:t>
      </w:r>
      <w:r>
        <w:rPr>
          <w:rFonts w:hint="eastAsia" w:ascii="仿宋" w:hAnsi="仿宋" w:eastAsia="仿宋" w:cs="仿宋"/>
          <w:b/>
          <w:sz w:val="20"/>
          <w:szCs w:val="20"/>
          <w:lang w:val="en-US" w:eastAsia="zh-CN"/>
        </w:rPr>
        <w:t>.</w:t>
      </w:r>
      <w:r>
        <w:rPr>
          <w:rFonts w:hint="eastAsia" w:ascii="仿宋" w:hAnsi="仿宋" w:eastAsia="仿宋" w:cs="仿宋"/>
          <w:b/>
          <w:sz w:val="20"/>
          <w:szCs w:val="20"/>
        </w:rPr>
        <w:t xml:space="preserve"> Timmins</w:t>
      </w:r>
      <w:r>
        <w:rPr>
          <w:rFonts w:hint="eastAsia" w:ascii="仿宋" w:hAnsi="仿宋" w:eastAsia="仿宋" w:cs="仿宋"/>
          <w:b/>
          <w:sz w:val="20"/>
          <w:szCs w:val="20"/>
          <w:lang w:val="en-US" w:eastAsia="zh-CN"/>
        </w:rPr>
        <w:t>,</w:t>
      </w:r>
      <w:r>
        <w:rPr>
          <w:rFonts w:hint="eastAsia" w:ascii="仿宋" w:hAnsi="仿宋" w:eastAsia="仿宋" w:cs="仿宋"/>
          <w:sz w:val="20"/>
          <w:szCs w:val="20"/>
        </w:rPr>
        <w:t xml:space="preserve"> "The Housing Market Impacts </w:t>
      </w:r>
      <w:r>
        <w:rPr>
          <w:rFonts w:hint="eastAsia" w:ascii="仿宋" w:hAnsi="仿宋" w:eastAsia="仿宋" w:cs="仿宋"/>
          <w:sz w:val="20"/>
          <w:szCs w:val="20"/>
          <w:lang w:val="en-US" w:eastAsia="zh-CN"/>
        </w:rPr>
        <w:t>o</w:t>
      </w:r>
      <w:r>
        <w:rPr>
          <w:rFonts w:hint="eastAsia" w:ascii="仿宋" w:hAnsi="仿宋" w:eastAsia="仿宋" w:cs="仿宋"/>
          <w:sz w:val="20"/>
          <w:szCs w:val="20"/>
        </w:rPr>
        <w:t>f Shale Gas Development"</w:t>
      </w:r>
      <w:r>
        <w:rPr>
          <w:rFonts w:hint="eastAsia" w:ascii="仿宋" w:hAnsi="仿宋" w:eastAsia="仿宋" w:cs="仿宋"/>
          <w:sz w:val="20"/>
          <w:szCs w:val="20"/>
          <w:lang w:val="en-US" w:eastAsia="zh-CN"/>
        </w:rPr>
        <w:t>,</w:t>
      </w:r>
      <w:r>
        <w:rPr>
          <w:rFonts w:hint="eastAsia" w:ascii="仿宋" w:hAnsi="仿宋" w:eastAsia="仿宋" w:cs="仿宋"/>
          <w:sz w:val="20"/>
          <w:szCs w:val="20"/>
        </w:rPr>
        <w:t xml:space="preserve"> </w:t>
      </w:r>
      <w:r>
        <w:rPr>
          <w:rFonts w:hint="eastAsia" w:ascii="仿宋" w:hAnsi="仿宋" w:eastAsia="仿宋" w:cs="仿宋"/>
          <w:i/>
          <w:sz w:val="20"/>
          <w:szCs w:val="20"/>
        </w:rPr>
        <w:t>American Economic Review</w:t>
      </w:r>
      <w:r>
        <w:rPr>
          <w:rFonts w:hint="eastAsia" w:ascii="仿宋" w:hAnsi="仿宋" w:eastAsia="仿宋" w:cs="仿宋"/>
          <w:sz w:val="20"/>
          <w:szCs w:val="20"/>
        </w:rPr>
        <w:t>,2015</w:t>
      </w:r>
      <w:r>
        <w:rPr>
          <w:rFonts w:hint="eastAsia" w:ascii="仿宋" w:hAnsi="仿宋" w:eastAsia="仿宋" w:cs="仿宋"/>
          <w:sz w:val="20"/>
          <w:szCs w:val="20"/>
          <w:lang w:val="en-US" w:eastAsia="zh-CN"/>
        </w:rPr>
        <w:t>,</w:t>
      </w:r>
      <w:r>
        <w:rPr>
          <w:rFonts w:hint="eastAsia" w:ascii="仿宋" w:hAnsi="仿宋" w:eastAsia="仿宋" w:cs="仿宋"/>
          <w:sz w:val="20"/>
          <w:szCs w:val="20"/>
        </w:rPr>
        <w:t>105(12),3633-59.</w:t>
      </w:r>
    </w:p>
    <w:p>
      <w:r>
        <w:rPr>
          <w:rFonts w:hint="eastAsia" w:ascii="仿宋" w:hAnsi="仿宋" w:eastAsia="仿宋" w:cs="仿宋"/>
          <w:sz w:val="20"/>
          <w:szCs w:val="20"/>
        </w:rPr>
        <w:fldChar w:fldCharType="end"/>
      </w:r>
    </w:p>
    <w:p/>
    <w:p/>
    <w:p/>
    <w:p>
      <w:bookmarkStart w:id="4" w:name="_GoBack"/>
      <w:bookmarkEnd w:id="4"/>
    </w:p>
    <w:p/>
    <w:p>
      <w:pPr>
        <w:rPr>
          <w:rFonts w:hint="eastAsia" w:ascii="宋体" w:hAnsi="宋体" w:eastAsia="宋体" w:cs="宋体"/>
          <w:b/>
          <w:bCs/>
          <w:color w:val="auto"/>
          <w:kern w:val="0"/>
          <w:szCs w:val="21"/>
        </w:rPr>
      </w:pPr>
      <w:r>
        <w:rPr>
          <w:rFonts w:hint="eastAsia" w:ascii="宋体" w:hAnsi="宋体" w:eastAsia="宋体" w:cs="宋体"/>
          <w:b/>
          <w:color w:val="auto"/>
          <w:szCs w:val="22"/>
        </w:rPr>
        <w:t>注：该附录是期刊所发表论文的组成部分，同样视为作者公开发表的内容。如研究中使用该附录中的内容，</w:t>
      </w:r>
      <w:r>
        <w:rPr>
          <w:rFonts w:hint="eastAsia" w:ascii="宋体" w:hAnsi="宋体" w:eastAsia="宋体" w:cs="宋体"/>
          <w:b/>
          <w:bCs/>
          <w:color w:val="auto"/>
          <w:kern w:val="0"/>
          <w:szCs w:val="21"/>
        </w:rPr>
        <w:t>请务必在研究成果上注明</w:t>
      </w:r>
      <w:r>
        <w:rPr>
          <w:rFonts w:hint="eastAsia" w:ascii="宋体" w:hAnsi="宋体" w:eastAsia="宋体" w:cs="宋体"/>
          <w:b/>
          <w:bCs/>
          <w:color w:val="auto"/>
          <w:kern w:val="0"/>
          <w:szCs w:val="21"/>
          <w:lang w:val="en-US" w:eastAsia="zh-CN"/>
        </w:rPr>
        <w:t>附录</w:t>
      </w:r>
      <w:r>
        <w:rPr>
          <w:rFonts w:hint="eastAsia" w:ascii="宋体" w:hAnsi="宋体" w:eastAsia="宋体" w:cs="宋体"/>
          <w:b/>
          <w:bCs/>
          <w:color w:val="auto"/>
          <w:kern w:val="0"/>
          <w:szCs w:val="21"/>
        </w:rPr>
        <w:t>下载出处</w:t>
      </w:r>
      <w:r>
        <w:rPr>
          <w:rFonts w:hint="eastAsia" w:ascii="宋体" w:hAnsi="宋体" w:eastAsia="宋体" w:cs="宋体"/>
          <w:color w:val="auto"/>
          <w:kern w:val="0"/>
          <w:szCs w:val="21"/>
        </w:rPr>
        <w:t>。</w:t>
      </w:r>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经济学</w:t>
    </w:r>
    <w:r>
      <w:rPr>
        <w:rFonts w:hint="eastAsia" w:ascii="仿宋" w:hAnsi="仿宋" w:eastAsia="仿宋" w:cs="仿宋"/>
        <w:lang w:eastAsia="zh-CN"/>
      </w:rPr>
      <w:t>》（</w:t>
    </w:r>
    <w:r>
      <w:rPr>
        <w:rFonts w:hint="eastAsia" w:ascii="仿宋" w:hAnsi="仿宋" w:eastAsia="仿宋" w:cs="仿宋"/>
        <w:lang w:val="en-US" w:eastAsia="zh-CN"/>
      </w:rPr>
      <w:t>季刊</w:t>
    </w:r>
    <w:r>
      <w:rPr>
        <w:rFonts w:hint="eastAsia" w:ascii="仿宋" w:hAnsi="仿宋" w:eastAsia="仿宋" w:cs="仿宋"/>
        <w:lang w:eastAsia="zh-CN"/>
      </w:rPr>
      <w:t>）</w:t>
    </w:r>
    <w:r>
      <w:rPr>
        <w:rFonts w:hint="eastAsia" w:ascii="仿宋" w:hAnsi="仿宋" w:cs="仿宋"/>
        <w:lang w:val="en-US" w:eastAsia="zh-CN"/>
      </w:rPr>
      <w:t xml:space="preserve">                                                              </w:t>
    </w:r>
    <w:r>
      <w:rPr>
        <w:rFonts w:hint="eastAsia" w:ascii="仿宋" w:hAnsi="仿宋" w:eastAsia="仿宋" w:cs="仿宋"/>
        <w:lang w:val="en-US" w:eastAsia="zh-CN"/>
      </w:rPr>
      <w:t>2024年第1期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czMDQxtzAwt7C0sDRU0lEKTi0uzszPAykwqgUAkuy+mCwAAAA="/>
    <w:docVar w:name="commondata" w:val="eyJoZGlkIjoiZDAxNWZhMmRiMTY5YWI4NjAwOTAyNmUyMjJkNDE2NTcifQ=="/>
    <w:docVar w:name="EN.InstantFormat" w:val="&lt;ENInstantFormat&gt;&lt;Enabled&gt;1&lt;/Enabled&gt;&lt;ScanUnformatted&gt;1&lt;/ScanUnformatted&gt;&lt;ScanChanges&gt;1&lt;/ScanChanges&gt;&lt;Suspended&gt;0&lt;/Suspended&gt;&lt;/ENInstantFormat&gt;"/>
    <w:docVar w:name="EN.Layout" w:val="&lt;ENLayout&gt;&lt;Style&gt;Amer Economic Review&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tv0fvfgwfpx9eewz9pwptyt95prswextet&quot;&gt;EndNote&lt;record-ids&gt;&lt;item&gt;152&lt;/item&gt;&lt;/record-ids&gt;&lt;/item&gt;&lt;/Libraries&gt;"/>
  </w:docVars>
  <w:rsids>
    <w:rsidRoot w:val="00E86159"/>
    <w:rsid w:val="000D6A9D"/>
    <w:rsid w:val="0012709A"/>
    <w:rsid w:val="001A30EC"/>
    <w:rsid w:val="0025044D"/>
    <w:rsid w:val="002E22F0"/>
    <w:rsid w:val="00311ADB"/>
    <w:rsid w:val="00356DA9"/>
    <w:rsid w:val="003C5D7B"/>
    <w:rsid w:val="004B69FD"/>
    <w:rsid w:val="005435C5"/>
    <w:rsid w:val="006343D2"/>
    <w:rsid w:val="006A3E52"/>
    <w:rsid w:val="006A6A76"/>
    <w:rsid w:val="006C3A56"/>
    <w:rsid w:val="00776F90"/>
    <w:rsid w:val="00785A0E"/>
    <w:rsid w:val="0081181F"/>
    <w:rsid w:val="00840200"/>
    <w:rsid w:val="00854EBE"/>
    <w:rsid w:val="00855490"/>
    <w:rsid w:val="008664C3"/>
    <w:rsid w:val="00963F58"/>
    <w:rsid w:val="00A33F3C"/>
    <w:rsid w:val="00B158CF"/>
    <w:rsid w:val="00B764B2"/>
    <w:rsid w:val="00C722BD"/>
    <w:rsid w:val="00DA61C6"/>
    <w:rsid w:val="00E86159"/>
    <w:rsid w:val="00EF1C81"/>
    <w:rsid w:val="251A1ABC"/>
    <w:rsid w:val="39F01A68"/>
    <w:rsid w:val="3A164696"/>
    <w:rsid w:val="3A606227"/>
    <w:rsid w:val="3E171CB9"/>
    <w:rsid w:val="3E722D1D"/>
    <w:rsid w:val="42E96687"/>
    <w:rsid w:val="5D2B3CB3"/>
    <w:rsid w:val="6F377216"/>
    <w:rsid w:val="7A4D1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 w:cstheme="minorBidi"/>
      <w:kern w:val="2"/>
      <w:sz w:val="21"/>
      <w:szCs w:val="22"/>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rFonts w:eastAsia="楷体"/>
      <w:b/>
      <w:bCs/>
      <w:kern w:val="44"/>
      <w:sz w:val="28"/>
      <w:szCs w:val="44"/>
    </w:rPr>
  </w:style>
  <w:style w:type="character" w:default="1" w:styleId="9">
    <w:name w:val="Default Paragraph Font"/>
    <w:autoRedefine/>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asciiTheme="minorHAnsi" w:hAnsiTheme="minorHAnsi" w:eastAsiaTheme="minorEastAsia"/>
      <w:kern w:val="0"/>
      <w:sz w:val="22"/>
    </w:rPr>
  </w:style>
  <w:style w:type="paragraph" w:styleId="4">
    <w:name w:val="footer"/>
    <w:basedOn w:val="1"/>
    <w:link w:val="26"/>
    <w:autoRedefine/>
    <w:unhideWhenUsed/>
    <w:qFormat/>
    <w:uiPriority w:val="99"/>
    <w:pPr>
      <w:tabs>
        <w:tab w:val="center" w:pos="4153"/>
        <w:tab w:val="right" w:pos="8306"/>
      </w:tabs>
      <w:snapToGrid w:val="0"/>
      <w:jc w:val="left"/>
    </w:pPr>
    <w:rPr>
      <w:sz w:val="18"/>
      <w:szCs w:val="18"/>
    </w:rPr>
  </w:style>
  <w:style w:type="paragraph" w:styleId="5">
    <w:name w:val="header"/>
    <w:basedOn w:val="1"/>
    <w:link w:val="25"/>
    <w:autoRedefine/>
    <w:unhideWhenUsed/>
    <w:qFormat/>
    <w:uiPriority w:val="99"/>
    <w:pP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widowControl/>
      <w:spacing w:after="100" w:line="259" w:lineRule="auto"/>
      <w:jc w:val="left"/>
    </w:pPr>
    <w:rPr>
      <w:rFonts w:eastAsia="楷体" w:cs="Times New Roman"/>
      <w:kern w:val="0"/>
      <w:sz w:val="24"/>
    </w:rPr>
  </w:style>
  <w:style w:type="paragraph" w:styleId="7">
    <w:name w:val="toc 2"/>
    <w:basedOn w:val="1"/>
    <w:next w:val="1"/>
    <w:autoRedefine/>
    <w:unhideWhenUsed/>
    <w:qFormat/>
    <w:uiPriority w:val="39"/>
    <w:pPr>
      <w:widowControl/>
      <w:spacing w:after="100" w:line="259" w:lineRule="auto"/>
      <w:ind w:left="220"/>
      <w:jc w:val="left"/>
    </w:pPr>
    <w:rPr>
      <w:rFonts w:cs="Times New Roman" w:asciiTheme="minorHAnsi" w:hAnsiTheme="minorHAnsi" w:eastAsiaTheme="minorEastAsia"/>
      <w:kern w:val="0"/>
      <w:sz w:val="22"/>
    </w:r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paragraph" w:customStyle="1" w:styleId="11">
    <w:name w:val="EndNote Bibliography Title"/>
    <w:basedOn w:val="1"/>
    <w:link w:val="12"/>
    <w:autoRedefine/>
    <w:qFormat/>
    <w:uiPriority w:val="0"/>
    <w:pPr>
      <w:jc w:val="center"/>
    </w:pPr>
    <w:rPr>
      <w:rFonts w:ascii="等线" w:hAnsi="等线" w:eastAsia="等线"/>
      <w:sz w:val="20"/>
    </w:rPr>
  </w:style>
  <w:style w:type="character" w:customStyle="1" w:styleId="12">
    <w:name w:val="EndNote Bibliography Title 字符"/>
    <w:basedOn w:val="9"/>
    <w:link w:val="11"/>
    <w:autoRedefine/>
    <w:qFormat/>
    <w:uiPriority w:val="0"/>
    <w:rPr>
      <w:rFonts w:ascii="等线" w:hAnsi="等线" w:eastAsia="等线"/>
      <w:sz w:val="20"/>
    </w:rPr>
  </w:style>
  <w:style w:type="paragraph" w:customStyle="1" w:styleId="13">
    <w:name w:val="EndNote Bibliography"/>
    <w:basedOn w:val="1"/>
    <w:link w:val="14"/>
    <w:autoRedefine/>
    <w:qFormat/>
    <w:uiPriority w:val="0"/>
    <w:rPr>
      <w:rFonts w:ascii="等线" w:hAnsi="等线" w:eastAsia="等线"/>
      <w:sz w:val="20"/>
    </w:rPr>
  </w:style>
  <w:style w:type="character" w:customStyle="1" w:styleId="14">
    <w:name w:val="EndNote Bibliography 字符"/>
    <w:basedOn w:val="9"/>
    <w:link w:val="13"/>
    <w:autoRedefine/>
    <w:qFormat/>
    <w:uiPriority w:val="0"/>
    <w:rPr>
      <w:rFonts w:ascii="等线" w:hAnsi="等线" w:eastAsia="等线"/>
      <w:sz w:val="20"/>
    </w:rPr>
  </w:style>
  <w:style w:type="character" w:customStyle="1" w:styleId="15">
    <w:name w:val="标题 1 字符"/>
    <w:basedOn w:val="9"/>
    <w:link w:val="2"/>
    <w:autoRedefine/>
    <w:qFormat/>
    <w:uiPriority w:val="9"/>
    <w:rPr>
      <w:rFonts w:eastAsia="楷体"/>
      <w:b/>
      <w:bCs/>
      <w:kern w:val="44"/>
      <w:sz w:val="28"/>
      <w:szCs w:val="44"/>
    </w:rPr>
  </w:style>
  <w:style w:type="paragraph" w:customStyle="1" w:styleId="16">
    <w:name w:val="我的正文"/>
    <w:basedOn w:val="1"/>
    <w:link w:val="17"/>
    <w:autoRedefine/>
    <w:qFormat/>
    <w:uiPriority w:val="0"/>
    <w:pPr>
      <w:ind w:firstLine="420"/>
    </w:pPr>
    <w:rPr>
      <w:rFonts w:cs="宋体"/>
      <w:szCs w:val="20"/>
    </w:rPr>
  </w:style>
  <w:style w:type="character" w:customStyle="1" w:styleId="17">
    <w:name w:val="我的正文 Char"/>
    <w:link w:val="16"/>
    <w:autoRedefine/>
    <w:qFormat/>
    <w:uiPriority w:val="0"/>
    <w:rPr>
      <w:rFonts w:ascii="Times New Roman" w:hAnsi="Times New Roman" w:eastAsia="仿宋" w:cs="宋体"/>
      <w:szCs w:val="20"/>
    </w:rPr>
  </w:style>
  <w:style w:type="paragraph" w:customStyle="1" w:styleId="18">
    <w:name w:val="图标题"/>
    <w:basedOn w:val="16"/>
    <w:next w:val="16"/>
    <w:autoRedefine/>
    <w:qFormat/>
    <w:uiPriority w:val="0"/>
    <w:pPr>
      <w:ind w:firstLine="0"/>
      <w:jc w:val="center"/>
      <w:outlineLvl w:val="3"/>
    </w:pPr>
    <w:rPr>
      <w:b/>
    </w:rPr>
  </w:style>
  <w:style w:type="character" w:styleId="19">
    <w:name w:val="Placeholder Text"/>
    <w:basedOn w:val="9"/>
    <w:autoRedefine/>
    <w:semiHidden/>
    <w:qFormat/>
    <w:uiPriority w:val="99"/>
    <w:rPr>
      <w:color w:val="808080"/>
    </w:rPr>
  </w:style>
  <w:style w:type="paragraph" w:customStyle="1" w:styleId="20">
    <w:name w:val="note"/>
    <w:basedOn w:val="1"/>
    <w:next w:val="16"/>
    <w:link w:val="21"/>
    <w:autoRedefine/>
    <w:qFormat/>
    <w:uiPriority w:val="0"/>
    <w:pPr>
      <w:spacing w:line="240" w:lineRule="exact"/>
    </w:pPr>
    <w:rPr>
      <w:rFonts w:cs="Times New Roman"/>
      <w:bCs/>
      <w:sz w:val="15"/>
    </w:rPr>
  </w:style>
  <w:style w:type="character" w:customStyle="1" w:styleId="21">
    <w:name w:val="note 字符"/>
    <w:basedOn w:val="9"/>
    <w:link w:val="20"/>
    <w:autoRedefine/>
    <w:qFormat/>
    <w:uiPriority w:val="0"/>
    <w:rPr>
      <w:rFonts w:ascii="Times New Roman" w:hAnsi="Times New Roman" w:eastAsia="仿宋" w:cs="Times New Roman"/>
      <w:bCs/>
      <w:sz w:val="15"/>
    </w:rPr>
  </w:style>
  <w:style w:type="paragraph" w:customStyle="1" w:styleId="22">
    <w:name w:val="论文一级标题"/>
    <w:basedOn w:val="2"/>
    <w:link w:val="23"/>
    <w:autoRedefine/>
    <w:qFormat/>
    <w:uiPriority w:val="0"/>
    <w:pPr>
      <w:spacing w:before="0" w:after="0" w:line="720" w:lineRule="auto"/>
      <w:jc w:val="center"/>
    </w:pPr>
    <w:rPr>
      <w:rFonts w:ascii="黑体" w:hAnsi="黑体" w:cs="Times New Roman"/>
      <w:bCs w:val="0"/>
      <w:szCs w:val="30"/>
    </w:rPr>
  </w:style>
  <w:style w:type="character" w:customStyle="1" w:styleId="23">
    <w:name w:val="论文一级标题 Char"/>
    <w:basedOn w:val="15"/>
    <w:link w:val="22"/>
    <w:autoRedefine/>
    <w:qFormat/>
    <w:uiPriority w:val="0"/>
    <w:rPr>
      <w:rFonts w:ascii="黑体" w:hAnsi="黑体" w:eastAsia="楷体" w:cs="Times New Roman"/>
      <w:bCs w:val="0"/>
      <w:kern w:val="44"/>
      <w:sz w:val="28"/>
      <w:szCs w:val="30"/>
    </w:rPr>
  </w:style>
  <w:style w:type="paragraph" w:customStyle="1" w:styleId="24">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5">
    <w:name w:val="页眉 字符"/>
    <w:basedOn w:val="9"/>
    <w:link w:val="5"/>
    <w:autoRedefine/>
    <w:qFormat/>
    <w:uiPriority w:val="99"/>
    <w:rPr>
      <w:rFonts w:ascii="Times New Roman" w:hAnsi="Times New Roman" w:eastAsia="仿宋"/>
      <w:sz w:val="18"/>
      <w:szCs w:val="18"/>
    </w:rPr>
  </w:style>
  <w:style w:type="character" w:customStyle="1" w:styleId="26">
    <w:name w:val="页脚 字符"/>
    <w:basedOn w:val="9"/>
    <w:link w:val="4"/>
    <w:autoRedefine/>
    <w:qFormat/>
    <w:uiPriority w:val="99"/>
    <w:rPr>
      <w:rFonts w:ascii="Times New Roman" w:hAnsi="Times New Roman" w:eastAsia="仿宋"/>
      <w:sz w:val="18"/>
      <w:szCs w:val="18"/>
    </w:rPr>
  </w:style>
  <w:style w:type="paragraph" w:customStyle="1" w:styleId="27">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7AB708-690E-4D27-8789-7EB0103CDF94}">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386</Words>
  <Characters>2204</Characters>
  <Lines>18</Lines>
  <Paragraphs>5</Paragraphs>
  <TotalTime>1</TotalTime>
  <ScaleCrop>false</ScaleCrop>
  <LinksUpToDate>false</LinksUpToDate>
  <CharactersWithSpaces>2585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2023-12-21T03:04:00Z</dcterms:created>
  <dc:creator>lina meng</dc:creator>
  <cp:lastModifiedBy>刘京</cp:lastModifiedBy>
  <dcterms:modified xsi:type="dcterms:W3CDTF">2024-01-04T08:05:07Z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40971B0D27174B428196163DDD2585ED_12</vt:lpwstr>
  </property>
</Properties>
</file>