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center"/>
        <w:outlineLvl w:val="0"/>
        <w:rPr>
          <w:rFonts w:ascii="仿宋" w:hAnsi="仿宋" w:eastAsia="仿宋"/>
          <w:b/>
          <w:sz w:val="32"/>
          <w:szCs w:val="32"/>
        </w:rPr>
      </w:pPr>
      <w:bookmarkStart w:id="0" w:name="_Toc4464"/>
      <w:r>
        <w:rPr>
          <w:rFonts w:hint="eastAsia" w:ascii="仿宋" w:hAnsi="仿宋" w:eastAsia="仿宋"/>
          <w:b/>
          <w:sz w:val="32"/>
          <w:szCs w:val="32"/>
        </w:rPr>
        <w:t>基于上市企业微观杠杆率的货币政策传导效率的研究</w:t>
      </w:r>
      <w:bookmarkEnd w:id="0"/>
    </w:p>
    <w:p>
      <w:pPr>
        <w:jc w:val="center"/>
        <w:outlineLvl w:val="0"/>
        <w:rPr>
          <w:rFonts w:ascii="仿宋" w:hAnsi="仿宋" w:eastAsia="仿宋"/>
          <w:b/>
          <w:sz w:val="28"/>
          <w:szCs w:val="28"/>
        </w:rPr>
      </w:pPr>
      <w:bookmarkStart w:id="1" w:name="_Toc16927"/>
      <w:r>
        <w:rPr>
          <w:rFonts w:hint="eastAsia" w:ascii="仿宋" w:hAnsi="仿宋" w:eastAsia="仿宋"/>
          <w:b/>
          <w:sz w:val="28"/>
          <w:szCs w:val="28"/>
        </w:rPr>
        <w:t>——地方政府隐性债务视角</w:t>
      </w:r>
      <w:bookmarkEnd w:id="1"/>
    </w:p>
    <w:p>
      <w:pPr>
        <w:jc w:val="center"/>
        <w:rPr>
          <w:rFonts w:ascii="仿宋" w:hAnsi="仿宋" w:eastAsia="仿宋"/>
          <w:b/>
          <w:sz w:val="28"/>
          <w:szCs w:val="28"/>
        </w:rPr>
      </w:pPr>
    </w:p>
    <w:p>
      <w:pPr>
        <w:jc w:val="center"/>
        <w:rPr>
          <w:rFonts w:hint="eastAsia" w:ascii="楷体" w:hAnsi="楷体" w:eastAsia="楷体" w:cs="楷体"/>
          <w:b w:val="0"/>
          <w:bCs/>
          <w:sz w:val="28"/>
          <w:szCs w:val="28"/>
        </w:rPr>
      </w:pPr>
      <w:r>
        <w:rPr>
          <w:rFonts w:hint="eastAsia" w:ascii="楷体" w:hAnsi="楷体" w:eastAsia="楷体" w:cs="楷体"/>
          <w:b w:val="0"/>
          <w:bCs/>
          <w:sz w:val="28"/>
          <w:szCs w:val="28"/>
        </w:rPr>
        <w:t>陈舒悦 刘悦 张际</w:t>
      </w:r>
    </w:p>
    <w:p>
      <w:pPr>
        <w:jc w:val="center"/>
        <w:rPr>
          <w:rFonts w:ascii="仿宋" w:hAnsi="仿宋" w:eastAsia="仿宋"/>
          <w:b/>
          <w:sz w:val="28"/>
          <w:szCs w:val="28"/>
        </w:rPr>
      </w:pPr>
    </w:p>
    <w:p>
      <w:pPr>
        <w:ind w:firstLine="420"/>
        <w:rPr>
          <w:rFonts w:ascii="仿宋" w:hAnsi="仿宋" w:eastAsia="仿宋"/>
          <w:b/>
          <w:sz w:val="24"/>
          <w:szCs w:val="21"/>
        </w:rPr>
      </w:pPr>
    </w:p>
    <w:p>
      <w:pPr>
        <w:spacing w:before="0" w:beforeLines="0" w:after="0" w:afterLines="0" w:line="240" w:lineRule="auto"/>
        <w:ind w:left="0" w:leftChars="0" w:right="0" w:rightChars="0"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目 录</w:t>
      </w:r>
    </w:p>
    <w:p>
      <w:pPr>
        <w:spacing w:before="0" w:beforeLines="0" w:after="0" w:afterLines="0" w:line="240" w:lineRule="auto"/>
        <w:ind w:left="0" w:leftChars="0" w:right="0" w:rightChars="0" w:firstLine="0" w:firstLineChars="0"/>
        <w:jc w:val="center"/>
        <w:rPr>
          <w:rFonts w:hint="eastAsia" w:ascii="仿宋" w:hAnsi="仿宋" w:eastAsia="仿宋" w:cs="仿宋"/>
          <w:b/>
          <w:bCs/>
          <w:kern w:val="2"/>
          <w:sz w:val="28"/>
          <w:szCs w:val="28"/>
          <w:lang w:val="en-US" w:eastAsia="zh-CN" w:bidi="ar-SA"/>
        </w:rPr>
      </w:pPr>
    </w:p>
    <w:sdt>
      <w:sdtPr>
        <w:rPr>
          <w:rFonts w:ascii="宋体" w:hAnsi="宋体" w:eastAsia="宋体" w:cstheme="minorBidi"/>
          <w:kern w:val="2"/>
          <w:sz w:val="21"/>
          <w:szCs w:val="22"/>
          <w:lang w:val="en-US" w:eastAsia="zh-CN" w:bidi="ar-SA"/>
        </w:rPr>
        <w:id w:val="147470754"/>
        <w15:color w:val="DBDBDB"/>
        <w:docPartObj>
          <w:docPartGallery w:val="Table of Contents"/>
          <w:docPartUnique/>
        </w:docPartObj>
      </w:sdtPr>
      <w:sdtEndPr>
        <w:rPr>
          <w:rFonts w:hint="eastAsia" w:ascii="楷体" w:hAnsi="楷体" w:eastAsia="楷体" w:cs="楷体"/>
          <w:bCs w:val="0"/>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27"/>
            <w:tabs>
              <w:tab w:val="right" w:leader="dot" w:pos="8306"/>
            </w:tabs>
            <w:rPr>
              <w:sz w:val="22"/>
              <w:szCs w:val="22"/>
            </w:rPr>
          </w:pPr>
          <w:r>
            <w:rPr>
              <w:rFonts w:hint="eastAsia" w:ascii="楷体" w:hAnsi="楷体" w:eastAsia="楷体" w:cs="楷体"/>
              <w:b w:val="0"/>
              <w:bCs w:val="0"/>
              <w:sz w:val="22"/>
              <w:szCs w:val="22"/>
            </w:rPr>
            <w:fldChar w:fldCharType="begin"/>
          </w:r>
          <w:r>
            <w:rPr>
              <w:rFonts w:hint="eastAsia" w:ascii="楷体" w:hAnsi="楷体" w:eastAsia="楷体" w:cs="楷体"/>
              <w:b w:val="0"/>
              <w:bCs w:val="0"/>
              <w:sz w:val="22"/>
              <w:szCs w:val="22"/>
            </w:rPr>
            <w:instrText xml:space="preserve">TOC \o "1-1" \h \u </w:instrText>
          </w:r>
          <w:r>
            <w:rPr>
              <w:rFonts w:hint="eastAsia" w:ascii="楷体" w:hAnsi="楷体" w:eastAsia="楷体" w:cs="楷体"/>
              <w:b w:val="0"/>
              <w:bCs w:val="0"/>
              <w:sz w:val="22"/>
              <w:szCs w:val="22"/>
            </w:rPr>
            <w:fldChar w:fldCharType="separate"/>
          </w:r>
          <w:r>
            <w:rPr>
              <w:rFonts w:hint="eastAsia" w:ascii="楷体" w:hAnsi="楷体" w:eastAsia="楷体" w:cs="楷体"/>
              <w:bCs w:val="0"/>
              <w:sz w:val="22"/>
              <w:szCs w:val="22"/>
            </w:rPr>
            <w:fldChar w:fldCharType="begin"/>
          </w:r>
          <w:r>
            <w:rPr>
              <w:rFonts w:hint="eastAsia" w:ascii="楷体" w:hAnsi="楷体" w:eastAsia="楷体" w:cs="楷体"/>
              <w:bCs w:val="0"/>
              <w:sz w:val="22"/>
              <w:szCs w:val="22"/>
            </w:rPr>
            <w:instrText xml:space="preserve"> HYPERLINK \l _Toc4464 </w:instrText>
          </w:r>
          <w:r>
            <w:rPr>
              <w:rFonts w:hint="eastAsia" w:ascii="楷体" w:hAnsi="楷体" w:eastAsia="楷体" w:cs="楷体"/>
              <w:bCs w:val="0"/>
              <w:sz w:val="22"/>
              <w:szCs w:val="22"/>
            </w:rPr>
            <w:fldChar w:fldCharType="separate"/>
          </w:r>
          <w:r>
            <w:rPr>
              <w:rFonts w:hint="eastAsia" w:ascii="仿宋" w:hAnsi="仿宋" w:eastAsia="仿宋"/>
              <w:sz w:val="22"/>
              <w:szCs w:val="22"/>
            </w:rPr>
            <w:t xml:space="preserve">附录I </w:t>
          </w:r>
          <w:r>
            <w:rPr>
              <w:rFonts w:hint="eastAsia" w:ascii="仿宋" w:hAnsi="仿宋" w:eastAsia="仿宋"/>
              <w:sz w:val="22"/>
              <w:szCs w:val="22"/>
              <w:lang w:val="en-US" w:eastAsia="zh-CN"/>
            </w:rPr>
            <w:t xml:space="preserve"> </w:t>
          </w:r>
          <w:r>
            <w:rPr>
              <w:rFonts w:hint="eastAsia" w:ascii="仿宋" w:hAnsi="仿宋" w:eastAsia="仿宋"/>
              <w:sz w:val="22"/>
              <w:szCs w:val="22"/>
            </w:rPr>
            <w:t>稳健性检验：对标准误聚类方法的讨论</w:t>
          </w:r>
          <w:r>
            <w:rPr>
              <w:sz w:val="22"/>
              <w:szCs w:val="22"/>
            </w:rPr>
            <w:tab/>
          </w:r>
          <w:r>
            <w:rPr>
              <w:sz w:val="22"/>
              <w:szCs w:val="22"/>
            </w:rPr>
            <w:fldChar w:fldCharType="begin"/>
          </w:r>
          <w:r>
            <w:rPr>
              <w:sz w:val="22"/>
              <w:szCs w:val="22"/>
            </w:rPr>
            <w:instrText xml:space="preserve"> PAGEREF _Toc4464 \h </w:instrText>
          </w:r>
          <w:r>
            <w:rPr>
              <w:sz w:val="22"/>
              <w:szCs w:val="22"/>
            </w:rPr>
            <w:fldChar w:fldCharType="separate"/>
          </w:r>
          <w:r>
            <w:rPr>
              <w:sz w:val="22"/>
              <w:szCs w:val="22"/>
            </w:rPr>
            <w:t>1</w:t>
          </w:r>
          <w:r>
            <w:rPr>
              <w:sz w:val="22"/>
              <w:szCs w:val="22"/>
            </w:rPr>
            <w:fldChar w:fldCharType="end"/>
          </w:r>
          <w:r>
            <w:rPr>
              <w:rFonts w:hint="eastAsia" w:ascii="楷体" w:hAnsi="楷体" w:eastAsia="楷体" w:cs="楷体"/>
              <w:bCs w:val="0"/>
              <w:sz w:val="22"/>
              <w:szCs w:val="22"/>
            </w:rPr>
            <w:fldChar w:fldCharType="end"/>
          </w:r>
        </w:p>
        <w:p>
          <w:pPr>
            <w:pStyle w:val="27"/>
            <w:tabs>
              <w:tab w:val="right" w:leader="dot" w:pos="8306"/>
            </w:tabs>
            <w:rPr>
              <w:sz w:val="22"/>
              <w:szCs w:val="22"/>
            </w:rPr>
          </w:pPr>
          <w:r>
            <w:rPr>
              <w:rFonts w:hint="eastAsia" w:ascii="楷体" w:hAnsi="楷体" w:eastAsia="楷体" w:cs="楷体"/>
              <w:bCs w:val="0"/>
              <w:sz w:val="22"/>
              <w:szCs w:val="22"/>
            </w:rPr>
            <w:fldChar w:fldCharType="begin"/>
          </w:r>
          <w:r>
            <w:rPr>
              <w:rFonts w:hint="eastAsia" w:ascii="楷体" w:hAnsi="楷体" w:eastAsia="楷体" w:cs="楷体"/>
              <w:bCs w:val="0"/>
              <w:sz w:val="22"/>
              <w:szCs w:val="22"/>
            </w:rPr>
            <w:instrText xml:space="preserve"> HYPERLINK \l _Toc1516 </w:instrText>
          </w:r>
          <w:r>
            <w:rPr>
              <w:rFonts w:hint="eastAsia" w:ascii="楷体" w:hAnsi="楷体" w:eastAsia="楷体" w:cs="楷体"/>
              <w:bCs w:val="0"/>
              <w:sz w:val="22"/>
              <w:szCs w:val="22"/>
            </w:rPr>
            <w:fldChar w:fldCharType="separate"/>
          </w:r>
          <w:r>
            <w:rPr>
              <w:rFonts w:hint="eastAsia" w:ascii="仿宋" w:hAnsi="仿宋" w:eastAsia="仿宋"/>
              <w:sz w:val="22"/>
              <w:szCs w:val="22"/>
            </w:rPr>
            <w:t>附录Ⅱ 异质性分析：对民营和中小企业“融资难、融资贵”问题的讨论</w:t>
          </w:r>
          <w:r>
            <w:rPr>
              <w:sz w:val="22"/>
              <w:szCs w:val="22"/>
            </w:rPr>
            <w:tab/>
          </w:r>
          <w:r>
            <w:rPr>
              <w:rFonts w:hint="eastAsia"/>
              <w:sz w:val="22"/>
              <w:szCs w:val="22"/>
              <w:lang w:val="en-US" w:eastAsia="zh-CN"/>
            </w:rPr>
            <w:t>2</w:t>
          </w:r>
          <w:r>
            <w:rPr>
              <w:rFonts w:hint="eastAsia" w:ascii="楷体" w:hAnsi="楷体" w:eastAsia="楷体" w:cs="楷体"/>
              <w:bCs w:val="0"/>
              <w:sz w:val="22"/>
              <w:szCs w:val="22"/>
            </w:rPr>
            <w:fldChar w:fldCharType="end"/>
          </w:r>
        </w:p>
        <w:p>
          <w:pPr>
            <w:pStyle w:val="27"/>
            <w:tabs>
              <w:tab w:val="right" w:leader="dot" w:pos="8306"/>
            </w:tabs>
            <w:rPr>
              <w:sz w:val="22"/>
              <w:szCs w:val="22"/>
            </w:rPr>
          </w:pPr>
          <w:r>
            <w:rPr>
              <w:rFonts w:hint="eastAsia" w:ascii="楷体" w:hAnsi="楷体" w:eastAsia="楷体" w:cs="楷体"/>
              <w:bCs w:val="0"/>
              <w:sz w:val="22"/>
              <w:szCs w:val="22"/>
            </w:rPr>
            <w:fldChar w:fldCharType="begin"/>
          </w:r>
          <w:r>
            <w:rPr>
              <w:rFonts w:hint="eastAsia" w:ascii="楷体" w:hAnsi="楷体" w:eastAsia="楷体" w:cs="楷体"/>
              <w:bCs w:val="0"/>
              <w:sz w:val="22"/>
              <w:szCs w:val="22"/>
            </w:rPr>
            <w:instrText xml:space="preserve"> HYPERLINK \l _Toc8426 </w:instrText>
          </w:r>
          <w:r>
            <w:rPr>
              <w:rFonts w:hint="eastAsia" w:ascii="楷体" w:hAnsi="楷体" w:eastAsia="楷体" w:cs="楷体"/>
              <w:bCs w:val="0"/>
              <w:sz w:val="22"/>
              <w:szCs w:val="22"/>
            </w:rPr>
            <w:fldChar w:fldCharType="separate"/>
          </w:r>
          <w:r>
            <w:rPr>
              <w:rFonts w:hint="eastAsia" w:ascii="仿宋" w:hAnsi="仿宋" w:eastAsia="仿宋" w:cs="Times New Roman"/>
              <w:sz w:val="22"/>
              <w:szCs w:val="22"/>
            </w:rPr>
            <w:t>附录Ⅲ 进一步分析：对“43号文”影响的讨论</w:t>
          </w:r>
          <w:r>
            <w:rPr>
              <w:sz w:val="22"/>
              <w:szCs w:val="22"/>
            </w:rPr>
            <w:tab/>
          </w:r>
          <w:r>
            <w:rPr>
              <w:rFonts w:hint="eastAsia"/>
              <w:sz w:val="22"/>
              <w:szCs w:val="22"/>
              <w:lang w:val="en-US" w:eastAsia="zh-CN"/>
            </w:rPr>
            <w:t>4</w:t>
          </w:r>
          <w:r>
            <w:rPr>
              <w:rFonts w:hint="eastAsia" w:ascii="楷体" w:hAnsi="楷体" w:eastAsia="楷体" w:cs="楷体"/>
              <w:bCs w:val="0"/>
              <w:sz w:val="22"/>
              <w:szCs w:val="22"/>
            </w:rPr>
            <w:fldChar w:fldCharType="end"/>
          </w:r>
        </w:p>
        <w:p>
          <w:pPr>
            <w:jc w:val="both"/>
            <w:rPr>
              <w:rFonts w:hint="eastAsia" w:ascii="楷体" w:hAnsi="楷体" w:eastAsia="楷体" w:cs="楷体"/>
              <w:bCs w:val="0"/>
              <w:kern w:val="2"/>
              <w:sz w:val="21"/>
              <w:szCs w:val="28"/>
              <w:lang w:val="en-US" w:eastAsia="zh-CN" w:bidi="ar-SA"/>
            </w:rPr>
            <w:sectPr>
              <w:headerReference r:id="rId4" w:type="default"/>
              <w:footnotePr>
                <w:numRestart w:val="eachSect"/>
              </w:footnote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楷体" w:hAnsi="楷体" w:eastAsia="楷体" w:cs="楷体"/>
              <w:bCs w:val="0"/>
              <w:sz w:val="22"/>
              <w:szCs w:val="22"/>
            </w:rPr>
            <w:fldChar w:fldCharType="end"/>
          </w:r>
        </w:p>
      </w:sdtContent>
    </w:sdt>
    <w:p>
      <w:pPr>
        <w:pageBreakBefore/>
        <w:jc w:val="center"/>
        <w:outlineLvl w:val="0"/>
        <w:rPr>
          <w:rFonts w:hint="eastAsia" w:ascii="楷体" w:hAnsi="楷体" w:eastAsia="楷体" w:cs="楷体"/>
          <w:b w:val="0"/>
          <w:bCs/>
          <w:sz w:val="28"/>
          <w:szCs w:val="28"/>
        </w:rPr>
      </w:pPr>
      <w:bookmarkStart w:id="2" w:name="_Toc1516"/>
      <w:r>
        <w:rPr>
          <w:rFonts w:hint="eastAsia" w:ascii="楷体" w:hAnsi="楷体" w:eastAsia="楷体" w:cs="楷体"/>
          <w:b w:val="0"/>
          <w:bCs/>
          <w:sz w:val="28"/>
          <w:szCs w:val="28"/>
        </w:rPr>
        <w:t>附录I 稳健性检验：对标准误聚类方法的讨论</w:t>
      </w:r>
      <w:bookmarkEnd w:id="2"/>
    </w:p>
    <w:p>
      <w:pPr>
        <w:ind w:firstLine="420"/>
        <w:rPr>
          <w:rFonts w:ascii="仿宋" w:hAnsi="仿宋" w:eastAsia="仿宋" w:cs="Times New Roman"/>
        </w:rPr>
      </w:pPr>
      <w:r>
        <w:rPr>
          <w:rFonts w:hint="eastAsia" w:ascii="仿宋" w:hAnsi="仿宋" w:eastAsia="仿宋" w:cs="Times New Roman"/>
        </w:rPr>
        <w:t>为避免标准误聚类方法对基准回归结果产生影响，我们尝试使用其他聚类方法，并重新对不同杠杆率度量指标下的回归模型（1）和基准回归模型（2）进行检验。表</w:t>
      </w:r>
      <w:r>
        <w:rPr>
          <w:rFonts w:hint="eastAsia" w:ascii="宋体" w:hAnsi="宋体" w:eastAsia="宋体" w:cs="宋体"/>
        </w:rPr>
        <w:t>Ⅰ</w:t>
      </w:r>
      <w:r>
        <w:rPr>
          <w:rFonts w:ascii="仿宋" w:hAnsi="仿宋" w:eastAsia="仿宋" w:cs="Times New Roman"/>
        </w:rPr>
        <w:t>1</w:t>
      </w:r>
      <w:r>
        <w:rPr>
          <w:rFonts w:hint="eastAsia" w:ascii="仿宋" w:hAnsi="仿宋" w:eastAsia="仿宋" w:cs="Times New Roman"/>
        </w:rPr>
        <w:t>和表</w:t>
      </w:r>
      <w:r>
        <w:rPr>
          <w:rFonts w:hint="eastAsia" w:ascii="宋体" w:hAnsi="宋体" w:eastAsia="宋体" w:cs="宋体"/>
        </w:rPr>
        <w:t>Ⅰ</w:t>
      </w:r>
      <w:r>
        <w:rPr>
          <w:rFonts w:ascii="仿宋" w:hAnsi="仿宋" w:eastAsia="仿宋" w:cs="Times New Roman"/>
        </w:rPr>
        <w:t>2</w:t>
      </w:r>
      <w:r>
        <w:rPr>
          <w:rFonts w:hint="eastAsia" w:ascii="仿宋" w:hAnsi="仿宋" w:eastAsia="仿宋" w:cs="Times New Roman"/>
        </w:rPr>
        <w:t>分别报告了将标准误聚类到省际、公司层面的稳健性检验。回归结果显示，与正文表2的基准回归结论相一致，</w:t>
      </w:r>
      <m:oMath>
        <m:r>
          <m:rPr/>
          <w:rPr>
            <w:rFonts w:ascii="Cambria Math" w:hAnsi="Cambria Math" w:eastAsia="仿宋"/>
          </w:rPr>
          <m:t>RepoL1</m:t>
        </m:r>
      </m:oMath>
      <w:r>
        <w:rPr>
          <w:rFonts w:hint="eastAsia" w:ascii="仿宋" w:hAnsi="仿宋" w:eastAsia="仿宋"/>
        </w:rPr>
        <w:t>、</w:t>
      </w:r>
      <m:oMath>
        <m:r>
          <m:rPr/>
          <w:rPr>
            <w:rFonts w:ascii="Cambria Math" w:hAnsi="Cambria Math" w:eastAsia="等线" w:cs="Calibri"/>
            <w:color w:val="000000"/>
            <w:kern w:val="0"/>
            <w:szCs w:val="21"/>
          </w:rPr>
          <m:t>LGD</m:t>
        </m:r>
      </m:oMath>
      <w:r>
        <w:rPr>
          <w:rFonts w:hint="eastAsia" w:ascii="仿宋" w:hAnsi="仿宋" w:eastAsia="仿宋"/>
          <w:color w:val="000000"/>
          <w:kern w:val="0"/>
          <w:szCs w:val="21"/>
        </w:rPr>
        <w:t>均</w:t>
      </w:r>
      <w:r>
        <w:rPr>
          <w:rFonts w:hint="eastAsia" w:ascii="仿宋" w:hAnsi="仿宋" w:eastAsia="仿宋"/>
        </w:rPr>
        <w:t>在1%的显著性水平上为负，</w:t>
      </w:r>
      <m:oMath>
        <m:r>
          <m:rPr/>
          <w:rPr>
            <w:rFonts w:ascii="Cambria Math" w:hAnsi="Cambria Math" w:eastAsia="等线" w:cs="Calibri"/>
            <w:color w:val="000000"/>
            <w:kern w:val="0"/>
            <w:szCs w:val="21"/>
          </w:rPr>
          <m:t>RepoL1×LGD</m:t>
        </m:r>
      </m:oMath>
      <w:r>
        <w:rPr>
          <w:rFonts w:hint="eastAsia" w:ascii="仿宋" w:hAnsi="仿宋" w:eastAsia="仿宋"/>
        </w:rPr>
        <w:t>在1%或5%的显著性水平上为正且与</w:t>
      </w:r>
      <m:oMath>
        <m:r>
          <m:rPr/>
          <w:rPr>
            <w:rFonts w:ascii="Cambria Math" w:hAnsi="Cambria Math" w:eastAsia="仿宋"/>
          </w:rPr>
          <m:t>RepoL1</m:t>
        </m:r>
      </m:oMath>
      <w:r>
        <w:rPr>
          <w:rFonts w:hint="eastAsia" w:ascii="仿宋" w:hAnsi="仿宋" w:eastAsia="仿宋"/>
        </w:rPr>
        <w:t>的符号相反</w:t>
      </w:r>
      <w:r>
        <w:rPr>
          <w:rFonts w:hint="eastAsia" w:ascii="仿宋" w:hAnsi="仿宋" w:eastAsia="仿宋" w:cs="Times New Roman"/>
        </w:rPr>
        <w:t>。这说明地方政府隐性债务对货币政策传导效率的影响在不同的标准误聚类方法下是稳健的。</w:t>
      </w:r>
    </w:p>
    <w:p>
      <w:pPr>
        <w:ind w:firstLine="420"/>
        <w:rPr>
          <w:rFonts w:ascii="仿宋" w:hAnsi="仿宋" w:eastAsia="仿宋" w:cs="Times New Roman"/>
        </w:rPr>
      </w:pPr>
    </w:p>
    <w:p>
      <w:pPr>
        <w:pStyle w:val="15"/>
        <w:jc w:val="center"/>
        <w:outlineLvl w:val="0"/>
        <w:rPr>
          <w:rFonts w:hint="eastAsia" w:ascii="宋体" w:hAnsi="宋体" w:eastAsia="宋体" w:cs="宋体"/>
          <w:b/>
          <w:sz w:val="21"/>
          <w:szCs w:val="21"/>
        </w:rPr>
      </w:pPr>
      <w:bookmarkStart w:id="3" w:name="_Toc8426"/>
      <w:r>
        <w:rPr>
          <w:rFonts w:hint="eastAsia" w:ascii="宋体" w:hAnsi="宋体" w:eastAsia="宋体" w:cs="宋体"/>
          <w:b/>
          <w:sz w:val="21"/>
          <w:szCs w:val="21"/>
        </w:rPr>
        <w:t>表</w:t>
      </w:r>
      <w:r>
        <w:rPr>
          <w:rFonts w:hint="eastAsia" w:ascii="宋体" w:hAnsi="宋体" w:eastAsia="宋体" w:cs="宋体"/>
          <w:b/>
          <w:sz w:val="21"/>
          <w:szCs w:val="21"/>
        </w:rPr>
        <w:t>Ⅰ1 基于省际层面标准误聚类的基准回归结果</w:t>
      </w:r>
      <w:bookmarkEnd w:id="3"/>
    </w:p>
    <w:tbl>
      <w:tblPr>
        <w:tblStyle w:val="9"/>
        <w:tblW w:w="9180" w:type="dxa"/>
        <w:tblInd w:w="0" w:type="dxa"/>
        <w:shd w:val="clear" w:color="auto" w:fill="auto"/>
        <w:tblLayout w:type="autofit"/>
        <w:tblCellMar>
          <w:top w:w="0" w:type="dxa"/>
          <w:left w:w="108" w:type="dxa"/>
          <w:bottom w:w="0" w:type="dxa"/>
          <w:right w:w="108" w:type="dxa"/>
        </w:tblCellMar>
      </w:tblPr>
      <w:tblGrid>
        <w:gridCol w:w="1500"/>
        <w:gridCol w:w="1280"/>
        <w:gridCol w:w="1280"/>
        <w:gridCol w:w="1280"/>
        <w:gridCol w:w="1280"/>
        <w:gridCol w:w="1280"/>
        <w:gridCol w:w="1280"/>
      </w:tblGrid>
      <w:tr>
        <w:tblPrEx>
          <w:shd w:val="clear" w:color="auto" w:fill="auto"/>
          <w:tblCellMar>
            <w:top w:w="0" w:type="dxa"/>
            <w:left w:w="108" w:type="dxa"/>
            <w:bottom w:w="0" w:type="dxa"/>
            <w:right w:w="108" w:type="dxa"/>
          </w:tblCellMar>
        </w:tblPrEx>
        <w:trPr>
          <w:trHeight w:val="300" w:hRule="atLeast"/>
        </w:trPr>
        <w:tc>
          <w:tcPr>
            <w:tcW w:w="1500" w:type="dxa"/>
            <w:vMerge w:val="restart"/>
            <w:tcBorders>
              <w:top w:val="single" w:color="auto" w:sz="4" w:space="0"/>
              <w:left w:val="nil"/>
              <w:bottom w:val="single" w:color="000000" w:sz="4"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变量</w:t>
            </w:r>
          </w:p>
        </w:tc>
        <w:tc>
          <w:tcPr>
            <w:tcW w:w="2560"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Calibri" w:hAnsi="Calibri" w:eastAsia="等线" w:cs="Calibri"/>
                <w:b/>
                <w:bCs/>
                <w:i/>
                <w:iCs/>
                <w:color w:val="000000"/>
                <w:kern w:val="0"/>
                <w:sz w:val="18"/>
                <w:szCs w:val="18"/>
              </w:rPr>
            </w:pPr>
            <w:r>
              <w:rPr>
                <w:rFonts w:ascii="Calibri" w:hAnsi="Calibri" w:eastAsia="等线" w:cs="Calibri"/>
                <w:b/>
                <w:bCs/>
                <w:i/>
                <w:iCs/>
                <w:color w:val="000000"/>
                <w:kern w:val="0"/>
                <w:sz w:val="18"/>
                <w:szCs w:val="18"/>
              </w:rPr>
              <w:t xml:space="preserve">Lev </w:t>
            </w:r>
            <w:r>
              <w:rPr>
                <w:rFonts w:ascii="仿宋" w:hAnsi="仿宋" w:eastAsia="仿宋" w:cs="Calibri"/>
                <w:b/>
                <w:bCs/>
                <w:iCs/>
                <w:color w:val="000000"/>
                <w:kern w:val="0"/>
                <w:sz w:val="18"/>
                <w:szCs w:val="18"/>
              </w:rPr>
              <w:t>(基准回归)</w:t>
            </w:r>
          </w:p>
        </w:tc>
        <w:tc>
          <w:tcPr>
            <w:tcW w:w="2560"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Calibri" w:hAnsi="Calibri" w:eastAsia="等线" w:cs="Calibri"/>
                <w:b/>
                <w:bCs/>
                <w:i/>
                <w:iCs/>
                <w:color w:val="000000"/>
                <w:kern w:val="0"/>
                <w:sz w:val="18"/>
                <w:szCs w:val="18"/>
              </w:rPr>
            </w:pPr>
            <w:r>
              <w:rPr>
                <w:rFonts w:ascii="Calibri" w:hAnsi="Calibri" w:eastAsia="等线" w:cs="Calibri"/>
                <w:b/>
                <w:bCs/>
                <w:i/>
                <w:iCs/>
                <w:color w:val="000000"/>
                <w:kern w:val="0"/>
                <w:sz w:val="18"/>
                <w:szCs w:val="18"/>
              </w:rPr>
              <w:t>Lev_bank</w:t>
            </w:r>
          </w:p>
        </w:tc>
        <w:tc>
          <w:tcPr>
            <w:tcW w:w="2560"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Calibri" w:hAnsi="Calibri" w:eastAsia="等线" w:cs="Calibri"/>
                <w:b/>
                <w:bCs/>
                <w:i/>
                <w:iCs/>
                <w:color w:val="000000"/>
                <w:kern w:val="0"/>
                <w:sz w:val="18"/>
                <w:szCs w:val="18"/>
              </w:rPr>
            </w:pPr>
            <w:r>
              <w:rPr>
                <w:rFonts w:ascii="Calibri" w:hAnsi="Calibri" w:eastAsia="等线" w:cs="Calibri"/>
                <w:b/>
                <w:bCs/>
                <w:i/>
                <w:iCs/>
                <w:color w:val="000000"/>
                <w:kern w:val="0"/>
                <w:sz w:val="18"/>
                <w:szCs w:val="18"/>
              </w:rPr>
              <w:t>Lev_comm</w:t>
            </w:r>
          </w:p>
        </w:tc>
      </w:tr>
      <w:tr>
        <w:tblPrEx>
          <w:shd w:val="clear" w:color="auto" w:fill="auto"/>
          <w:tblCellMar>
            <w:top w:w="0" w:type="dxa"/>
            <w:left w:w="108" w:type="dxa"/>
            <w:bottom w:w="0" w:type="dxa"/>
            <w:right w:w="108" w:type="dxa"/>
          </w:tblCellMar>
        </w:tblPrEx>
        <w:trPr>
          <w:trHeight w:val="300" w:hRule="atLeast"/>
        </w:trPr>
        <w:tc>
          <w:tcPr>
            <w:tcW w:w="1500" w:type="dxa"/>
            <w:vMerge w:val="continue"/>
            <w:tcBorders>
              <w:top w:val="single" w:color="auto" w:sz="4" w:space="0"/>
              <w:left w:val="nil"/>
              <w:bottom w:val="single" w:color="000000" w:sz="4" w:space="0"/>
              <w:right w:val="nil"/>
            </w:tcBorders>
            <w:shd w:val="clear" w:color="auto" w:fill="auto"/>
            <w:vAlign w:val="center"/>
          </w:tcPr>
          <w:p>
            <w:pPr>
              <w:widowControl/>
              <w:jc w:val="left"/>
              <w:rPr>
                <w:rFonts w:ascii="仿宋" w:hAnsi="仿宋" w:eastAsia="仿宋" w:cs="宋体"/>
                <w:b/>
                <w:bCs/>
                <w:color w:val="000000"/>
                <w:kern w:val="0"/>
                <w:sz w:val="18"/>
                <w:szCs w:val="18"/>
              </w:rPr>
            </w:pP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RepoL1</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-0.7790</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-1.4038</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-0.2988</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-0.6965</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-0.2401</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-0.5976</w:t>
            </w:r>
            <w:r>
              <w:rPr>
                <w:rFonts w:hint="eastAsia" w:ascii="仿宋" w:hAnsi="仿宋" w:eastAsia="仿宋" w:cs="宋体"/>
                <w:b/>
                <w:bCs/>
                <w:color w:val="000000"/>
                <w:kern w:val="0"/>
                <w:sz w:val="18"/>
                <w:szCs w:val="18"/>
                <w:vertAlign w:val="superscript"/>
              </w:rPr>
              <w:t>***</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(-4.79)</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(-6.41)</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(-2.65)</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(-3.96)</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(-3.57)</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(-4.61)</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LGD</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-0.3351</w:t>
            </w:r>
            <w:r>
              <w:rPr>
                <w:rFonts w:hint="eastAsia" w:ascii="仿宋" w:hAnsi="仿宋" w:eastAsia="仿宋" w:cs="宋体"/>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-0.2156</w:t>
            </w:r>
            <w:r>
              <w:rPr>
                <w:rFonts w:hint="eastAsia" w:ascii="仿宋" w:hAnsi="仿宋" w:eastAsia="仿宋" w:cs="宋体"/>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-0.1404</w:t>
            </w:r>
            <w:r>
              <w:rPr>
                <w:rFonts w:hint="eastAsia" w:ascii="仿宋" w:hAnsi="仿宋" w:eastAsia="仿宋" w:cs="宋体"/>
                <w:color w:val="000000"/>
                <w:kern w:val="0"/>
                <w:sz w:val="18"/>
                <w:szCs w:val="18"/>
                <w:vertAlign w:val="superscript"/>
              </w:rPr>
              <w:t>***</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(-3.96)</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(-4.50)</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(-3.66)</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RepoL1 × LGD</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4.5771</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2.9041</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2.8384</w:t>
            </w:r>
            <w:r>
              <w:rPr>
                <w:rFonts w:hint="eastAsia" w:ascii="仿宋" w:hAnsi="仿宋" w:eastAsia="仿宋" w:cs="宋体"/>
                <w:b/>
                <w:bCs/>
                <w:color w:val="000000"/>
                <w:kern w:val="0"/>
                <w:sz w:val="18"/>
                <w:szCs w:val="18"/>
                <w:vertAlign w:val="superscript"/>
              </w:rPr>
              <w:t>***</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(4.13)</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(2.28)</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(4.39)</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公司控制变量</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省份控制变量</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省份固定效应</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季节固定效应</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行业固定效应</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观测数</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105 979</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105 979</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105 979</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105 979</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105 979</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105 979</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single" w:color="auto" w:sz="4" w:space="0"/>
              <w:right w:val="nil"/>
            </w:tcBorders>
            <w:shd w:val="clear" w:color="auto" w:fill="auto"/>
            <w:noWrap/>
            <w:vAlign w:val="center"/>
          </w:tcPr>
          <w:p>
            <w:pPr>
              <w:widowControl/>
              <w:jc w:val="center"/>
              <w:rPr>
                <w:rFonts w:ascii="Calibri" w:hAnsi="Calibri" w:eastAsia="等线" w:cs="Calibri"/>
                <w:color w:val="000000"/>
                <w:kern w:val="0"/>
                <w:sz w:val="18"/>
                <w:szCs w:val="18"/>
              </w:rPr>
            </w:pPr>
            <w:r>
              <w:rPr>
                <w:rFonts w:ascii="Calibri" w:hAnsi="Calibri" w:eastAsia="等线" w:cs="Calibri"/>
                <w:i/>
                <w:iCs/>
                <w:color w:val="000000"/>
                <w:kern w:val="0"/>
                <w:sz w:val="18"/>
                <w:szCs w:val="18"/>
              </w:rPr>
              <w:t>R</w:t>
            </w:r>
            <w:r>
              <w:rPr>
                <w:rFonts w:ascii="Calibri" w:hAnsi="Calibri" w:eastAsia="等线" w:cs="Calibri"/>
                <w:color w:val="000000"/>
                <w:kern w:val="0"/>
                <w:sz w:val="18"/>
                <w:szCs w:val="18"/>
              </w:rPr>
              <w:t>-squared</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0.3005</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0.3020</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0.2007</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0.2020</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0.1725</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0.1731</w:t>
            </w:r>
          </w:p>
        </w:tc>
      </w:tr>
    </w:tbl>
    <w:p>
      <w:pPr>
        <w:rPr>
          <w:rFonts w:ascii="仿宋" w:hAnsi="仿宋" w:eastAsia="仿宋"/>
          <w:sz w:val="18"/>
          <w:szCs w:val="18"/>
        </w:rPr>
      </w:pPr>
      <w:r>
        <w:rPr>
          <w:rFonts w:hint="eastAsia" w:ascii="仿宋" w:hAnsi="仿宋" w:eastAsia="仿宋"/>
          <w:sz w:val="18"/>
          <w:szCs w:val="18"/>
        </w:rPr>
        <w:t>注：回归的标准误聚集到省际层面。</w:t>
      </w:r>
    </w:p>
    <w:p>
      <w:pPr>
        <w:ind w:firstLine="420"/>
        <w:rPr>
          <w:rFonts w:ascii="仿宋" w:hAnsi="仿宋" w:eastAsia="仿宋"/>
          <w:highlight w:val="yellow"/>
        </w:rPr>
      </w:pPr>
    </w:p>
    <w:p>
      <w:pPr>
        <w:pStyle w:val="15"/>
        <w:jc w:val="center"/>
        <w:outlineLvl w:val="0"/>
        <w:rPr>
          <w:rFonts w:hint="eastAsia" w:ascii="宋体" w:hAnsi="宋体" w:eastAsia="宋体" w:cs="宋体"/>
          <w:b/>
          <w:sz w:val="20"/>
          <w:szCs w:val="20"/>
        </w:rPr>
      </w:pPr>
      <w:bookmarkStart w:id="4" w:name="_Toc9459"/>
      <w:r>
        <w:rPr>
          <w:rFonts w:hint="eastAsia" w:ascii="宋体" w:hAnsi="宋体" w:eastAsia="宋体" w:cs="宋体"/>
          <w:b/>
          <w:sz w:val="20"/>
          <w:szCs w:val="20"/>
        </w:rPr>
        <w:t>表Ⅰ2 基于公司层面标准误聚类的基准回归结果</w:t>
      </w:r>
      <w:bookmarkEnd w:id="4"/>
    </w:p>
    <w:tbl>
      <w:tblPr>
        <w:tblStyle w:val="9"/>
        <w:tblW w:w="9180" w:type="dxa"/>
        <w:tblInd w:w="0" w:type="dxa"/>
        <w:shd w:val="clear" w:color="auto" w:fill="auto"/>
        <w:tblLayout w:type="autofit"/>
        <w:tblCellMar>
          <w:top w:w="0" w:type="dxa"/>
          <w:left w:w="108" w:type="dxa"/>
          <w:bottom w:w="0" w:type="dxa"/>
          <w:right w:w="108" w:type="dxa"/>
        </w:tblCellMar>
      </w:tblPr>
      <w:tblGrid>
        <w:gridCol w:w="1500"/>
        <w:gridCol w:w="1280"/>
        <w:gridCol w:w="1280"/>
        <w:gridCol w:w="1280"/>
        <w:gridCol w:w="1280"/>
        <w:gridCol w:w="1280"/>
        <w:gridCol w:w="1280"/>
      </w:tblGrid>
      <w:tr>
        <w:tblPrEx>
          <w:shd w:val="clear" w:color="auto" w:fill="auto"/>
          <w:tblCellMar>
            <w:top w:w="0" w:type="dxa"/>
            <w:left w:w="108" w:type="dxa"/>
            <w:bottom w:w="0" w:type="dxa"/>
            <w:right w:w="108" w:type="dxa"/>
          </w:tblCellMar>
        </w:tblPrEx>
        <w:trPr>
          <w:trHeight w:val="300" w:hRule="atLeast"/>
        </w:trPr>
        <w:tc>
          <w:tcPr>
            <w:tcW w:w="1500" w:type="dxa"/>
            <w:vMerge w:val="restart"/>
            <w:tcBorders>
              <w:top w:val="single" w:color="auto" w:sz="4" w:space="0"/>
              <w:left w:val="nil"/>
              <w:bottom w:val="single" w:color="000000" w:sz="4"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变量</w:t>
            </w:r>
          </w:p>
        </w:tc>
        <w:tc>
          <w:tcPr>
            <w:tcW w:w="2560"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Calibri" w:hAnsi="Calibri" w:eastAsia="等线" w:cs="Calibri"/>
                <w:b/>
                <w:bCs/>
                <w:i/>
                <w:iCs/>
                <w:color w:val="000000"/>
                <w:kern w:val="0"/>
                <w:sz w:val="18"/>
                <w:szCs w:val="18"/>
              </w:rPr>
            </w:pPr>
            <w:r>
              <w:rPr>
                <w:rFonts w:ascii="Calibri" w:hAnsi="Calibri" w:eastAsia="等线" w:cs="Calibri"/>
                <w:b/>
                <w:bCs/>
                <w:i/>
                <w:iCs/>
                <w:color w:val="000000"/>
                <w:kern w:val="0"/>
                <w:sz w:val="18"/>
                <w:szCs w:val="18"/>
              </w:rPr>
              <w:t>Lev</w:t>
            </w:r>
            <w:r>
              <w:rPr>
                <w:rFonts w:ascii="仿宋" w:hAnsi="仿宋" w:eastAsia="仿宋" w:cs="Calibri"/>
                <w:b/>
                <w:bCs/>
                <w:iCs/>
                <w:color w:val="000000"/>
                <w:kern w:val="0"/>
                <w:sz w:val="18"/>
                <w:szCs w:val="18"/>
              </w:rPr>
              <w:t>(基准回归)</w:t>
            </w:r>
          </w:p>
        </w:tc>
        <w:tc>
          <w:tcPr>
            <w:tcW w:w="2560"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Calibri" w:hAnsi="Calibri" w:eastAsia="等线" w:cs="Calibri"/>
                <w:b/>
                <w:bCs/>
                <w:i/>
                <w:iCs/>
                <w:color w:val="000000"/>
                <w:kern w:val="0"/>
                <w:sz w:val="18"/>
                <w:szCs w:val="18"/>
              </w:rPr>
            </w:pPr>
            <w:r>
              <w:rPr>
                <w:rFonts w:ascii="Calibri" w:hAnsi="Calibri" w:eastAsia="等线" w:cs="Calibri"/>
                <w:b/>
                <w:bCs/>
                <w:i/>
                <w:iCs/>
                <w:color w:val="000000"/>
                <w:kern w:val="0"/>
                <w:sz w:val="18"/>
                <w:szCs w:val="18"/>
              </w:rPr>
              <w:t>Lev_bank</w:t>
            </w:r>
          </w:p>
        </w:tc>
        <w:tc>
          <w:tcPr>
            <w:tcW w:w="2560"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Calibri" w:hAnsi="Calibri" w:eastAsia="等线" w:cs="Calibri"/>
                <w:b/>
                <w:bCs/>
                <w:i/>
                <w:iCs/>
                <w:color w:val="000000"/>
                <w:kern w:val="0"/>
                <w:sz w:val="18"/>
                <w:szCs w:val="18"/>
              </w:rPr>
            </w:pPr>
            <w:r>
              <w:rPr>
                <w:rFonts w:ascii="Calibri" w:hAnsi="Calibri" w:eastAsia="等线" w:cs="Calibri"/>
                <w:b/>
                <w:bCs/>
                <w:i/>
                <w:iCs/>
                <w:color w:val="000000"/>
                <w:kern w:val="0"/>
                <w:sz w:val="18"/>
                <w:szCs w:val="18"/>
              </w:rPr>
              <w:t>Lev_comm</w:t>
            </w:r>
          </w:p>
        </w:tc>
      </w:tr>
      <w:tr>
        <w:tblPrEx>
          <w:shd w:val="clear" w:color="auto" w:fill="auto"/>
          <w:tblCellMar>
            <w:top w:w="0" w:type="dxa"/>
            <w:left w:w="108" w:type="dxa"/>
            <w:bottom w:w="0" w:type="dxa"/>
            <w:right w:w="108" w:type="dxa"/>
          </w:tblCellMar>
        </w:tblPrEx>
        <w:trPr>
          <w:trHeight w:val="300" w:hRule="atLeast"/>
        </w:trPr>
        <w:tc>
          <w:tcPr>
            <w:tcW w:w="1500" w:type="dxa"/>
            <w:vMerge w:val="continue"/>
            <w:tcBorders>
              <w:top w:val="single" w:color="auto" w:sz="8" w:space="0"/>
              <w:left w:val="nil"/>
              <w:bottom w:val="single" w:color="000000" w:sz="4" w:space="0"/>
              <w:right w:val="nil"/>
            </w:tcBorders>
            <w:shd w:val="clear" w:color="auto" w:fill="auto"/>
            <w:vAlign w:val="center"/>
          </w:tcPr>
          <w:p>
            <w:pPr>
              <w:widowControl/>
              <w:jc w:val="left"/>
              <w:rPr>
                <w:rFonts w:ascii="仿宋" w:hAnsi="仿宋" w:eastAsia="仿宋" w:cs="宋体"/>
                <w:b/>
                <w:bCs/>
                <w:color w:val="000000"/>
                <w:kern w:val="0"/>
                <w:sz w:val="18"/>
                <w:szCs w:val="18"/>
              </w:rPr>
            </w:pP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RepoL1</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-0.7790</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-1.4038</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-0.2988</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-0.6965</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-0.2401</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-0.5976</w:t>
            </w:r>
            <w:r>
              <w:rPr>
                <w:rFonts w:hint="eastAsia" w:ascii="仿宋" w:hAnsi="仿宋" w:eastAsia="仿宋" w:cs="宋体"/>
                <w:b/>
                <w:bCs/>
                <w:color w:val="000000"/>
                <w:kern w:val="0"/>
                <w:sz w:val="18"/>
                <w:szCs w:val="18"/>
                <w:vertAlign w:val="superscript"/>
              </w:rPr>
              <w:t>***</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(-7.08)</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(-7.87)</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(-3.80)</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(-5.38)</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(-3.91)</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(-6.02)</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LGD</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-0.3351</w:t>
            </w:r>
            <w:r>
              <w:rPr>
                <w:rFonts w:hint="eastAsia" w:ascii="仿宋" w:hAnsi="仿宋" w:eastAsia="仿宋" w:cs="宋体"/>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-0.2156</w:t>
            </w:r>
            <w:r>
              <w:rPr>
                <w:rFonts w:hint="eastAsia" w:ascii="仿宋" w:hAnsi="仿宋" w:eastAsia="仿宋" w:cs="宋体"/>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-0.1404</w:t>
            </w:r>
            <w:r>
              <w:rPr>
                <w:rFonts w:hint="eastAsia" w:ascii="仿宋" w:hAnsi="仿宋" w:eastAsia="仿宋" w:cs="宋体"/>
                <w:color w:val="000000"/>
                <w:kern w:val="0"/>
                <w:sz w:val="18"/>
                <w:szCs w:val="18"/>
                <w:vertAlign w:val="superscript"/>
              </w:rPr>
              <w:t>***</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(-7.00)</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(-6.32)</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(-4.87)</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RepoL1 × LGD</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4.5771</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2.9041</w:t>
            </w:r>
            <w:r>
              <w:rPr>
                <w:rFonts w:hint="eastAsia" w:ascii="仿宋" w:hAnsi="仿宋" w:eastAsia="仿宋" w:cs="宋体"/>
                <w:b/>
                <w:bCs/>
                <w:color w:val="000000"/>
                <w:kern w:val="0"/>
                <w:sz w:val="18"/>
                <w:szCs w:val="18"/>
                <w:vertAlign w:val="superscript"/>
              </w:rPr>
              <w:t>***</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2.8384</w:t>
            </w:r>
            <w:r>
              <w:rPr>
                <w:rFonts w:hint="eastAsia" w:ascii="仿宋" w:hAnsi="仿宋" w:eastAsia="仿宋" w:cs="宋体"/>
                <w:b/>
                <w:bCs/>
                <w:color w:val="000000"/>
                <w:kern w:val="0"/>
                <w:sz w:val="18"/>
                <w:szCs w:val="18"/>
                <w:vertAlign w:val="superscript"/>
              </w:rPr>
              <w:t>***</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(3.96)</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(3.57)</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　</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(4.38)</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公司控制变量</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省份控制变量</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省份固定效应</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季节固定效应</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行业固定效应</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观测数</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105 979</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105 979</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105 979</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105 979</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105 979</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105 979</w:t>
            </w:r>
          </w:p>
        </w:tc>
      </w:tr>
      <w:tr>
        <w:tblPrEx>
          <w:shd w:val="clear" w:color="auto" w:fill="auto"/>
          <w:tblCellMar>
            <w:top w:w="0" w:type="dxa"/>
            <w:left w:w="108" w:type="dxa"/>
            <w:bottom w:w="0" w:type="dxa"/>
            <w:right w:w="108" w:type="dxa"/>
          </w:tblCellMar>
        </w:tblPrEx>
        <w:trPr>
          <w:trHeight w:val="300" w:hRule="atLeast"/>
        </w:trPr>
        <w:tc>
          <w:tcPr>
            <w:tcW w:w="1500" w:type="dxa"/>
            <w:tcBorders>
              <w:top w:val="nil"/>
              <w:left w:val="nil"/>
              <w:bottom w:val="single" w:color="auto" w:sz="4" w:space="0"/>
              <w:right w:val="nil"/>
            </w:tcBorders>
            <w:shd w:val="clear" w:color="auto" w:fill="auto"/>
            <w:noWrap/>
            <w:vAlign w:val="center"/>
          </w:tcPr>
          <w:p>
            <w:pPr>
              <w:widowControl/>
              <w:jc w:val="center"/>
              <w:rPr>
                <w:rFonts w:ascii="Calibri" w:hAnsi="Calibri" w:eastAsia="等线" w:cs="Calibri"/>
                <w:color w:val="000000"/>
                <w:kern w:val="0"/>
                <w:sz w:val="18"/>
                <w:szCs w:val="18"/>
              </w:rPr>
            </w:pPr>
            <w:r>
              <w:rPr>
                <w:rFonts w:ascii="Calibri" w:hAnsi="Calibri" w:eastAsia="等线" w:cs="Calibri"/>
                <w:i/>
                <w:iCs/>
                <w:color w:val="000000"/>
                <w:kern w:val="0"/>
                <w:sz w:val="18"/>
                <w:szCs w:val="18"/>
              </w:rPr>
              <w:t>R</w:t>
            </w:r>
            <w:r>
              <w:rPr>
                <w:rFonts w:ascii="Calibri" w:hAnsi="Calibri" w:eastAsia="等线" w:cs="Calibri"/>
                <w:color w:val="000000"/>
                <w:kern w:val="0"/>
                <w:sz w:val="18"/>
                <w:szCs w:val="18"/>
              </w:rPr>
              <w:t>-squared</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0.3005</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0.3020</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0.2007</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0.2020</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0.1725</w:t>
            </w:r>
          </w:p>
        </w:tc>
        <w:tc>
          <w:tcPr>
            <w:tcW w:w="1280"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0.1731</w:t>
            </w:r>
          </w:p>
        </w:tc>
      </w:tr>
    </w:tbl>
    <w:p>
      <w:pPr>
        <w:rPr>
          <w:rFonts w:ascii="仿宋" w:hAnsi="仿宋" w:eastAsia="仿宋"/>
          <w:sz w:val="18"/>
          <w:szCs w:val="18"/>
        </w:rPr>
      </w:pPr>
      <w:r>
        <w:rPr>
          <w:rFonts w:hint="eastAsia" w:ascii="仿宋" w:hAnsi="仿宋" w:eastAsia="仿宋"/>
          <w:sz w:val="18"/>
          <w:szCs w:val="18"/>
        </w:rPr>
        <w:t>注：回归的标准误聚集到公司层面。</w:t>
      </w:r>
    </w:p>
    <w:p>
      <w:pPr>
        <w:pageBreakBefore/>
        <w:jc w:val="center"/>
        <w:outlineLvl w:val="0"/>
        <w:rPr>
          <w:rFonts w:hint="eastAsia" w:ascii="楷体" w:hAnsi="楷体" w:eastAsia="楷体" w:cs="楷体"/>
          <w:b/>
          <w:sz w:val="28"/>
          <w:szCs w:val="22"/>
        </w:rPr>
      </w:pPr>
      <w:bookmarkStart w:id="5" w:name="_Toc16701"/>
      <w:r>
        <w:rPr>
          <w:rFonts w:hint="eastAsia" w:ascii="楷体" w:hAnsi="楷体" w:eastAsia="楷体" w:cs="楷体"/>
          <w:b/>
          <w:sz w:val="28"/>
          <w:szCs w:val="22"/>
          <w:lang w:val="en-US" w:eastAsia="zh-CN"/>
        </w:rPr>
        <w:t xml:space="preserve">附录Ⅱ </w:t>
      </w:r>
      <w:r>
        <w:rPr>
          <w:rFonts w:hint="eastAsia" w:ascii="楷体" w:hAnsi="楷体" w:eastAsia="楷体" w:cs="楷体"/>
          <w:b/>
          <w:sz w:val="28"/>
          <w:szCs w:val="22"/>
        </w:rPr>
        <w:t>异质性分析：对民营和中小企业“融资难、融资贵”问题的讨论</w:t>
      </w:r>
      <w:bookmarkEnd w:id="5"/>
    </w:p>
    <w:p>
      <w:pPr>
        <w:ind w:firstLine="420"/>
        <w:rPr>
          <w:rFonts w:hint="eastAsia" w:ascii="仿宋" w:hAnsi="仿宋" w:eastAsia="仿宋"/>
        </w:rPr>
      </w:pPr>
      <w:r>
        <w:rPr>
          <w:rFonts w:hint="eastAsia" w:ascii="仿宋" w:hAnsi="仿宋" w:eastAsia="仿宋"/>
        </w:rPr>
        <w:t>为了证实在民营企业和小规模企业中，地方政府隐性债务降低货币政策传导效率的程度更大，我们对按企业规模和所有制结构分样本检验回归模型（2）的结果进行了详细讨论。表</w:t>
      </w:r>
      <w:r>
        <w:rPr>
          <w:rFonts w:hint="eastAsia" w:ascii="仿宋" w:hAnsi="仿宋" w:eastAsia="仿宋" w:cs="仿宋"/>
        </w:rPr>
        <w:t>Ⅱ</w:t>
      </w:r>
      <w:r>
        <w:rPr>
          <w:rFonts w:hint="eastAsia" w:ascii="仿宋" w:hAnsi="仿宋" w:eastAsia="仿宋"/>
          <w:lang w:val="en-US" w:eastAsia="zh-CN"/>
        </w:rPr>
        <w:t>1</w:t>
      </w:r>
      <w:r>
        <w:rPr>
          <w:rFonts w:hint="eastAsia" w:ascii="仿宋" w:hAnsi="仿宋" w:eastAsia="仿宋"/>
        </w:rPr>
        <w:t>的被解释变量是上市企业杠杆率</w:t>
      </w:r>
      <m:oMath>
        <m:r>
          <m:rPr/>
          <w:rPr>
            <w:rFonts w:ascii="Cambria Math" w:hAnsi="Cambria Math" w:eastAsia="仿宋"/>
          </w:rPr>
          <m:t>(</m:t>
        </m:r>
        <m:r>
          <m:rPr/>
          <w:rPr>
            <w:rFonts w:hint="eastAsia" w:ascii="Cambria Math" w:hAnsi="Cambria Math" w:eastAsia="仿宋"/>
          </w:rPr>
          <m:t>Lev</m:t>
        </m:r>
        <m:r>
          <m:rPr/>
          <w:rPr>
            <w:rFonts w:ascii="Cambria Math" w:hAnsi="Cambria Math" w:eastAsia="仿宋"/>
          </w:rPr>
          <m:t>)</m:t>
        </m:r>
      </m:oMath>
      <w:r>
        <w:rPr>
          <w:rFonts w:hint="eastAsia" w:ascii="仿宋" w:hAnsi="仿宋" w:eastAsia="仿宋"/>
        </w:rPr>
        <w:t>,第（1）、（2）列是小规模企业、大规模企业子样本，第（3）、（4）列是民营企业、国有企业子样本。回归结果显示，在大规模企业和国有企业中，</w:t>
      </w:r>
      <m:oMath>
        <m:r>
          <m:rPr/>
          <w:rPr>
            <w:rFonts w:ascii="Cambria Math" w:hAnsi="Cambria Math" w:eastAsia="仿宋"/>
          </w:rPr>
          <m:t>RepoL1</m:t>
        </m:r>
      </m:oMath>
      <w:r>
        <w:rPr>
          <w:rFonts w:hint="eastAsia" w:ascii="仿宋" w:hAnsi="仿宋" w:eastAsia="仿宋"/>
        </w:rPr>
        <w:t>均不显著，说明此类企业的杠杆率对利率变动相对不敏感。</w:t>
      </w:r>
      <w:bookmarkStart w:id="6" w:name="_Hlk115109221"/>
      <w:r>
        <w:rPr>
          <w:rFonts w:hint="eastAsia" w:ascii="仿宋" w:hAnsi="仿宋" w:eastAsia="仿宋"/>
        </w:rPr>
        <w:t>在小规模企业和民营企业中，</w:t>
      </w:r>
      <m:oMath>
        <m:r>
          <m:rPr/>
          <w:rPr>
            <w:rFonts w:ascii="Cambria Math" w:hAnsi="Cambria Math" w:eastAsia="仿宋"/>
          </w:rPr>
          <m:t>RepoL1</m:t>
        </m:r>
      </m:oMath>
      <w:r>
        <w:rPr>
          <w:rFonts w:hint="eastAsia" w:ascii="仿宋" w:hAnsi="仿宋" w:eastAsia="仿宋"/>
        </w:rPr>
        <w:t>、</w:t>
      </w:r>
      <m:oMath>
        <m:r>
          <m:rPr/>
          <w:rPr>
            <w:rFonts w:ascii="Cambria Math" w:hAnsi="Cambria Math" w:eastAsia="等线" w:cs="Calibri"/>
            <w:color w:val="000000"/>
            <w:kern w:val="0"/>
            <w:szCs w:val="21"/>
          </w:rPr>
          <m:t>LGD</m:t>
        </m:r>
      </m:oMath>
      <w:r>
        <w:rPr>
          <w:rFonts w:hint="eastAsia" w:ascii="仿宋" w:hAnsi="仿宋" w:eastAsia="仿宋"/>
        </w:rPr>
        <w:t>在1%的显著性水平上为负，</w:t>
      </w:r>
      <m:oMath>
        <m:r>
          <m:rPr/>
          <w:rPr>
            <w:rFonts w:ascii="Cambria Math" w:hAnsi="Cambria Math" w:eastAsia="等线" w:cs="Calibri"/>
            <w:color w:val="000000"/>
            <w:kern w:val="0"/>
            <w:szCs w:val="21"/>
          </w:rPr>
          <m:t>RepoL1×LGD</m:t>
        </m:r>
      </m:oMath>
      <w:r>
        <w:rPr>
          <w:rFonts w:hint="eastAsia" w:ascii="仿宋" w:hAnsi="仿宋" w:eastAsia="仿宋"/>
        </w:rPr>
        <w:t>在1%的显著性水平上为正，且显著性和系数绝对值较对照子样本更大，说明地方政府隐性债务对货币政策传导效率的削弱和对微观企业融资的挤出主要体现在小规模和民营企业中</w:t>
      </w:r>
      <w:bookmarkEnd w:id="6"/>
      <w:r>
        <w:rPr>
          <w:rStyle w:val="13"/>
          <w:rFonts w:ascii="仿宋" w:hAnsi="仿宋" w:eastAsia="仿宋"/>
        </w:rPr>
        <w:footnoteReference w:id="0"/>
      </w:r>
      <w:r>
        <w:rPr>
          <w:rFonts w:hint="eastAsia" w:ascii="仿宋" w:hAnsi="仿宋" w:eastAsia="仿宋"/>
        </w:rPr>
        <w:t>，论证了地方政府隐性债务的确加剧了民营和中小企业“融资难、融资贵”的问题。</w:t>
      </w:r>
    </w:p>
    <w:p>
      <w:pPr>
        <w:ind w:firstLine="420"/>
        <w:rPr>
          <w:rFonts w:ascii="仿宋" w:hAnsi="仿宋" w:eastAsia="仿宋"/>
          <w:b/>
          <w:sz w:val="24"/>
          <w:szCs w:val="21"/>
        </w:rPr>
      </w:pPr>
    </w:p>
    <w:p>
      <w:pPr>
        <w:jc w:val="center"/>
        <w:outlineLvl w:val="0"/>
        <w:rPr>
          <w:rFonts w:hint="eastAsia" w:ascii="宋体" w:hAnsi="宋体" w:eastAsia="宋体" w:cs="宋体"/>
          <w:b/>
          <w:sz w:val="20"/>
          <w:szCs w:val="21"/>
        </w:rPr>
      </w:pPr>
      <w:bookmarkStart w:id="7" w:name="_Toc15580"/>
      <w:r>
        <w:rPr>
          <w:rFonts w:hint="eastAsia" w:ascii="宋体" w:hAnsi="宋体" w:eastAsia="宋体" w:cs="宋体"/>
          <w:b/>
          <w:sz w:val="20"/>
          <w:szCs w:val="20"/>
        </w:rPr>
        <w:t>表</w:t>
      </w:r>
      <w:r>
        <w:rPr>
          <w:rFonts w:hint="eastAsia" w:ascii="宋体" w:hAnsi="宋体" w:eastAsia="宋体" w:cs="宋体"/>
          <w:sz w:val="20"/>
          <w:szCs w:val="21"/>
        </w:rPr>
        <w:t>Ⅱ</w:t>
      </w:r>
      <w:r>
        <w:rPr>
          <w:rFonts w:hint="eastAsia" w:ascii="宋体" w:hAnsi="宋体" w:eastAsia="宋体" w:cs="宋体"/>
          <w:sz w:val="20"/>
          <w:szCs w:val="21"/>
          <w:lang w:val="en-US" w:eastAsia="zh-CN"/>
        </w:rPr>
        <w:t>1</w:t>
      </w:r>
      <w:r>
        <w:rPr>
          <w:rFonts w:hint="eastAsia" w:ascii="宋体" w:hAnsi="宋体" w:eastAsia="宋体" w:cs="宋体"/>
          <w:b/>
          <w:sz w:val="20"/>
          <w:szCs w:val="20"/>
        </w:rPr>
        <w:t xml:space="preserve"> </w:t>
      </w:r>
      <w:r>
        <w:rPr>
          <w:rFonts w:hint="eastAsia" w:ascii="宋体" w:hAnsi="宋体" w:eastAsia="宋体" w:cs="宋体"/>
          <w:b/>
          <w:sz w:val="20"/>
          <w:szCs w:val="21"/>
        </w:rPr>
        <w:t>对企业规模、所有制结构的异质性分析</w:t>
      </w:r>
      <w:bookmarkEnd w:id="7"/>
    </w:p>
    <w:tbl>
      <w:tblPr>
        <w:tblStyle w:val="9"/>
        <w:tblW w:w="9026" w:type="dxa"/>
        <w:jc w:val="center"/>
        <w:shd w:val="clear" w:color="auto" w:fill="auto"/>
        <w:tblLayout w:type="autofit"/>
        <w:tblCellMar>
          <w:top w:w="0" w:type="dxa"/>
          <w:left w:w="108" w:type="dxa"/>
          <w:bottom w:w="0" w:type="dxa"/>
          <w:right w:w="108" w:type="dxa"/>
        </w:tblCellMar>
      </w:tblPr>
      <w:tblGrid>
        <w:gridCol w:w="2080"/>
        <w:gridCol w:w="1723"/>
        <w:gridCol w:w="1723"/>
        <w:gridCol w:w="222"/>
        <w:gridCol w:w="1723"/>
        <w:gridCol w:w="1555"/>
      </w:tblGrid>
      <w:tr>
        <w:tblPrEx>
          <w:tblCellMar>
            <w:top w:w="0" w:type="dxa"/>
            <w:left w:w="108" w:type="dxa"/>
            <w:bottom w:w="0" w:type="dxa"/>
            <w:right w:w="108" w:type="dxa"/>
          </w:tblCellMar>
        </w:tblPrEx>
        <w:trPr>
          <w:trHeight w:val="300" w:hRule="atLeast"/>
          <w:jc w:val="center"/>
        </w:trPr>
        <w:tc>
          <w:tcPr>
            <w:tcW w:w="2080" w:type="dxa"/>
            <w:vMerge w:val="restart"/>
            <w:tcBorders>
              <w:top w:val="single" w:color="auto" w:sz="8" w:space="0"/>
              <w:left w:val="nil"/>
              <w:bottom w:val="single" w:color="000000" w:sz="4"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变量</w:t>
            </w:r>
          </w:p>
        </w:tc>
        <w:tc>
          <w:tcPr>
            <w:tcW w:w="6946" w:type="dxa"/>
            <w:gridSpan w:val="5"/>
            <w:tcBorders>
              <w:top w:val="single" w:color="auto" w:sz="8" w:space="0"/>
              <w:left w:val="nil"/>
              <w:bottom w:val="single" w:color="auto" w:sz="4" w:space="0"/>
              <w:right w:val="nil"/>
            </w:tcBorders>
            <w:shd w:val="clear" w:color="auto" w:fill="auto"/>
            <w:noWrap/>
            <w:vAlign w:val="center"/>
          </w:tcPr>
          <w:p>
            <w:pPr>
              <w:widowControl/>
              <w:jc w:val="center"/>
              <w:rPr>
                <w:rFonts w:ascii="Calibri" w:hAnsi="Calibri" w:eastAsia="等线" w:cs="Calibri"/>
                <w:b/>
                <w:bCs/>
                <w:i/>
                <w:iCs/>
                <w:color w:val="000000"/>
                <w:kern w:val="0"/>
                <w:sz w:val="18"/>
                <w:szCs w:val="18"/>
              </w:rPr>
            </w:pPr>
            <w:r>
              <w:rPr>
                <w:rFonts w:ascii="Calibri" w:hAnsi="Calibri" w:eastAsia="等线" w:cs="Calibri"/>
                <w:b/>
                <w:bCs/>
                <w:i/>
                <w:iCs/>
                <w:color w:val="000000"/>
                <w:kern w:val="0"/>
                <w:sz w:val="18"/>
                <w:szCs w:val="18"/>
              </w:rPr>
              <w:t>Lev</w:t>
            </w:r>
          </w:p>
        </w:tc>
      </w:tr>
      <w:tr>
        <w:tblPrEx>
          <w:tblCellMar>
            <w:top w:w="0" w:type="dxa"/>
            <w:left w:w="108" w:type="dxa"/>
            <w:bottom w:w="0" w:type="dxa"/>
            <w:right w:w="108" w:type="dxa"/>
          </w:tblCellMar>
        </w:tblPrEx>
        <w:trPr>
          <w:trHeight w:val="300" w:hRule="atLeast"/>
          <w:jc w:val="center"/>
        </w:trPr>
        <w:tc>
          <w:tcPr>
            <w:tcW w:w="2080" w:type="dxa"/>
            <w:vMerge w:val="continue"/>
            <w:tcBorders>
              <w:top w:val="single" w:color="auto" w:sz="8" w:space="0"/>
              <w:left w:val="nil"/>
              <w:bottom w:val="single" w:color="000000" w:sz="4" w:space="0"/>
              <w:right w:val="nil"/>
            </w:tcBorders>
            <w:shd w:val="clear" w:color="auto" w:fill="auto"/>
            <w:vAlign w:val="center"/>
          </w:tcPr>
          <w:p>
            <w:pPr>
              <w:widowControl/>
              <w:jc w:val="left"/>
              <w:rPr>
                <w:rFonts w:ascii="仿宋" w:hAnsi="仿宋" w:eastAsia="仿宋" w:cs="宋体"/>
                <w:b/>
                <w:bCs/>
                <w:color w:val="000000"/>
                <w:kern w:val="0"/>
                <w:sz w:val="18"/>
                <w:szCs w:val="18"/>
              </w:rPr>
            </w:pPr>
          </w:p>
        </w:tc>
        <w:tc>
          <w:tcPr>
            <w:tcW w:w="3446"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企业规模</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3278"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企业所有制结构</w:t>
            </w:r>
          </w:p>
        </w:tc>
      </w:tr>
      <w:tr>
        <w:tblPrEx>
          <w:shd w:val="clear" w:color="auto" w:fill="auto"/>
          <w:tblCellMar>
            <w:top w:w="0" w:type="dxa"/>
            <w:left w:w="108" w:type="dxa"/>
            <w:bottom w:w="0" w:type="dxa"/>
            <w:right w:w="108" w:type="dxa"/>
          </w:tblCellMar>
        </w:tblPrEx>
        <w:trPr>
          <w:trHeight w:val="300" w:hRule="atLeast"/>
          <w:jc w:val="center"/>
        </w:trPr>
        <w:tc>
          <w:tcPr>
            <w:tcW w:w="2080" w:type="dxa"/>
            <w:vMerge w:val="continue"/>
            <w:tcBorders>
              <w:top w:val="single" w:color="auto" w:sz="8" w:space="0"/>
              <w:left w:val="nil"/>
              <w:bottom w:val="single" w:color="000000" w:sz="4" w:space="0"/>
              <w:right w:val="nil"/>
            </w:tcBorders>
            <w:shd w:val="clear" w:color="auto" w:fill="auto"/>
            <w:vAlign w:val="center"/>
          </w:tcPr>
          <w:p>
            <w:pPr>
              <w:widowControl/>
              <w:jc w:val="left"/>
              <w:rPr>
                <w:rFonts w:ascii="仿宋" w:hAnsi="仿宋" w:eastAsia="仿宋" w:cs="宋体"/>
                <w:b/>
                <w:bCs/>
                <w:color w:val="000000"/>
                <w:kern w:val="0"/>
                <w:sz w:val="18"/>
                <w:szCs w:val="18"/>
              </w:rPr>
            </w:pPr>
          </w:p>
        </w:tc>
        <w:tc>
          <w:tcPr>
            <w:tcW w:w="1723"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w:t>
            </w:r>
          </w:p>
        </w:tc>
        <w:tc>
          <w:tcPr>
            <w:tcW w:w="1723"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民营</w:t>
            </w:r>
          </w:p>
        </w:tc>
        <w:tc>
          <w:tcPr>
            <w:tcW w:w="1555"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国有</w:t>
            </w:r>
          </w:p>
        </w:tc>
      </w:tr>
      <w:tr>
        <w:tblPrEx>
          <w:tblCellMar>
            <w:top w:w="0" w:type="dxa"/>
            <w:left w:w="108" w:type="dxa"/>
            <w:bottom w:w="0" w:type="dxa"/>
            <w:right w:w="108" w:type="dxa"/>
          </w:tblCellMar>
        </w:tblPrEx>
        <w:trPr>
          <w:trHeight w:val="300" w:hRule="atLeast"/>
          <w:jc w:val="center"/>
        </w:trPr>
        <w:tc>
          <w:tcPr>
            <w:tcW w:w="2080" w:type="dxa"/>
            <w:vMerge w:val="continue"/>
            <w:tcBorders>
              <w:top w:val="single" w:color="auto" w:sz="8" w:space="0"/>
              <w:left w:val="nil"/>
              <w:bottom w:val="single" w:color="000000" w:sz="4" w:space="0"/>
              <w:right w:val="nil"/>
            </w:tcBorders>
            <w:shd w:val="clear" w:color="auto" w:fill="auto"/>
            <w:vAlign w:val="center"/>
          </w:tcPr>
          <w:p>
            <w:pPr>
              <w:widowControl/>
              <w:jc w:val="left"/>
              <w:rPr>
                <w:rFonts w:ascii="仿宋" w:hAnsi="仿宋" w:eastAsia="仿宋" w:cs="宋体"/>
                <w:b/>
                <w:bCs/>
                <w:color w:val="000000"/>
                <w:kern w:val="0"/>
                <w:sz w:val="18"/>
                <w:szCs w:val="18"/>
              </w:rPr>
            </w:pPr>
          </w:p>
        </w:tc>
        <w:tc>
          <w:tcPr>
            <w:tcW w:w="1723"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723"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222"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1555"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shd w:val="clear" w:color="auto" w:fill="auto"/>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shd w:val="clear" w:color="auto" w:fill="auto"/>
            <w:noWrap/>
            <w:vAlign w:val="center"/>
          </w:tcPr>
          <w:p>
            <w:pPr>
              <w:widowControl/>
              <w:jc w:val="center"/>
              <w:rPr>
                <w:rFonts w:ascii="Calibri" w:hAnsi="Calibri" w:eastAsia="等线" w:cs="Calibri"/>
                <w:bCs/>
                <w:i/>
                <w:iCs/>
                <w:color w:val="000000"/>
                <w:kern w:val="0"/>
                <w:sz w:val="18"/>
                <w:szCs w:val="18"/>
              </w:rPr>
            </w:pPr>
            <w:r>
              <w:rPr>
                <w:rFonts w:ascii="Calibri" w:hAnsi="Calibri" w:eastAsia="等线" w:cs="Calibri"/>
                <w:bCs/>
                <w:i/>
                <w:iCs/>
                <w:color w:val="000000"/>
                <w:kern w:val="0"/>
                <w:sz w:val="18"/>
                <w:szCs w:val="18"/>
              </w:rPr>
              <w:t>RepoL1</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-2.9235</w:t>
            </w:r>
            <w:r>
              <w:rPr>
                <w:rFonts w:hint="eastAsia" w:ascii="仿宋" w:hAnsi="仿宋" w:eastAsia="仿宋" w:cs="宋体"/>
                <w:b/>
                <w:color w:val="000000"/>
                <w:kern w:val="0"/>
                <w:sz w:val="18"/>
                <w:szCs w:val="18"/>
                <w:vertAlign w:val="superscript"/>
              </w:rPr>
              <w:t>***</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0.0167</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-2.6489</w:t>
            </w:r>
            <w:r>
              <w:rPr>
                <w:rFonts w:hint="eastAsia" w:ascii="仿宋" w:hAnsi="仿宋" w:eastAsia="仿宋" w:cs="宋体"/>
                <w:b/>
                <w:color w:val="000000"/>
                <w:kern w:val="0"/>
                <w:sz w:val="18"/>
                <w:szCs w:val="18"/>
                <w:vertAlign w:val="superscript"/>
              </w:rPr>
              <w:t>***</w:t>
            </w:r>
          </w:p>
        </w:tc>
        <w:tc>
          <w:tcPr>
            <w:tcW w:w="155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0.2042</w:t>
            </w:r>
          </w:p>
        </w:tc>
      </w:tr>
      <w:tr>
        <w:tblPrEx>
          <w:shd w:val="clear" w:color="auto" w:fill="auto"/>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(-11.96)</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(0.06)</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(-6.37)</w:t>
            </w:r>
          </w:p>
        </w:tc>
        <w:tc>
          <w:tcPr>
            <w:tcW w:w="155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(0.56)</w:t>
            </w:r>
          </w:p>
        </w:tc>
      </w:tr>
      <w:tr>
        <w:tblPrEx>
          <w:shd w:val="clear" w:color="auto" w:fill="auto"/>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shd w:val="clear" w:color="auto" w:fill="auto"/>
            <w:noWrap/>
            <w:vAlign w:val="center"/>
          </w:tcPr>
          <w:p>
            <w:pPr>
              <w:widowControl/>
              <w:jc w:val="center"/>
              <w:rPr>
                <w:rFonts w:ascii="Calibri" w:hAnsi="Calibri" w:eastAsia="等线" w:cs="Calibri"/>
                <w:bCs/>
                <w:i/>
                <w:iCs/>
                <w:color w:val="000000"/>
                <w:kern w:val="0"/>
                <w:sz w:val="18"/>
                <w:szCs w:val="18"/>
              </w:rPr>
            </w:pPr>
            <w:r>
              <w:rPr>
                <w:rFonts w:ascii="Calibri" w:hAnsi="Calibri" w:eastAsia="等线" w:cs="Calibri"/>
                <w:bCs/>
                <w:i/>
                <w:iCs/>
                <w:color w:val="000000"/>
                <w:kern w:val="0"/>
                <w:sz w:val="18"/>
                <w:szCs w:val="18"/>
              </w:rPr>
              <w:t>LGD</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-0.3939</w:t>
            </w:r>
            <w:r>
              <w:rPr>
                <w:rFonts w:hint="eastAsia" w:ascii="仿宋" w:hAnsi="仿宋" w:eastAsia="仿宋" w:cs="宋体"/>
                <w:color w:val="000000"/>
                <w:kern w:val="0"/>
                <w:sz w:val="18"/>
                <w:szCs w:val="18"/>
                <w:vertAlign w:val="superscript"/>
              </w:rPr>
              <w:t>***</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-0.2747</w:t>
            </w:r>
            <w:r>
              <w:rPr>
                <w:rFonts w:hint="eastAsia" w:ascii="仿宋" w:hAnsi="仿宋" w:eastAsia="仿宋" w:cs="宋体"/>
                <w:color w:val="000000"/>
                <w:kern w:val="0"/>
                <w:sz w:val="18"/>
                <w:szCs w:val="18"/>
                <w:vertAlign w:val="superscript"/>
              </w:rPr>
              <w:t>***</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-0.4856</w:t>
            </w:r>
            <w:r>
              <w:rPr>
                <w:rFonts w:hint="eastAsia" w:ascii="仿宋" w:hAnsi="仿宋" w:eastAsia="仿宋" w:cs="宋体"/>
                <w:color w:val="000000"/>
                <w:kern w:val="0"/>
                <w:sz w:val="18"/>
                <w:szCs w:val="18"/>
                <w:vertAlign w:val="superscript"/>
              </w:rPr>
              <w:t>***</w:t>
            </w:r>
          </w:p>
        </w:tc>
        <w:tc>
          <w:tcPr>
            <w:tcW w:w="155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-0.1197</w:t>
            </w:r>
            <w:r>
              <w:rPr>
                <w:rFonts w:hint="eastAsia" w:ascii="仿宋" w:hAnsi="仿宋" w:eastAsia="仿宋" w:cs="宋体"/>
                <w:color w:val="000000"/>
                <w:kern w:val="0"/>
                <w:sz w:val="18"/>
                <w:szCs w:val="18"/>
                <w:vertAlign w:val="superscript"/>
              </w:rPr>
              <w:t>**</w:t>
            </w:r>
          </w:p>
        </w:tc>
      </w:tr>
      <w:tr>
        <w:tblPrEx>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(-7.42)</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(-3.88)</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(-12.70)</w:t>
            </w:r>
          </w:p>
        </w:tc>
        <w:tc>
          <w:tcPr>
            <w:tcW w:w="155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(-2.52)</w:t>
            </w:r>
          </w:p>
        </w:tc>
      </w:tr>
      <w:tr>
        <w:tblPrEx>
          <w:shd w:val="clear" w:color="auto" w:fill="auto"/>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shd w:val="clear" w:color="auto" w:fill="auto"/>
            <w:noWrap/>
            <w:vAlign w:val="center"/>
          </w:tcPr>
          <w:p>
            <w:pPr>
              <w:widowControl/>
              <w:jc w:val="center"/>
              <w:rPr>
                <w:rFonts w:ascii="Calibri" w:hAnsi="Calibri" w:eastAsia="等线" w:cs="Calibri"/>
                <w:bCs/>
                <w:i/>
                <w:iCs/>
                <w:color w:val="000000"/>
                <w:kern w:val="0"/>
                <w:sz w:val="18"/>
                <w:szCs w:val="18"/>
              </w:rPr>
            </w:pPr>
            <w:r>
              <w:rPr>
                <w:rFonts w:ascii="Calibri" w:hAnsi="Calibri" w:eastAsia="等线" w:cs="Calibri"/>
                <w:bCs/>
                <w:i/>
                <w:iCs/>
                <w:color w:val="000000"/>
                <w:kern w:val="0"/>
                <w:sz w:val="18"/>
                <w:szCs w:val="18"/>
              </w:rPr>
              <w:t>RepoL1 × LGD</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6.8565</w:t>
            </w:r>
            <w:r>
              <w:rPr>
                <w:rFonts w:hint="eastAsia" w:ascii="仿宋" w:hAnsi="仿宋" w:eastAsia="仿宋" w:cs="宋体"/>
                <w:b/>
                <w:color w:val="000000"/>
                <w:kern w:val="0"/>
                <w:sz w:val="18"/>
                <w:szCs w:val="18"/>
                <w:vertAlign w:val="superscript"/>
              </w:rPr>
              <w:t>***</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2.1338</w:t>
            </w:r>
            <w:r>
              <w:rPr>
                <w:rFonts w:hint="eastAsia" w:ascii="仿宋" w:hAnsi="仿宋" w:eastAsia="仿宋" w:cs="宋体"/>
                <w:color w:val="000000"/>
                <w:kern w:val="0"/>
                <w:sz w:val="18"/>
                <w:szCs w:val="18"/>
                <w:vertAlign w:val="superscript"/>
              </w:rPr>
              <w:t>***</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7.3922</w:t>
            </w:r>
            <w:r>
              <w:rPr>
                <w:rFonts w:hint="eastAsia" w:ascii="仿宋" w:hAnsi="仿宋" w:eastAsia="仿宋" w:cs="宋体"/>
                <w:b/>
                <w:color w:val="000000"/>
                <w:kern w:val="0"/>
                <w:sz w:val="18"/>
                <w:szCs w:val="18"/>
                <w:vertAlign w:val="superscript"/>
              </w:rPr>
              <w:t>***</w:t>
            </w:r>
          </w:p>
        </w:tc>
        <w:tc>
          <w:tcPr>
            <w:tcW w:w="155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1.1633</w:t>
            </w:r>
          </w:p>
        </w:tc>
      </w:tr>
      <w:tr>
        <w:tblPrEx>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shd w:val="clear" w:color="auto" w:fill="auto"/>
            <w:noWrap/>
            <w:vAlign w:val="center"/>
          </w:tcPr>
          <w:p>
            <w:pPr>
              <w:widowControl/>
              <w:jc w:val="center"/>
              <w:rPr>
                <w:rFonts w:ascii="Calibri" w:hAnsi="Calibri" w:eastAsia="等线" w:cs="Calibri"/>
                <w:color w:val="000000"/>
                <w:kern w:val="0"/>
                <w:sz w:val="18"/>
                <w:szCs w:val="18"/>
              </w:rPr>
            </w:pPr>
            <w:r>
              <w:rPr>
                <w:rFonts w:ascii="Calibri" w:hAnsi="Calibri" w:eastAsia="等线" w:cs="Calibri"/>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(4.72)</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(2.77)</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(9.40)</w:t>
            </w:r>
          </w:p>
        </w:tc>
        <w:tc>
          <w:tcPr>
            <w:tcW w:w="155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(0.60)</w:t>
            </w:r>
          </w:p>
        </w:tc>
      </w:tr>
      <w:tr>
        <w:tblPrEx>
          <w:shd w:val="clear" w:color="auto" w:fill="auto"/>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shd w:val="clear" w:color="auto" w:fill="auto"/>
            <w:noWrap/>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公司控制变量</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55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shd w:val="clear" w:color="auto" w:fill="auto"/>
            <w:noWrap/>
            <w:vAlign w:val="center"/>
          </w:tcPr>
          <w:p>
            <w:pPr>
              <w:widowControl/>
              <w:jc w:val="center"/>
              <w:rPr>
                <w:rFonts w:ascii="仿宋" w:hAnsi="仿宋" w:eastAsia="仿宋" w:cs="宋体"/>
                <w:bCs/>
                <w:color w:val="000000"/>
                <w:kern w:val="0"/>
                <w:sz w:val="18"/>
                <w:szCs w:val="18"/>
              </w:rPr>
            </w:pPr>
            <w:r>
              <w:rPr>
                <w:rFonts w:hint="eastAsia" w:ascii="仿宋" w:hAnsi="仿宋" w:eastAsia="仿宋"/>
                <w:sz w:val="18"/>
                <w:szCs w:val="18"/>
              </w:rPr>
              <w:t>省际</w:t>
            </w:r>
            <w:r>
              <w:rPr>
                <w:rFonts w:hint="eastAsia" w:ascii="仿宋" w:hAnsi="仿宋" w:eastAsia="仿宋" w:cs="宋体"/>
                <w:bCs/>
                <w:color w:val="000000"/>
                <w:kern w:val="0"/>
                <w:sz w:val="18"/>
                <w:szCs w:val="18"/>
              </w:rPr>
              <w:t>控制变量</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55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shd w:val="clear" w:color="auto" w:fill="auto"/>
            <w:noWrap/>
            <w:vAlign w:val="center"/>
          </w:tcPr>
          <w:p>
            <w:pPr>
              <w:widowControl/>
              <w:jc w:val="center"/>
              <w:rPr>
                <w:rFonts w:ascii="仿宋" w:hAnsi="仿宋" w:eastAsia="仿宋" w:cs="宋体"/>
                <w:bCs/>
                <w:color w:val="000000"/>
                <w:kern w:val="0"/>
                <w:sz w:val="18"/>
                <w:szCs w:val="18"/>
              </w:rPr>
            </w:pPr>
            <w:r>
              <w:rPr>
                <w:rFonts w:hint="eastAsia" w:ascii="仿宋" w:hAnsi="仿宋" w:eastAsia="仿宋"/>
                <w:sz w:val="18"/>
                <w:szCs w:val="18"/>
              </w:rPr>
              <w:t>省际</w:t>
            </w:r>
            <w:r>
              <w:rPr>
                <w:rFonts w:hint="eastAsia" w:ascii="仿宋" w:hAnsi="仿宋" w:eastAsia="仿宋" w:cs="宋体"/>
                <w:bCs/>
                <w:color w:val="000000"/>
                <w:kern w:val="0"/>
                <w:sz w:val="18"/>
                <w:szCs w:val="18"/>
              </w:rPr>
              <w:t>固定效应</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55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shd w:val="clear" w:color="auto" w:fill="auto"/>
            <w:noWrap/>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季节固定效应</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55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shd w:val="clear" w:color="auto" w:fill="auto"/>
            <w:noWrap/>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行业固定效应</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55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shd w:val="clear" w:color="auto" w:fill="auto"/>
            <w:noWrap/>
            <w:vAlign w:val="center"/>
          </w:tcPr>
          <w:p>
            <w:pPr>
              <w:widowControl/>
              <w:jc w:val="center"/>
              <w:rPr>
                <w:rFonts w:ascii="仿宋" w:hAnsi="仿宋" w:eastAsia="仿宋" w:cs="宋体"/>
                <w:bCs/>
                <w:color w:val="000000"/>
                <w:kern w:val="0"/>
                <w:sz w:val="18"/>
                <w:szCs w:val="18"/>
              </w:rPr>
            </w:pPr>
            <w:r>
              <w:rPr>
                <w:rFonts w:hint="eastAsia" w:ascii="仿宋" w:hAnsi="仿宋" w:eastAsia="仿宋" w:cs="宋体"/>
                <w:bCs/>
                <w:color w:val="000000"/>
                <w:kern w:val="0"/>
                <w:sz w:val="18"/>
                <w:szCs w:val="18"/>
              </w:rPr>
              <w:t>观测数</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51 110</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54 869</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60 150</w:t>
            </w:r>
          </w:p>
        </w:tc>
        <w:tc>
          <w:tcPr>
            <w:tcW w:w="155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45 829</w:t>
            </w:r>
          </w:p>
        </w:tc>
      </w:tr>
      <w:tr>
        <w:tblPrEx>
          <w:tblCellMar>
            <w:top w:w="0" w:type="dxa"/>
            <w:left w:w="108" w:type="dxa"/>
            <w:bottom w:w="0" w:type="dxa"/>
            <w:right w:w="108" w:type="dxa"/>
          </w:tblCellMar>
        </w:tblPrEx>
        <w:trPr>
          <w:trHeight w:val="300" w:hRule="atLeast"/>
          <w:jc w:val="center"/>
        </w:trPr>
        <w:tc>
          <w:tcPr>
            <w:tcW w:w="2080" w:type="dxa"/>
            <w:tcBorders>
              <w:top w:val="nil"/>
              <w:left w:val="nil"/>
              <w:bottom w:val="single" w:color="auto" w:sz="8" w:space="0"/>
              <w:right w:val="nil"/>
            </w:tcBorders>
            <w:shd w:val="clear" w:color="auto" w:fill="auto"/>
            <w:noWrap/>
            <w:vAlign w:val="center"/>
          </w:tcPr>
          <w:p>
            <w:pPr>
              <w:widowControl/>
              <w:jc w:val="center"/>
              <w:rPr>
                <w:rFonts w:ascii="Calibri" w:hAnsi="Calibri" w:eastAsia="等线" w:cs="Calibri"/>
                <w:bCs/>
                <w:color w:val="000000"/>
                <w:kern w:val="0"/>
                <w:sz w:val="18"/>
                <w:szCs w:val="18"/>
              </w:rPr>
            </w:pPr>
            <w:r>
              <w:rPr>
                <w:rFonts w:ascii="Calibri" w:hAnsi="Calibri" w:eastAsia="等线" w:cs="Calibri"/>
                <w:bCs/>
                <w:i/>
                <w:iCs/>
                <w:color w:val="000000"/>
                <w:kern w:val="0"/>
                <w:sz w:val="18"/>
                <w:szCs w:val="18"/>
              </w:rPr>
              <w:t>R</w:t>
            </w:r>
            <w:r>
              <w:rPr>
                <w:rFonts w:ascii="Calibri" w:hAnsi="Calibri" w:eastAsia="等线" w:cs="Calibri"/>
                <w:bCs/>
                <w:color w:val="000000"/>
                <w:kern w:val="0"/>
                <w:sz w:val="18"/>
                <w:szCs w:val="18"/>
              </w:rPr>
              <w:t>-squared</w:t>
            </w:r>
          </w:p>
        </w:tc>
        <w:tc>
          <w:tcPr>
            <w:tcW w:w="1723"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0.1269</w:t>
            </w:r>
          </w:p>
        </w:tc>
        <w:tc>
          <w:tcPr>
            <w:tcW w:w="1723"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0.2552</w:t>
            </w:r>
          </w:p>
        </w:tc>
        <w:tc>
          <w:tcPr>
            <w:tcW w:w="222"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723"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0.2650</w:t>
            </w:r>
          </w:p>
        </w:tc>
        <w:tc>
          <w:tcPr>
            <w:tcW w:w="1555"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0.2404</w:t>
            </w:r>
          </w:p>
        </w:tc>
      </w:tr>
    </w:tbl>
    <w:p>
      <w:pPr>
        <w:rPr>
          <w:rFonts w:ascii="仿宋" w:hAnsi="仿宋" w:eastAsia="仿宋"/>
          <w:sz w:val="18"/>
        </w:rPr>
      </w:pPr>
    </w:p>
    <w:p>
      <w:pPr>
        <w:ind w:firstLine="420"/>
        <w:rPr>
          <w:rFonts w:ascii="仿宋" w:hAnsi="仿宋" w:eastAsia="仿宋"/>
        </w:rPr>
      </w:pPr>
      <w:r>
        <w:rPr>
          <w:rFonts w:hint="eastAsia" w:ascii="仿宋" w:hAnsi="仿宋" w:eastAsia="仿宋"/>
        </w:rPr>
        <w:t>为了证实在宽松货币环境中，地方政府隐性债务削弱货币政策向民营企业和小规模企业传导的程度更大，我们对不同货币政策下小规模企业和民营企业子样本检验回归模型（</w:t>
      </w:r>
      <w:r>
        <w:rPr>
          <w:rFonts w:ascii="仿宋" w:hAnsi="仿宋" w:eastAsia="仿宋"/>
        </w:rPr>
        <w:t>2）的结果进行了详细讨论。</w:t>
      </w:r>
      <w:r>
        <w:rPr>
          <w:rFonts w:hint="eastAsia" w:ascii="仿宋" w:hAnsi="仿宋" w:eastAsia="仿宋"/>
        </w:rPr>
        <w:t>表</w:t>
      </w:r>
      <w:r>
        <w:rPr>
          <w:rFonts w:hint="eastAsia" w:ascii="仿宋" w:hAnsi="仿宋" w:eastAsia="仿宋" w:cs="仿宋"/>
        </w:rPr>
        <w:t>Ⅱ</w:t>
      </w:r>
      <w:r>
        <w:rPr>
          <w:rFonts w:hint="eastAsia" w:ascii="仿宋" w:hAnsi="仿宋" w:eastAsia="仿宋"/>
          <w:lang w:val="en-US" w:eastAsia="zh-CN"/>
        </w:rPr>
        <w:t>2</w:t>
      </w:r>
      <w:r>
        <w:rPr>
          <w:rFonts w:hint="eastAsia" w:ascii="仿宋" w:hAnsi="仿宋" w:eastAsia="仿宋"/>
        </w:rPr>
        <w:t>中被解释变量是上市企业杠杆率</w:t>
      </w:r>
      <m:oMath>
        <m:r>
          <m:rPr/>
          <w:rPr>
            <w:rFonts w:ascii="Cambria Math" w:hAnsi="Cambria Math" w:eastAsia="仿宋"/>
          </w:rPr>
          <m:t>(</m:t>
        </m:r>
        <m:r>
          <m:rPr/>
          <w:rPr>
            <w:rFonts w:hint="eastAsia" w:ascii="Cambria Math" w:hAnsi="Cambria Math" w:eastAsia="仿宋"/>
          </w:rPr>
          <m:t>Lev</m:t>
        </m:r>
        <m:r>
          <m:rPr/>
          <w:rPr>
            <w:rFonts w:ascii="Cambria Math" w:hAnsi="Cambria Math" w:eastAsia="仿宋"/>
          </w:rPr>
          <m:t>)</m:t>
        </m:r>
      </m:oMath>
      <w:r>
        <w:rPr>
          <w:rFonts w:hint="eastAsia" w:ascii="仿宋" w:hAnsi="仿宋" w:eastAsia="仿宋"/>
        </w:rPr>
        <w:t>,第（1）、（2）列是小规模企业在宽松和紧缩货币环境下的子样本，第（3）、（4）列是民营企业在宽松和紧缩货币环境下的子样本。回归结果显示，在宽松货币环境下，小规模企业和民营企业的</w:t>
      </w:r>
      <m:oMath>
        <m:r>
          <m:rPr/>
          <w:rPr>
            <w:rFonts w:ascii="Cambria Math" w:hAnsi="Cambria Math" w:eastAsia="等线" w:cs="Calibri"/>
            <w:color w:val="000000"/>
            <w:kern w:val="0"/>
            <w:szCs w:val="21"/>
          </w:rPr>
          <m:t>RepoL1×LGD</m:t>
        </m:r>
      </m:oMath>
      <w:r>
        <w:rPr>
          <w:rFonts w:hint="eastAsia" w:ascii="仿宋" w:hAnsi="仿宋" w:eastAsia="仿宋"/>
        </w:rPr>
        <w:t>在1%的显著性水平上为正，而在紧缩货币环境下不显著，说明地方政府隐性债务对货币政策传导效率的削弱在不同货币环境下呈现非对称特性。也即当货币政策宽松时，高企的地方政府隐性债务水平使得利率下行对民营和中小企业融资的正面影响大幅降低；而货币政策紧缩时，高企的地方政府隐性债务水平却不能使得利率上行带来的民营和中小企业杠杆率下降程度相应减少。</w:t>
      </w:r>
    </w:p>
    <w:p>
      <w:pPr>
        <w:ind w:firstLine="420"/>
        <w:rPr>
          <w:rFonts w:hint="eastAsia" w:ascii="仿宋" w:hAnsi="仿宋" w:eastAsia="仿宋"/>
          <w:sz w:val="18"/>
        </w:rPr>
      </w:pPr>
    </w:p>
    <w:p>
      <w:pPr>
        <w:pageBreakBefore/>
        <w:jc w:val="center"/>
        <w:rPr>
          <w:rFonts w:hint="eastAsia" w:ascii="宋体" w:hAnsi="宋体" w:eastAsia="宋体" w:cs="宋体"/>
          <w:b/>
          <w:sz w:val="20"/>
          <w:szCs w:val="21"/>
        </w:rPr>
      </w:pPr>
      <w:r>
        <w:rPr>
          <w:rFonts w:hint="eastAsia" w:ascii="宋体" w:hAnsi="宋体" w:eastAsia="宋体" w:cs="宋体"/>
          <w:b/>
          <w:sz w:val="20"/>
          <w:szCs w:val="20"/>
        </w:rPr>
        <w:t>表</w:t>
      </w:r>
      <w:r>
        <w:rPr>
          <w:rFonts w:hint="eastAsia" w:ascii="宋体" w:hAnsi="宋体" w:eastAsia="宋体" w:cs="宋体"/>
          <w:sz w:val="20"/>
          <w:szCs w:val="21"/>
        </w:rPr>
        <w:t>Ⅱ</w:t>
      </w:r>
      <w:r>
        <w:rPr>
          <w:rFonts w:hint="eastAsia" w:ascii="宋体" w:hAnsi="宋体" w:eastAsia="宋体" w:cs="宋体"/>
          <w:sz w:val="20"/>
          <w:szCs w:val="21"/>
          <w:lang w:val="en-US" w:eastAsia="zh-CN"/>
        </w:rPr>
        <w:t>2</w:t>
      </w:r>
      <w:r>
        <w:rPr>
          <w:rFonts w:hint="eastAsia" w:ascii="宋体" w:hAnsi="宋体" w:eastAsia="宋体" w:cs="宋体"/>
          <w:b/>
          <w:sz w:val="20"/>
          <w:szCs w:val="20"/>
        </w:rPr>
        <w:t xml:space="preserve"> </w:t>
      </w:r>
      <w:r>
        <w:rPr>
          <w:rFonts w:hint="eastAsia" w:ascii="宋体" w:hAnsi="宋体" w:eastAsia="宋体" w:cs="宋体"/>
          <w:b/>
          <w:sz w:val="20"/>
          <w:szCs w:val="21"/>
        </w:rPr>
        <w:t>宽松和紧缩货币政策对民营和中小企业货币政策传导的非对称影响</w:t>
      </w:r>
    </w:p>
    <w:tbl>
      <w:tblPr>
        <w:tblStyle w:val="9"/>
        <w:tblW w:w="9070" w:type="dxa"/>
        <w:tblInd w:w="0" w:type="dxa"/>
        <w:shd w:val="clear" w:color="auto" w:fill="auto"/>
        <w:tblLayout w:type="autofit"/>
        <w:tblCellMar>
          <w:top w:w="0" w:type="dxa"/>
          <w:left w:w="108" w:type="dxa"/>
          <w:bottom w:w="0" w:type="dxa"/>
          <w:right w:w="108" w:type="dxa"/>
        </w:tblCellMar>
      </w:tblPr>
      <w:tblGrid>
        <w:gridCol w:w="2088"/>
        <w:gridCol w:w="1690"/>
        <w:gridCol w:w="1690"/>
        <w:gridCol w:w="222"/>
        <w:gridCol w:w="1690"/>
        <w:gridCol w:w="1690"/>
      </w:tblGrid>
      <w:tr>
        <w:tblPrEx>
          <w:tblCellMar>
            <w:top w:w="0" w:type="dxa"/>
            <w:left w:w="108" w:type="dxa"/>
            <w:bottom w:w="0" w:type="dxa"/>
            <w:right w:w="108" w:type="dxa"/>
          </w:tblCellMar>
        </w:tblPrEx>
        <w:trPr>
          <w:trHeight w:val="300" w:hRule="atLeast"/>
        </w:trPr>
        <w:tc>
          <w:tcPr>
            <w:tcW w:w="2088" w:type="dxa"/>
            <w:vMerge w:val="restart"/>
            <w:tcBorders>
              <w:top w:val="single" w:color="auto" w:sz="8" w:space="0"/>
              <w:left w:val="nil"/>
              <w:bottom w:val="single" w:color="000000" w:sz="8"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变量</w:t>
            </w:r>
          </w:p>
        </w:tc>
        <w:tc>
          <w:tcPr>
            <w:tcW w:w="6982" w:type="dxa"/>
            <w:gridSpan w:val="5"/>
            <w:tcBorders>
              <w:top w:val="single" w:color="auto" w:sz="8" w:space="0"/>
              <w:left w:val="nil"/>
              <w:bottom w:val="single" w:color="auto" w:sz="8" w:space="0"/>
              <w:right w:val="nil"/>
            </w:tcBorders>
            <w:shd w:val="clear" w:color="auto" w:fill="auto"/>
            <w:noWrap/>
            <w:vAlign w:val="center"/>
          </w:tcPr>
          <w:p>
            <w:pPr>
              <w:widowControl/>
              <w:jc w:val="center"/>
              <w:rPr>
                <w:rFonts w:ascii="Calibri" w:hAnsi="Calibri" w:eastAsia="等线" w:cs="Calibri"/>
                <w:b/>
                <w:bCs/>
                <w:i/>
                <w:iCs/>
                <w:color w:val="000000"/>
                <w:kern w:val="0"/>
                <w:sz w:val="18"/>
                <w:szCs w:val="18"/>
              </w:rPr>
            </w:pPr>
            <w:r>
              <w:rPr>
                <w:rFonts w:ascii="Calibri" w:hAnsi="Calibri" w:eastAsia="等线" w:cs="Calibri"/>
                <w:b/>
                <w:bCs/>
                <w:i/>
                <w:iCs/>
                <w:color w:val="000000"/>
                <w:kern w:val="0"/>
                <w:sz w:val="18"/>
                <w:szCs w:val="18"/>
              </w:rPr>
              <w:t>Lev</w:t>
            </w:r>
          </w:p>
        </w:tc>
      </w:tr>
      <w:tr>
        <w:tblPrEx>
          <w:shd w:val="clear" w:color="auto" w:fill="auto"/>
          <w:tblCellMar>
            <w:top w:w="0" w:type="dxa"/>
            <w:left w:w="108" w:type="dxa"/>
            <w:bottom w:w="0" w:type="dxa"/>
            <w:right w:w="108" w:type="dxa"/>
          </w:tblCellMar>
        </w:tblPrEx>
        <w:trPr>
          <w:trHeight w:val="300" w:hRule="atLeast"/>
        </w:trPr>
        <w:tc>
          <w:tcPr>
            <w:tcW w:w="2088" w:type="dxa"/>
            <w:vMerge w:val="continue"/>
            <w:tcBorders>
              <w:top w:val="single" w:color="auto" w:sz="8" w:space="0"/>
              <w:left w:val="nil"/>
              <w:bottom w:val="single" w:color="000000" w:sz="8" w:space="0"/>
              <w:right w:val="nil"/>
            </w:tcBorders>
            <w:shd w:val="clear" w:color="auto" w:fill="auto"/>
            <w:vAlign w:val="center"/>
          </w:tcPr>
          <w:p>
            <w:pPr>
              <w:widowControl/>
              <w:jc w:val="left"/>
              <w:rPr>
                <w:rFonts w:ascii="仿宋" w:hAnsi="仿宋" w:eastAsia="仿宋" w:cs="宋体"/>
                <w:b/>
                <w:bCs/>
                <w:color w:val="000000"/>
                <w:kern w:val="0"/>
                <w:sz w:val="18"/>
                <w:szCs w:val="18"/>
              </w:rPr>
            </w:pPr>
          </w:p>
        </w:tc>
        <w:tc>
          <w:tcPr>
            <w:tcW w:w="3380" w:type="dxa"/>
            <w:gridSpan w:val="2"/>
            <w:tcBorders>
              <w:top w:val="single" w:color="auto" w:sz="8" w:space="0"/>
              <w:left w:val="nil"/>
              <w:bottom w:val="single" w:color="auto" w:sz="8"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小规模企业</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3380" w:type="dxa"/>
            <w:gridSpan w:val="2"/>
            <w:tcBorders>
              <w:top w:val="single" w:color="auto" w:sz="8" w:space="0"/>
              <w:left w:val="nil"/>
              <w:bottom w:val="single" w:color="auto" w:sz="8"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民营企业</w:t>
            </w:r>
          </w:p>
        </w:tc>
      </w:tr>
      <w:tr>
        <w:tblPrEx>
          <w:tblCellMar>
            <w:top w:w="0" w:type="dxa"/>
            <w:left w:w="108" w:type="dxa"/>
            <w:bottom w:w="0" w:type="dxa"/>
            <w:right w:w="108" w:type="dxa"/>
          </w:tblCellMar>
        </w:tblPrEx>
        <w:trPr>
          <w:trHeight w:val="300" w:hRule="atLeast"/>
        </w:trPr>
        <w:tc>
          <w:tcPr>
            <w:tcW w:w="2088" w:type="dxa"/>
            <w:vMerge w:val="continue"/>
            <w:tcBorders>
              <w:top w:val="single" w:color="auto" w:sz="8" w:space="0"/>
              <w:left w:val="nil"/>
              <w:bottom w:val="single" w:color="000000" w:sz="8" w:space="0"/>
              <w:right w:val="nil"/>
            </w:tcBorders>
            <w:shd w:val="clear" w:color="auto" w:fill="auto"/>
            <w:vAlign w:val="center"/>
          </w:tcPr>
          <w:p>
            <w:pPr>
              <w:widowControl/>
              <w:jc w:val="left"/>
              <w:rPr>
                <w:rFonts w:ascii="仿宋" w:hAnsi="仿宋" w:eastAsia="仿宋" w:cs="宋体"/>
                <w:b/>
                <w:bCs/>
                <w:color w:val="000000"/>
                <w:kern w:val="0"/>
                <w:sz w:val="18"/>
                <w:szCs w:val="18"/>
              </w:rPr>
            </w:pPr>
          </w:p>
        </w:tc>
        <w:tc>
          <w:tcPr>
            <w:tcW w:w="1690"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宽松货币政策</w:t>
            </w:r>
          </w:p>
        </w:tc>
        <w:tc>
          <w:tcPr>
            <w:tcW w:w="1690"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紧缩货币政策</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690"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宽松货币政策</w:t>
            </w:r>
          </w:p>
        </w:tc>
        <w:tc>
          <w:tcPr>
            <w:tcW w:w="1690"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紧缩货币政策</w:t>
            </w:r>
          </w:p>
        </w:tc>
      </w:tr>
      <w:tr>
        <w:tblPrEx>
          <w:shd w:val="clear" w:color="auto" w:fill="auto"/>
          <w:tblCellMar>
            <w:top w:w="0" w:type="dxa"/>
            <w:left w:w="108" w:type="dxa"/>
            <w:bottom w:w="0" w:type="dxa"/>
            <w:right w:w="108" w:type="dxa"/>
          </w:tblCellMar>
        </w:tblPrEx>
        <w:trPr>
          <w:trHeight w:val="300" w:hRule="atLeast"/>
        </w:trPr>
        <w:tc>
          <w:tcPr>
            <w:tcW w:w="2088" w:type="dxa"/>
            <w:vMerge w:val="continue"/>
            <w:tcBorders>
              <w:top w:val="single" w:color="auto" w:sz="8" w:space="0"/>
              <w:left w:val="nil"/>
              <w:bottom w:val="single" w:color="000000" w:sz="8" w:space="0"/>
              <w:right w:val="nil"/>
            </w:tcBorders>
            <w:shd w:val="clear" w:color="auto" w:fill="auto"/>
            <w:vAlign w:val="center"/>
          </w:tcPr>
          <w:p>
            <w:pPr>
              <w:widowControl/>
              <w:jc w:val="left"/>
              <w:rPr>
                <w:rFonts w:ascii="仿宋" w:hAnsi="仿宋" w:eastAsia="仿宋" w:cs="宋体"/>
                <w:b/>
                <w:bCs/>
                <w:color w:val="000000"/>
                <w:kern w:val="0"/>
                <w:sz w:val="18"/>
                <w:szCs w:val="18"/>
              </w:rPr>
            </w:pPr>
          </w:p>
        </w:tc>
        <w:tc>
          <w:tcPr>
            <w:tcW w:w="1690"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690"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222"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1690"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shd w:val="clear" w:color="auto" w:fill="auto"/>
          <w:tblCellMar>
            <w:top w:w="0" w:type="dxa"/>
            <w:left w:w="108" w:type="dxa"/>
            <w:bottom w:w="0" w:type="dxa"/>
            <w:right w:w="108" w:type="dxa"/>
          </w:tblCellMar>
        </w:tblPrEx>
        <w:trPr>
          <w:trHeight w:val="300" w:hRule="atLeast"/>
        </w:trPr>
        <w:tc>
          <w:tcPr>
            <w:tcW w:w="2088"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RepoL1</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-2.1104</w:t>
            </w:r>
            <w:r>
              <w:rPr>
                <w:rFonts w:hint="eastAsia" w:ascii="仿宋" w:hAnsi="仿宋" w:eastAsia="仿宋" w:cs="宋体"/>
                <w:color w:val="000000"/>
                <w:kern w:val="0"/>
                <w:sz w:val="18"/>
                <w:szCs w:val="18"/>
                <w:vertAlign w:val="superscript"/>
              </w:rPr>
              <w:t>***</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-2.6026</w:t>
            </w:r>
            <w:r>
              <w:rPr>
                <w:rFonts w:hint="eastAsia" w:ascii="仿宋" w:hAnsi="仿宋" w:eastAsia="仿宋" w:cs="宋体"/>
                <w:color w:val="000000"/>
                <w:kern w:val="0"/>
                <w:sz w:val="18"/>
                <w:szCs w:val="18"/>
                <w:vertAlign w:val="superscript"/>
              </w:rPr>
              <w:t>***</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-1.7937</w:t>
            </w:r>
            <w:r>
              <w:rPr>
                <w:rFonts w:hint="eastAsia" w:ascii="仿宋" w:hAnsi="仿宋" w:eastAsia="仿宋" w:cs="宋体"/>
                <w:color w:val="000000"/>
                <w:kern w:val="0"/>
                <w:sz w:val="18"/>
                <w:szCs w:val="18"/>
                <w:vertAlign w:val="superscript"/>
              </w:rPr>
              <w:t>***</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-1.3218</w:t>
            </w:r>
          </w:p>
        </w:tc>
      </w:tr>
      <w:tr>
        <w:tblPrEx>
          <w:shd w:val="clear" w:color="auto" w:fill="auto"/>
          <w:tblCellMar>
            <w:top w:w="0" w:type="dxa"/>
            <w:left w:w="108" w:type="dxa"/>
            <w:bottom w:w="0" w:type="dxa"/>
            <w:right w:w="108" w:type="dxa"/>
          </w:tblCellMar>
        </w:tblPrEx>
        <w:trPr>
          <w:trHeight w:val="300" w:hRule="atLeast"/>
        </w:trPr>
        <w:tc>
          <w:tcPr>
            <w:tcW w:w="2088" w:type="dxa"/>
            <w:tcBorders>
              <w:top w:val="nil"/>
              <w:left w:val="nil"/>
              <w:bottom w:val="nil"/>
              <w:right w:val="nil"/>
            </w:tcBorders>
            <w:shd w:val="clear" w:color="auto" w:fill="auto"/>
            <w:noWrap/>
            <w:vAlign w:val="center"/>
          </w:tcPr>
          <w:p>
            <w:pPr>
              <w:widowControl/>
              <w:jc w:val="center"/>
              <w:rPr>
                <w:rFonts w:ascii="等线" w:hAnsi="等线" w:eastAsia="等线" w:cs="宋体"/>
                <w:i/>
                <w:iCs/>
                <w:color w:val="000000"/>
                <w:kern w:val="0"/>
                <w:sz w:val="18"/>
                <w:szCs w:val="18"/>
              </w:rPr>
            </w:pPr>
            <w:r>
              <w:rPr>
                <w:rFonts w:hint="eastAsia" w:ascii="等线" w:hAnsi="等线" w:eastAsia="等线" w:cs="宋体"/>
                <w:i/>
                <w:iCs/>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(-3.62)</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(-3.06)</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(-4.43)</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(-1.45)</w:t>
            </w:r>
          </w:p>
        </w:tc>
      </w:tr>
      <w:tr>
        <w:tblPrEx>
          <w:tblCellMar>
            <w:top w:w="0" w:type="dxa"/>
            <w:left w:w="108" w:type="dxa"/>
            <w:bottom w:w="0" w:type="dxa"/>
            <w:right w:w="108" w:type="dxa"/>
          </w:tblCellMar>
        </w:tblPrEx>
        <w:trPr>
          <w:trHeight w:val="300" w:hRule="atLeast"/>
        </w:trPr>
        <w:tc>
          <w:tcPr>
            <w:tcW w:w="2088"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LGD</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-0.5619</w:t>
            </w:r>
            <w:r>
              <w:rPr>
                <w:rFonts w:hint="eastAsia" w:ascii="仿宋" w:hAnsi="仿宋" w:eastAsia="仿宋" w:cs="宋体"/>
                <w:color w:val="000000"/>
                <w:kern w:val="0"/>
                <w:sz w:val="18"/>
                <w:szCs w:val="18"/>
                <w:vertAlign w:val="superscript"/>
              </w:rPr>
              <w:t>***</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-0.3040</w:t>
            </w:r>
            <w:r>
              <w:rPr>
                <w:rFonts w:hint="eastAsia" w:ascii="仿宋" w:hAnsi="仿宋" w:eastAsia="仿宋" w:cs="宋体"/>
                <w:color w:val="000000"/>
                <w:kern w:val="0"/>
                <w:sz w:val="18"/>
                <w:szCs w:val="18"/>
                <w:vertAlign w:val="superscript"/>
              </w:rPr>
              <w:t>***</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-0.6578</w:t>
            </w:r>
            <w:r>
              <w:rPr>
                <w:rFonts w:hint="eastAsia" w:ascii="仿宋" w:hAnsi="仿宋" w:eastAsia="仿宋" w:cs="宋体"/>
                <w:color w:val="000000"/>
                <w:kern w:val="0"/>
                <w:sz w:val="18"/>
                <w:szCs w:val="18"/>
                <w:vertAlign w:val="superscript"/>
              </w:rPr>
              <w:t>***</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-0.3374</w:t>
            </w:r>
            <w:r>
              <w:rPr>
                <w:rFonts w:hint="eastAsia" w:ascii="仿宋" w:hAnsi="仿宋" w:eastAsia="仿宋" w:cs="宋体"/>
                <w:color w:val="000000"/>
                <w:kern w:val="0"/>
                <w:sz w:val="18"/>
                <w:szCs w:val="18"/>
                <w:vertAlign w:val="superscript"/>
              </w:rPr>
              <w:t>***</w:t>
            </w:r>
          </w:p>
        </w:tc>
      </w:tr>
      <w:tr>
        <w:tblPrEx>
          <w:shd w:val="clear" w:color="auto" w:fill="auto"/>
          <w:tblCellMar>
            <w:top w:w="0" w:type="dxa"/>
            <w:left w:w="108" w:type="dxa"/>
            <w:bottom w:w="0" w:type="dxa"/>
            <w:right w:w="108" w:type="dxa"/>
          </w:tblCellMar>
        </w:tblPrEx>
        <w:trPr>
          <w:trHeight w:val="300" w:hRule="atLeast"/>
        </w:trPr>
        <w:tc>
          <w:tcPr>
            <w:tcW w:w="2088" w:type="dxa"/>
            <w:tcBorders>
              <w:top w:val="nil"/>
              <w:left w:val="nil"/>
              <w:bottom w:val="nil"/>
              <w:right w:val="nil"/>
            </w:tcBorders>
            <w:shd w:val="clear" w:color="auto" w:fill="auto"/>
            <w:noWrap/>
            <w:vAlign w:val="center"/>
          </w:tcPr>
          <w:p>
            <w:pPr>
              <w:widowControl/>
              <w:jc w:val="center"/>
              <w:rPr>
                <w:rFonts w:ascii="等线" w:hAnsi="等线" w:eastAsia="等线" w:cs="宋体"/>
                <w:i/>
                <w:iCs/>
                <w:color w:val="000000"/>
                <w:kern w:val="0"/>
                <w:sz w:val="18"/>
                <w:szCs w:val="18"/>
              </w:rPr>
            </w:pPr>
            <w:r>
              <w:rPr>
                <w:rFonts w:hint="eastAsia" w:ascii="等线" w:hAnsi="等线" w:eastAsia="等线" w:cs="宋体"/>
                <w:i/>
                <w:iCs/>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(-5.17)</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(-5.28)</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(-4.87)</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(-15.86)</w:t>
            </w:r>
          </w:p>
        </w:tc>
      </w:tr>
      <w:tr>
        <w:tblPrEx>
          <w:shd w:val="clear" w:color="auto" w:fill="auto"/>
          <w:tblCellMar>
            <w:top w:w="0" w:type="dxa"/>
            <w:left w:w="108" w:type="dxa"/>
            <w:bottom w:w="0" w:type="dxa"/>
            <w:right w:w="108" w:type="dxa"/>
          </w:tblCellMar>
        </w:tblPrEx>
        <w:trPr>
          <w:trHeight w:val="300" w:hRule="atLeast"/>
        </w:trPr>
        <w:tc>
          <w:tcPr>
            <w:tcW w:w="2088"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RepoL1 × LGD</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15.2594</w:t>
            </w:r>
            <w:r>
              <w:rPr>
                <w:rFonts w:hint="eastAsia" w:ascii="仿宋" w:hAnsi="仿宋" w:eastAsia="仿宋" w:cs="宋体"/>
                <w:b/>
                <w:bCs/>
                <w:color w:val="000000"/>
                <w:kern w:val="0"/>
                <w:sz w:val="18"/>
                <w:szCs w:val="18"/>
                <w:vertAlign w:val="superscript"/>
              </w:rPr>
              <w:t>***</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2.3810</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16.0036</w:t>
            </w:r>
            <w:r>
              <w:rPr>
                <w:rFonts w:hint="eastAsia" w:ascii="仿宋" w:hAnsi="仿宋" w:eastAsia="仿宋" w:cs="宋体"/>
                <w:b/>
                <w:bCs/>
                <w:color w:val="000000"/>
                <w:kern w:val="0"/>
                <w:sz w:val="18"/>
                <w:szCs w:val="18"/>
                <w:vertAlign w:val="superscript"/>
              </w:rPr>
              <w:t>***</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-1.1653</w:t>
            </w:r>
          </w:p>
        </w:tc>
      </w:tr>
      <w:tr>
        <w:tblPrEx>
          <w:shd w:val="clear" w:color="auto" w:fill="auto"/>
          <w:tblCellMar>
            <w:top w:w="0" w:type="dxa"/>
            <w:left w:w="108" w:type="dxa"/>
            <w:bottom w:w="0" w:type="dxa"/>
            <w:right w:w="108" w:type="dxa"/>
          </w:tblCellMar>
        </w:tblPrEx>
        <w:trPr>
          <w:trHeight w:val="300" w:hRule="atLeast"/>
        </w:trPr>
        <w:tc>
          <w:tcPr>
            <w:tcW w:w="2088" w:type="dxa"/>
            <w:tcBorders>
              <w:top w:val="nil"/>
              <w:left w:val="nil"/>
              <w:bottom w:val="nil"/>
              <w:right w:val="nil"/>
            </w:tcBorders>
            <w:shd w:val="clear" w:color="auto" w:fill="auto"/>
            <w:noWrap/>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(4.57)</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(1.22)</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(4.94)</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(-0.87)</w:t>
            </w:r>
          </w:p>
        </w:tc>
      </w:tr>
      <w:tr>
        <w:tblPrEx>
          <w:shd w:val="clear" w:color="auto" w:fill="auto"/>
          <w:tblCellMar>
            <w:top w:w="0" w:type="dxa"/>
            <w:left w:w="108" w:type="dxa"/>
            <w:bottom w:w="0" w:type="dxa"/>
            <w:right w:w="108" w:type="dxa"/>
          </w:tblCellMar>
        </w:tblPrEx>
        <w:trPr>
          <w:trHeight w:val="300" w:hRule="atLeast"/>
        </w:trPr>
        <w:tc>
          <w:tcPr>
            <w:tcW w:w="2088"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公司控制变量</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2088"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省份控制变量</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2088"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省份固定效应</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2088"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季节固定效应</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2088"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行业固定效应</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2088"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观测数</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23 941</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27 169</w:t>
            </w:r>
          </w:p>
        </w:tc>
        <w:tc>
          <w:tcPr>
            <w:tcW w:w="22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26 707</w:t>
            </w:r>
          </w:p>
        </w:tc>
        <w:tc>
          <w:tcPr>
            <w:tcW w:w="169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33 443</w:t>
            </w:r>
          </w:p>
        </w:tc>
      </w:tr>
      <w:tr>
        <w:tblPrEx>
          <w:shd w:val="clear" w:color="auto" w:fill="auto"/>
          <w:tblCellMar>
            <w:top w:w="0" w:type="dxa"/>
            <w:left w:w="108" w:type="dxa"/>
            <w:bottom w:w="0" w:type="dxa"/>
            <w:right w:w="108" w:type="dxa"/>
          </w:tblCellMar>
        </w:tblPrEx>
        <w:trPr>
          <w:trHeight w:val="300" w:hRule="atLeast"/>
        </w:trPr>
        <w:tc>
          <w:tcPr>
            <w:tcW w:w="2088" w:type="dxa"/>
            <w:tcBorders>
              <w:top w:val="nil"/>
              <w:left w:val="nil"/>
              <w:bottom w:val="single" w:color="auto" w:sz="8" w:space="0"/>
              <w:right w:val="nil"/>
            </w:tcBorders>
            <w:shd w:val="clear" w:color="auto" w:fill="auto"/>
            <w:noWrap/>
            <w:vAlign w:val="center"/>
          </w:tcPr>
          <w:p>
            <w:pPr>
              <w:widowControl/>
              <w:jc w:val="center"/>
              <w:rPr>
                <w:rFonts w:ascii="Calibri" w:hAnsi="Calibri" w:eastAsia="等线" w:cs="Calibri"/>
                <w:color w:val="000000"/>
                <w:kern w:val="0"/>
                <w:sz w:val="18"/>
                <w:szCs w:val="18"/>
              </w:rPr>
            </w:pPr>
            <w:r>
              <w:rPr>
                <w:rFonts w:ascii="Calibri" w:hAnsi="Calibri" w:eastAsia="等线" w:cs="Calibri"/>
                <w:i/>
                <w:iCs/>
                <w:color w:val="000000"/>
                <w:kern w:val="0"/>
                <w:sz w:val="18"/>
                <w:szCs w:val="18"/>
              </w:rPr>
              <w:t>R</w:t>
            </w:r>
            <w:r>
              <w:rPr>
                <w:rFonts w:ascii="Calibri" w:hAnsi="Calibri" w:eastAsia="等线" w:cs="Calibri"/>
                <w:color w:val="000000"/>
                <w:kern w:val="0"/>
                <w:sz w:val="18"/>
                <w:szCs w:val="18"/>
              </w:rPr>
              <w:t>-squared</w:t>
            </w:r>
          </w:p>
        </w:tc>
        <w:tc>
          <w:tcPr>
            <w:tcW w:w="1690"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0.1248</w:t>
            </w:r>
          </w:p>
        </w:tc>
        <w:tc>
          <w:tcPr>
            <w:tcW w:w="1690"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0.1289</w:t>
            </w:r>
          </w:p>
        </w:tc>
        <w:tc>
          <w:tcPr>
            <w:tcW w:w="222"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0"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0.2453</w:t>
            </w:r>
          </w:p>
        </w:tc>
        <w:tc>
          <w:tcPr>
            <w:tcW w:w="1690"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0.2852</w:t>
            </w:r>
          </w:p>
        </w:tc>
      </w:tr>
    </w:tbl>
    <w:p>
      <w:pPr>
        <w:ind w:firstLine="420" w:firstLineChars="200"/>
        <w:rPr>
          <w:rFonts w:ascii="仿宋" w:hAnsi="仿宋" w:eastAsia="仿宋"/>
        </w:rPr>
      </w:pPr>
    </w:p>
    <w:p>
      <w:pPr>
        <w:pageBreakBefore/>
        <w:jc w:val="center"/>
        <w:outlineLvl w:val="0"/>
        <w:rPr>
          <w:rFonts w:hint="eastAsia" w:ascii="楷体" w:hAnsi="楷体" w:eastAsia="楷体" w:cs="楷体"/>
          <w:b w:val="0"/>
          <w:bCs/>
          <w:sz w:val="28"/>
          <w:szCs w:val="22"/>
        </w:rPr>
      </w:pPr>
      <w:bookmarkStart w:id="8" w:name="_Toc15227"/>
      <w:r>
        <w:rPr>
          <w:rFonts w:hint="eastAsia" w:ascii="楷体" w:hAnsi="楷体" w:eastAsia="楷体" w:cs="楷体"/>
          <w:b w:val="0"/>
          <w:bCs/>
          <w:sz w:val="28"/>
          <w:szCs w:val="22"/>
          <w:lang w:val="en-US" w:eastAsia="zh-CN"/>
        </w:rPr>
        <w:t xml:space="preserve">附录Ⅲ </w:t>
      </w:r>
      <w:r>
        <w:rPr>
          <w:rFonts w:hint="eastAsia" w:ascii="楷体" w:hAnsi="楷体" w:eastAsia="楷体" w:cs="楷体"/>
          <w:b w:val="0"/>
          <w:bCs/>
          <w:sz w:val="28"/>
          <w:szCs w:val="22"/>
        </w:rPr>
        <w:t>进一步分析：对“43号文”影响的讨论</w:t>
      </w:r>
      <w:bookmarkEnd w:id="8"/>
    </w:p>
    <w:p>
      <w:pPr>
        <w:autoSpaceDE w:val="0"/>
        <w:autoSpaceDN w:val="0"/>
        <w:adjustRightInd w:val="0"/>
        <w:ind w:firstLine="420"/>
        <w:rPr>
          <w:rFonts w:ascii="仿宋" w:hAnsi="仿宋" w:eastAsia="仿宋"/>
        </w:rPr>
      </w:pPr>
      <w:r>
        <w:rPr>
          <w:rFonts w:hint="eastAsia" w:ascii="仿宋" w:hAnsi="仿宋" w:eastAsia="仿宋"/>
        </w:rPr>
        <w:t>为了考察“4</w:t>
      </w:r>
      <w:r>
        <w:rPr>
          <w:rFonts w:ascii="仿宋" w:hAnsi="仿宋" w:eastAsia="仿宋"/>
        </w:rPr>
        <w:t>3</w:t>
      </w:r>
      <w:r>
        <w:rPr>
          <w:rFonts w:hint="eastAsia" w:ascii="仿宋" w:hAnsi="仿宋" w:eastAsia="仿宋"/>
        </w:rPr>
        <w:t>号文”对地方政府隐性债务削弱货币政策传导效率的影响程度，我们在剔除发文当年样本中对回归模型（9）-（1</w:t>
      </w:r>
      <w:r>
        <w:rPr>
          <w:rFonts w:ascii="仿宋" w:hAnsi="仿宋" w:eastAsia="仿宋"/>
        </w:rPr>
        <w:t>0</w:t>
      </w:r>
      <w:r>
        <w:rPr>
          <w:rFonts w:hint="eastAsia" w:ascii="仿宋" w:hAnsi="仿宋" w:eastAsia="仿宋"/>
        </w:rPr>
        <w:t>）进行检验，回归结果与基准回归相符，证实了地方政府隐性债务对货币政策传导效率的削弱和对微观企业融资的挤出。同时，</w:t>
      </w:r>
      <w:r>
        <w:rPr>
          <w:rFonts w:hint="eastAsia" w:ascii="仿宋" w:hAnsi="仿宋" w:eastAsia="仿宋" w:cs="Times New Roman"/>
          <w:b/>
          <w:szCs w:val="21"/>
        </w:rPr>
        <w:t>表</w:t>
      </w:r>
      <w:r>
        <w:rPr>
          <w:rFonts w:hint="eastAsia" w:ascii="仿宋" w:hAnsi="仿宋" w:eastAsia="仿宋" w:cs="仿宋"/>
          <w:b/>
          <w:szCs w:val="21"/>
        </w:rPr>
        <w:t>Ⅲ</w:t>
      </w:r>
      <w:r>
        <w:rPr>
          <w:rFonts w:hint="eastAsia" w:ascii="仿宋" w:hAnsi="仿宋" w:eastAsia="仿宋" w:cs="Times New Roman"/>
          <w:b/>
          <w:szCs w:val="21"/>
          <w:lang w:val="en-US" w:eastAsia="zh-CN"/>
        </w:rPr>
        <w:t>1</w:t>
      </w:r>
      <w:r>
        <w:rPr>
          <w:rFonts w:ascii="仿宋" w:hAnsi="仿宋" w:eastAsia="仿宋" w:cs="Times New Roman"/>
          <w:b/>
          <w:szCs w:val="21"/>
        </w:rPr>
        <w:t xml:space="preserve"> </w:t>
      </w:r>
      <w:r>
        <w:rPr>
          <w:rFonts w:hint="eastAsia" w:ascii="仿宋" w:hAnsi="仿宋" w:eastAsia="仿宋"/>
        </w:rPr>
        <w:t>第（1）列的</w:t>
      </w:r>
      <m:oMath>
        <m:r>
          <m:rPr/>
          <w:rPr>
            <w:rFonts w:ascii="Cambria Math" w:hAnsi="Cambria Math" w:eastAsia="等线" w:cs="Calibri"/>
            <w:kern w:val="0"/>
            <w:szCs w:val="21"/>
          </w:rPr>
          <m:t>Post</m:t>
        </m:r>
      </m:oMath>
      <w:r>
        <w:rPr>
          <w:rFonts w:hint="eastAsia" w:ascii="仿宋" w:hAnsi="仿宋" w:eastAsia="仿宋"/>
          <w:kern w:val="0"/>
          <w:szCs w:val="21"/>
        </w:rPr>
        <w:t>不显著，说明</w:t>
      </w:r>
      <w:r>
        <w:rPr>
          <w:rFonts w:hint="eastAsia" w:ascii="仿宋" w:hAnsi="仿宋" w:eastAsia="仿宋" w:cs="Times New Roman"/>
          <w:szCs w:val="21"/>
        </w:rPr>
        <w:t>“43号文”发布前后，企业杠杆率水平没有系统性差异</w:t>
      </w:r>
      <w:r>
        <w:rPr>
          <w:rFonts w:hint="eastAsia" w:ascii="仿宋" w:hAnsi="仿宋" w:eastAsia="仿宋" w:cs="Times New Roman"/>
          <w:color w:val="2E75B6" w:themeColor="accent1" w:themeShade="BF"/>
          <w:szCs w:val="21"/>
        </w:rPr>
        <w:t>。</w:t>
      </w:r>
      <w:r>
        <w:rPr>
          <w:rFonts w:hint="eastAsia" w:ascii="仿宋" w:hAnsi="仿宋" w:eastAsia="仿宋"/>
        </w:rPr>
        <w:t>此外，第（2）列的</w:t>
      </w:r>
      <m:oMath>
        <m:r>
          <m:rPr/>
          <w:rPr>
            <w:rFonts w:ascii="Cambria Math" w:hAnsi="Cambria Math" w:eastAsia="等线" w:cs="Calibri"/>
            <w:color w:val="000000"/>
            <w:kern w:val="0"/>
            <w:szCs w:val="21"/>
          </w:rPr>
          <m:t>LGD×Post</m:t>
        </m:r>
      </m:oMath>
      <w:r>
        <w:rPr>
          <w:rFonts w:hint="eastAsia" w:ascii="仿宋" w:hAnsi="仿宋" w:eastAsia="仿宋"/>
        </w:rPr>
        <w:t>和</w:t>
      </w:r>
      <m:oMath>
        <m:r>
          <m:rPr/>
          <w:rPr>
            <w:rFonts w:ascii="Cambria Math" w:hAnsi="Cambria Math" w:eastAsia="等线" w:cs="Calibri"/>
            <w:color w:val="000000"/>
            <w:kern w:val="0"/>
            <w:szCs w:val="21"/>
          </w:rPr>
          <m:t>RepoL1×LGD×Post</m:t>
        </m:r>
      </m:oMath>
      <w:r>
        <w:rPr>
          <w:rFonts w:hint="eastAsia" w:ascii="仿宋" w:hAnsi="仿宋" w:eastAsia="仿宋"/>
        </w:rPr>
        <w:t>在1%的显著性水平上分别为正、为负，说明“4</w:t>
      </w:r>
      <w:r>
        <w:rPr>
          <w:rFonts w:ascii="仿宋" w:hAnsi="仿宋" w:eastAsia="仿宋"/>
        </w:rPr>
        <w:t>3</w:t>
      </w:r>
      <w:r>
        <w:rPr>
          <w:rFonts w:hint="eastAsia" w:ascii="仿宋" w:hAnsi="仿宋" w:eastAsia="仿宋"/>
        </w:rPr>
        <w:t>号文”发布后，地方政府隐性债务对微观企业的融资挤出和对货币政策传导效率的削弱程度都显著减少，即限制地方政府隐性债务扩张的改革能够显著提升货币政策传导效率。</w:t>
      </w:r>
    </w:p>
    <w:p>
      <w:pPr>
        <w:autoSpaceDE w:val="0"/>
        <w:autoSpaceDN w:val="0"/>
        <w:adjustRightInd w:val="0"/>
        <w:ind w:firstLine="420"/>
        <w:rPr>
          <w:rFonts w:hint="eastAsia" w:ascii="仿宋" w:hAnsi="仿宋" w:eastAsia="仿宋"/>
        </w:rPr>
      </w:pPr>
    </w:p>
    <w:p>
      <w:pPr>
        <w:jc w:val="center"/>
        <w:outlineLvl w:val="0"/>
        <w:rPr>
          <w:rFonts w:hint="eastAsia" w:ascii="宋体" w:hAnsi="宋体" w:eastAsia="宋体" w:cs="宋体"/>
          <w:b/>
          <w:sz w:val="20"/>
          <w:szCs w:val="21"/>
        </w:rPr>
      </w:pPr>
      <w:bookmarkStart w:id="9" w:name="_Toc603"/>
      <w:r>
        <w:rPr>
          <w:rFonts w:hint="eastAsia" w:ascii="宋体" w:hAnsi="宋体" w:eastAsia="宋体" w:cs="宋体"/>
          <w:b/>
          <w:sz w:val="20"/>
          <w:szCs w:val="20"/>
        </w:rPr>
        <w:t>表Ⅲ</w:t>
      </w:r>
      <w:r>
        <w:rPr>
          <w:rFonts w:hint="eastAsia" w:ascii="宋体" w:hAnsi="宋体" w:eastAsia="宋体" w:cs="宋体"/>
          <w:b/>
          <w:sz w:val="20"/>
          <w:szCs w:val="20"/>
          <w:lang w:val="en-US" w:eastAsia="zh-CN"/>
        </w:rPr>
        <w:t>1</w:t>
      </w:r>
      <w:r>
        <w:rPr>
          <w:rFonts w:hint="eastAsia" w:ascii="宋体" w:hAnsi="宋体" w:eastAsia="宋体" w:cs="宋体"/>
          <w:b/>
          <w:sz w:val="20"/>
          <w:szCs w:val="20"/>
        </w:rPr>
        <w:t xml:space="preserve"> </w:t>
      </w:r>
      <w:r>
        <w:rPr>
          <w:rFonts w:hint="eastAsia" w:ascii="宋体" w:hAnsi="宋体" w:eastAsia="宋体" w:cs="宋体"/>
          <w:b/>
          <w:sz w:val="20"/>
          <w:szCs w:val="21"/>
        </w:rPr>
        <w:t>“43号文”对货币政策传导效率的影响</w:t>
      </w:r>
      <w:bookmarkEnd w:id="9"/>
    </w:p>
    <w:tbl>
      <w:tblPr>
        <w:tblStyle w:val="9"/>
        <w:tblW w:w="9000" w:type="dxa"/>
        <w:tblInd w:w="0" w:type="dxa"/>
        <w:shd w:val="clear" w:color="auto" w:fill="auto"/>
        <w:tblLayout w:type="autofit"/>
        <w:tblCellMar>
          <w:top w:w="0" w:type="dxa"/>
          <w:left w:w="108" w:type="dxa"/>
          <w:bottom w:w="0" w:type="dxa"/>
          <w:right w:w="108" w:type="dxa"/>
        </w:tblCellMar>
      </w:tblPr>
      <w:tblGrid>
        <w:gridCol w:w="2480"/>
        <w:gridCol w:w="3246"/>
        <w:gridCol w:w="3274"/>
      </w:tblGrid>
      <w:tr>
        <w:tblPrEx>
          <w:tblCellMar>
            <w:top w:w="0" w:type="dxa"/>
            <w:left w:w="108" w:type="dxa"/>
            <w:bottom w:w="0" w:type="dxa"/>
            <w:right w:w="108" w:type="dxa"/>
          </w:tblCellMar>
        </w:tblPrEx>
        <w:trPr>
          <w:trHeight w:val="300" w:hRule="atLeast"/>
        </w:trPr>
        <w:tc>
          <w:tcPr>
            <w:tcW w:w="2480" w:type="dxa"/>
            <w:vMerge w:val="restart"/>
            <w:tcBorders>
              <w:top w:val="single" w:color="auto" w:sz="8" w:space="0"/>
              <w:left w:val="nil"/>
              <w:bottom w:val="single" w:color="000000" w:sz="4" w:space="0"/>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变量</w:t>
            </w:r>
          </w:p>
        </w:tc>
        <w:tc>
          <w:tcPr>
            <w:tcW w:w="6520" w:type="dxa"/>
            <w:gridSpan w:val="2"/>
            <w:tcBorders>
              <w:top w:val="single" w:color="auto" w:sz="8" w:space="0"/>
              <w:left w:val="nil"/>
              <w:bottom w:val="single" w:color="auto" w:sz="4" w:space="0"/>
              <w:right w:val="nil"/>
            </w:tcBorders>
            <w:shd w:val="clear" w:color="auto" w:fill="auto"/>
            <w:noWrap/>
            <w:vAlign w:val="center"/>
          </w:tcPr>
          <w:p>
            <w:pPr>
              <w:widowControl/>
              <w:jc w:val="center"/>
              <w:rPr>
                <w:rFonts w:ascii="Calibri" w:hAnsi="Calibri" w:eastAsia="等线" w:cs="Calibri"/>
                <w:b/>
                <w:bCs/>
                <w:i/>
                <w:iCs/>
                <w:color w:val="000000"/>
                <w:kern w:val="0"/>
                <w:sz w:val="18"/>
                <w:szCs w:val="18"/>
              </w:rPr>
            </w:pPr>
            <w:r>
              <w:rPr>
                <w:rFonts w:ascii="Calibri" w:hAnsi="Calibri" w:eastAsia="等线" w:cs="Calibri"/>
                <w:b/>
                <w:bCs/>
                <w:i/>
                <w:iCs/>
                <w:color w:val="000000"/>
                <w:kern w:val="0"/>
                <w:sz w:val="18"/>
                <w:szCs w:val="18"/>
              </w:rPr>
              <w:t>Lev</w:t>
            </w:r>
          </w:p>
        </w:tc>
      </w:tr>
      <w:tr>
        <w:tblPrEx>
          <w:tblCellMar>
            <w:top w:w="0" w:type="dxa"/>
            <w:left w:w="108" w:type="dxa"/>
            <w:bottom w:w="0" w:type="dxa"/>
            <w:right w:w="108" w:type="dxa"/>
          </w:tblCellMar>
        </w:tblPrEx>
        <w:trPr>
          <w:trHeight w:val="300" w:hRule="atLeast"/>
        </w:trPr>
        <w:tc>
          <w:tcPr>
            <w:tcW w:w="2480" w:type="dxa"/>
            <w:vMerge w:val="continue"/>
            <w:tcBorders>
              <w:top w:val="single" w:color="auto" w:sz="8" w:space="0"/>
              <w:left w:val="nil"/>
              <w:bottom w:val="single" w:color="000000" w:sz="4" w:space="0"/>
              <w:right w:val="nil"/>
            </w:tcBorders>
            <w:shd w:val="clear" w:color="auto" w:fill="auto"/>
            <w:vAlign w:val="center"/>
          </w:tcPr>
          <w:p>
            <w:pPr>
              <w:widowControl/>
              <w:jc w:val="left"/>
              <w:rPr>
                <w:rFonts w:ascii="仿宋" w:hAnsi="仿宋" w:eastAsia="仿宋" w:cs="宋体"/>
                <w:b/>
                <w:bCs/>
                <w:color w:val="000000"/>
                <w:kern w:val="0"/>
                <w:sz w:val="18"/>
                <w:szCs w:val="18"/>
              </w:rPr>
            </w:pPr>
          </w:p>
        </w:tc>
        <w:tc>
          <w:tcPr>
            <w:tcW w:w="3246"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3274"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RepoL1</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-1.6107</w:t>
            </w:r>
            <w:r>
              <w:rPr>
                <w:rFonts w:hint="eastAsia" w:ascii="仿宋" w:hAnsi="仿宋" w:eastAsia="仿宋" w:cs="宋体"/>
                <w:color w:val="000000"/>
                <w:kern w:val="0"/>
                <w:sz w:val="18"/>
                <w:szCs w:val="18"/>
                <w:vertAlign w:val="superscript"/>
              </w:rPr>
              <w:t>***</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-2.2179</w:t>
            </w:r>
            <w:r>
              <w:rPr>
                <w:rFonts w:hint="eastAsia" w:ascii="仿宋" w:hAnsi="仿宋" w:eastAsia="仿宋" w:cs="宋体"/>
                <w:color w:val="000000"/>
                <w:kern w:val="0"/>
                <w:sz w:val="18"/>
                <w:szCs w:val="18"/>
                <w:vertAlign w:val="superscript"/>
              </w:rPr>
              <w:t>***</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　</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(-7.47)</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(-7.39)</w:t>
            </w:r>
          </w:p>
        </w:tc>
      </w:tr>
      <w:tr>
        <w:tblPrEx>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LGD</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-0.3397</w:t>
            </w:r>
            <w:r>
              <w:rPr>
                <w:rFonts w:hint="eastAsia" w:ascii="仿宋" w:hAnsi="仿宋" w:eastAsia="仿宋" w:cs="宋体"/>
                <w:color w:val="000000"/>
                <w:kern w:val="0"/>
                <w:sz w:val="18"/>
                <w:szCs w:val="18"/>
                <w:vertAlign w:val="superscript"/>
              </w:rPr>
              <w:t>***</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-0.4517</w:t>
            </w:r>
            <w:r>
              <w:rPr>
                <w:rFonts w:hint="eastAsia" w:ascii="仿宋" w:hAnsi="仿宋" w:eastAsia="仿宋" w:cs="宋体"/>
                <w:color w:val="000000"/>
                <w:kern w:val="0"/>
                <w:sz w:val="18"/>
                <w:szCs w:val="18"/>
                <w:vertAlign w:val="superscript"/>
              </w:rPr>
              <w:t>***</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　</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(-3.97)</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(-3.99)</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RepoL1 × LGD</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5.0348</w:t>
            </w:r>
            <w:r>
              <w:rPr>
                <w:rFonts w:hint="eastAsia" w:ascii="仿宋" w:hAnsi="仿宋" w:eastAsia="仿宋" w:cs="宋体"/>
                <w:color w:val="000000"/>
                <w:kern w:val="0"/>
                <w:sz w:val="18"/>
                <w:szCs w:val="18"/>
                <w:vertAlign w:val="superscript"/>
              </w:rPr>
              <w:t>***</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4.5124</w:t>
            </w:r>
            <w:r>
              <w:rPr>
                <w:rFonts w:hint="eastAsia" w:ascii="仿宋" w:hAnsi="仿宋" w:eastAsia="仿宋" w:cs="宋体"/>
                <w:color w:val="000000"/>
                <w:kern w:val="0"/>
                <w:sz w:val="18"/>
                <w:szCs w:val="18"/>
                <w:vertAlign w:val="superscript"/>
              </w:rPr>
              <w:t>***</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　</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(8.31)</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(4.08)</w:t>
            </w:r>
          </w:p>
        </w:tc>
      </w:tr>
      <w:tr>
        <w:tblPrEx>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Post</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-0.0017</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-0.1050</w:t>
            </w:r>
            <w:r>
              <w:rPr>
                <w:rFonts w:hint="eastAsia" w:ascii="仿宋" w:hAnsi="仿宋" w:eastAsia="仿宋" w:cs="宋体"/>
                <w:color w:val="000000"/>
                <w:kern w:val="0"/>
                <w:sz w:val="18"/>
                <w:szCs w:val="18"/>
                <w:vertAlign w:val="superscript"/>
              </w:rPr>
              <w:t>***</w:t>
            </w:r>
          </w:p>
        </w:tc>
      </w:tr>
      <w:tr>
        <w:tblPrEx>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　</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(-0.30)</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(-11.25)</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RepoL1 × Post</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3.7236</w:t>
            </w:r>
            <w:r>
              <w:rPr>
                <w:rFonts w:hint="eastAsia" w:ascii="仿宋" w:hAnsi="仿宋" w:eastAsia="仿宋" w:cs="宋体"/>
                <w:color w:val="000000"/>
                <w:kern w:val="0"/>
                <w:sz w:val="18"/>
                <w:szCs w:val="18"/>
                <w:vertAlign w:val="superscript"/>
              </w:rPr>
              <w:t>***</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　</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(7.24)</w:t>
            </w:r>
          </w:p>
        </w:tc>
      </w:tr>
      <w:tr>
        <w:tblPrEx>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LGD × Post</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0.2278</w:t>
            </w:r>
            <w:r>
              <w:rPr>
                <w:rFonts w:hint="eastAsia" w:ascii="仿宋" w:hAnsi="仿宋" w:eastAsia="仿宋" w:cs="宋体"/>
                <w:b/>
                <w:bCs/>
                <w:color w:val="000000"/>
                <w:kern w:val="0"/>
                <w:sz w:val="18"/>
                <w:szCs w:val="18"/>
                <w:vertAlign w:val="superscript"/>
              </w:rPr>
              <w:t>***</w:t>
            </w:r>
          </w:p>
        </w:tc>
      </w:tr>
      <w:tr>
        <w:tblPrEx>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　</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(4.84)</w:t>
            </w:r>
          </w:p>
        </w:tc>
      </w:tr>
      <w:tr>
        <w:tblPrEx>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Calibri" w:hAnsi="Calibri" w:eastAsia="等线" w:cs="Calibri"/>
                <w:i/>
                <w:iCs/>
                <w:color w:val="000000"/>
                <w:kern w:val="0"/>
                <w:sz w:val="18"/>
                <w:szCs w:val="18"/>
              </w:rPr>
            </w:pPr>
            <w:r>
              <w:rPr>
                <w:rFonts w:ascii="Calibri" w:hAnsi="Calibri" w:eastAsia="等线" w:cs="Calibri"/>
                <w:i/>
                <w:iCs/>
                <w:color w:val="000000"/>
                <w:kern w:val="0"/>
                <w:sz w:val="18"/>
                <w:szCs w:val="18"/>
              </w:rPr>
              <w:t>RepoL1 × LGD × Post</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-5.7866</w:t>
            </w:r>
            <w:r>
              <w:rPr>
                <w:rFonts w:hint="eastAsia" w:ascii="仿宋" w:hAnsi="仿宋" w:eastAsia="仿宋" w:cs="宋体"/>
                <w:b/>
                <w:bCs/>
                <w:color w:val="000000"/>
                <w:kern w:val="0"/>
                <w:sz w:val="18"/>
                <w:szCs w:val="18"/>
                <w:vertAlign w:val="superscript"/>
              </w:rPr>
              <w:t>***</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仿宋" w:hAnsi="仿宋" w:eastAsia="仿宋" w:cs="宋体"/>
                <w:i/>
                <w:iCs/>
                <w:color w:val="000000"/>
                <w:kern w:val="0"/>
                <w:sz w:val="18"/>
                <w:szCs w:val="18"/>
              </w:rPr>
            </w:pPr>
            <w:r>
              <w:rPr>
                <w:rFonts w:hint="eastAsia" w:ascii="仿宋" w:hAnsi="仿宋" w:eastAsia="仿宋" w:cs="宋体"/>
                <w:i/>
                <w:iCs/>
                <w:color w:val="000000"/>
                <w:kern w:val="0"/>
                <w:sz w:val="18"/>
                <w:szCs w:val="18"/>
              </w:rPr>
              <w:t>　</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(-3.20)</w:t>
            </w:r>
          </w:p>
        </w:tc>
      </w:tr>
      <w:tr>
        <w:tblPrEx>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公司控制变量</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省份控制变量</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省份固定效应</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季节固定效应</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行业固定效应</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是</w:t>
            </w:r>
          </w:p>
        </w:tc>
      </w:tr>
      <w:tr>
        <w:tblPrEx>
          <w:tblCellMar>
            <w:top w:w="0" w:type="dxa"/>
            <w:left w:w="108" w:type="dxa"/>
            <w:bottom w:w="0" w:type="dxa"/>
            <w:right w:w="108" w:type="dxa"/>
          </w:tblCellMar>
        </w:tblPrEx>
        <w:trPr>
          <w:trHeight w:val="300" w:hRule="atLeast"/>
        </w:trPr>
        <w:tc>
          <w:tcPr>
            <w:tcW w:w="24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观测数</w:t>
            </w:r>
          </w:p>
        </w:tc>
        <w:tc>
          <w:tcPr>
            <w:tcW w:w="324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96 879</w:t>
            </w:r>
          </w:p>
        </w:tc>
        <w:tc>
          <w:tcPr>
            <w:tcW w:w="327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96 879</w:t>
            </w:r>
          </w:p>
        </w:tc>
      </w:tr>
      <w:tr>
        <w:tblPrEx>
          <w:shd w:val="clear" w:color="auto" w:fill="auto"/>
          <w:tblCellMar>
            <w:top w:w="0" w:type="dxa"/>
            <w:left w:w="108" w:type="dxa"/>
            <w:bottom w:w="0" w:type="dxa"/>
            <w:right w:w="108" w:type="dxa"/>
          </w:tblCellMar>
        </w:tblPrEx>
        <w:trPr>
          <w:trHeight w:val="300" w:hRule="atLeast"/>
        </w:trPr>
        <w:tc>
          <w:tcPr>
            <w:tcW w:w="2480" w:type="dxa"/>
            <w:tcBorders>
              <w:top w:val="nil"/>
              <w:left w:val="nil"/>
              <w:bottom w:val="single" w:color="auto" w:sz="8" w:space="0"/>
              <w:right w:val="nil"/>
            </w:tcBorders>
            <w:shd w:val="clear" w:color="auto" w:fill="auto"/>
            <w:noWrap/>
            <w:vAlign w:val="center"/>
          </w:tcPr>
          <w:p>
            <w:pPr>
              <w:widowControl/>
              <w:jc w:val="center"/>
              <w:rPr>
                <w:rFonts w:ascii="Calibri" w:hAnsi="Calibri" w:eastAsia="等线" w:cs="Calibri"/>
                <w:color w:val="000000"/>
                <w:kern w:val="0"/>
                <w:sz w:val="18"/>
                <w:szCs w:val="18"/>
              </w:rPr>
            </w:pPr>
            <w:r>
              <w:rPr>
                <w:rFonts w:ascii="Calibri" w:hAnsi="Calibri" w:eastAsia="等线" w:cs="Calibri"/>
                <w:i/>
                <w:iCs/>
                <w:color w:val="000000"/>
                <w:kern w:val="0"/>
                <w:sz w:val="18"/>
                <w:szCs w:val="18"/>
              </w:rPr>
              <w:t>R</w:t>
            </w:r>
            <w:r>
              <w:rPr>
                <w:rFonts w:ascii="Calibri" w:hAnsi="Calibri" w:eastAsia="等线" w:cs="Calibri"/>
                <w:color w:val="000000"/>
                <w:kern w:val="0"/>
                <w:sz w:val="18"/>
                <w:szCs w:val="18"/>
              </w:rPr>
              <w:t>-squared</w:t>
            </w:r>
          </w:p>
        </w:tc>
        <w:tc>
          <w:tcPr>
            <w:tcW w:w="3246"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0.2989</w:t>
            </w:r>
          </w:p>
        </w:tc>
        <w:tc>
          <w:tcPr>
            <w:tcW w:w="3274" w:type="dxa"/>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0.3005</w:t>
            </w:r>
          </w:p>
        </w:tc>
      </w:tr>
    </w:tbl>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hint="eastAsia" w:ascii="宋体" w:hAnsi="宋体" w:eastAsia="宋体" w:cs="宋体"/>
          <w:b/>
          <w:bCs/>
          <w:color w:val="auto"/>
          <w:kern w:val="0"/>
          <w:szCs w:val="21"/>
        </w:rPr>
      </w:pPr>
      <w:r>
        <w:rPr>
          <w:rFonts w:hint="eastAsia" w:ascii="宋体" w:hAnsi="宋体" w:eastAsia="宋体" w:cs="宋体"/>
          <w:b/>
          <w:color w:val="auto"/>
          <w:szCs w:val="22"/>
        </w:rPr>
        <w:t>注：该附录是期刊所发表论文的组成部分，同</w:t>
      </w:r>
      <w:bookmarkStart w:id="10" w:name="_GoBack"/>
      <w:bookmarkEnd w:id="10"/>
      <w:r>
        <w:rPr>
          <w:rFonts w:hint="eastAsia" w:ascii="宋体" w:hAnsi="宋体" w:eastAsia="宋体" w:cs="宋体"/>
          <w:b/>
          <w:color w:val="auto"/>
          <w:szCs w:val="22"/>
        </w:rPr>
        <w:t>样视为作者公开发表的内容。如研究中使用该附录中的内容，</w:t>
      </w:r>
      <w:r>
        <w:rPr>
          <w:rFonts w:hint="eastAsia" w:ascii="宋体" w:hAnsi="宋体" w:eastAsia="宋体" w:cs="宋体"/>
          <w:b/>
          <w:bCs/>
          <w:color w:val="auto"/>
          <w:kern w:val="0"/>
          <w:szCs w:val="21"/>
        </w:rPr>
        <w:t>请务必在研究成果上注明</w:t>
      </w:r>
      <w:r>
        <w:rPr>
          <w:rFonts w:hint="eastAsia" w:ascii="宋体" w:hAnsi="宋体" w:eastAsia="宋体" w:cs="宋体"/>
          <w:b/>
          <w:bCs/>
          <w:color w:val="auto"/>
          <w:kern w:val="0"/>
          <w:szCs w:val="21"/>
          <w:lang w:val="en-US" w:eastAsia="zh-CN"/>
        </w:rPr>
        <w:t>附录</w:t>
      </w:r>
      <w:r>
        <w:rPr>
          <w:rFonts w:hint="eastAsia" w:ascii="宋体" w:hAnsi="宋体" w:eastAsia="宋体" w:cs="宋体"/>
          <w:b/>
          <w:bCs/>
          <w:color w:val="auto"/>
          <w:kern w:val="0"/>
          <w:szCs w:val="21"/>
        </w:rPr>
        <w:t>下载出处</w:t>
      </w:r>
      <w:r>
        <w:rPr>
          <w:rFonts w:hint="eastAsia" w:ascii="宋体" w:hAnsi="宋体" w:eastAsia="宋体" w:cs="宋体"/>
          <w:color w:val="auto"/>
          <w:kern w:val="0"/>
          <w:szCs w:val="21"/>
        </w:rPr>
        <w:t>。</w:t>
      </w:r>
    </w:p>
    <w:p>
      <w:pPr>
        <w:rPr>
          <w:rFonts w:ascii="仿宋" w:hAnsi="仿宋" w:eastAsia="仿宋"/>
          <w:sz w:val="18"/>
          <w:szCs w:val="18"/>
        </w:rPr>
      </w:pPr>
    </w:p>
    <w:sectPr>
      <w:headerReference r:id="rId5" w:type="default"/>
      <w:footerReference r:id="rId6"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Uni">
    <w:altName w:val="宋体"/>
    <w:panose1 w:val="02020603050405020304"/>
    <w:charset w:val="86"/>
    <w:family w:val="roman"/>
    <w:pitch w:val="default"/>
    <w:sig w:usb0="00000000" w:usb1="00000000" w:usb2="0000003E" w:usb3="00000000" w:csb0="001F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3129656"/>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jc w:val="both"/>
      </w:pPr>
      <w:r>
        <w:rPr>
          <w:rStyle w:val="13"/>
        </w:rPr>
        <w:footnoteRef/>
      </w:r>
      <w:r>
        <w:rPr>
          <w:rFonts w:hint="eastAsia" w:ascii="仿宋" w:hAnsi="仿宋" w:eastAsia="仿宋"/>
        </w:rPr>
        <w:t xml:space="preserve"> 需要说明的是，在大规模企业中，</w:t>
      </w:r>
      <m:oMath>
        <m:r>
          <m:rPr/>
          <w:rPr>
            <w:rFonts w:ascii="Cambria Math" w:hAnsi="Cambria Math" w:eastAsia="等线" w:cs="Calibri"/>
            <w:color w:val="000000"/>
            <w:kern w:val="0"/>
            <w:szCs w:val="21"/>
          </w:rPr>
          <m:t>RepoL1×LGD</m:t>
        </m:r>
      </m:oMath>
      <w:r>
        <w:rPr>
          <w:rFonts w:hint="eastAsia" w:ascii="仿宋" w:hAnsi="仿宋" w:eastAsia="仿宋"/>
          <w:color w:val="000000"/>
          <w:kern w:val="0"/>
          <w:szCs w:val="21"/>
        </w:rPr>
        <w:t>也</w:t>
      </w:r>
      <w:r>
        <w:rPr>
          <w:rFonts w:hint="eastAsia" w:ascii="仿宋" w:hAnsi="仿宋" w:eastAsia="仿宋"/>
        </w:rPr>
        <w:t>在1%的显著性水平上为正，这是因为其中既包含大型国有企业，也包含大量大规模民营企业，而货币政策向后者的传导会受到地方政府隐性债务的显著削弱。但从数值上看，地方政府隐性债务对货币政策向大企业传导的削弱作用要小于其对货币政策向小企业传导的削弱作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2024年第1期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2024年第1期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172A27"/>
    <w:rsid w:val="0000455F"/>
    <w:rsid w:val="00006107"/>
    <w:rsid w:val="000069E1"/>
    <w:rsid w:val="00012CE1"/>
    <w:rsid w:val="00015042"/>
    <w:rsid w:val="0002420A"/>
    <w:rsid w:val="00033724"/>
    <w:rsid w:val="00033D71"/>
    <w:rsid w:val="00035D56"/>
    <w:rsid w:val="00046B2D"/>
    <w:rsid w:val="00053042"/>
    <w:rsid w:val="000652BC"/>
    <w:rsid w:val="00074EB2"/>
    <w:rsid w:val="00077235"/>
    <w:rsid w:val="000831A6"/>
    <w:rsid w:val="00094843"/>
    <w:rsid w:val="000E6661"/>
    <w:rsid w:val="000F3225"/>
    <w:rsid w:val="000F6AE2"/>
    <w:rsid w:val="00112522"/>
    <w:rsid w:val="00145384"/>
    <w:rsid w:val="00160F16"/>
    <w:rsid w:val="00171A83"/>
    <w:rsid w:val="001742E0"/>
    <w:rsid w:val="00175A64"/>
    <w:rsid w:val="00175BBC"/>
    <w:rsid w:val="00180A1E"/>
    <w:rsid w:val="0018574C"/>
    <w:rsid w:val="00186BC1"/>
    <w:rsid w:val="0019207D"/>
    <w:rsid w:val="001967EE"/>
    <w:rsid w:val="001A0AA4"/>
    <w:rsid w:val="001A70F0"/>
    <w:rsid w:val="001A75F6"/>
    <w:rsid w:val="001A7F6D"/>
    <w:rsid w:val="001B6F8F"/>
    <w:rsid w:val="001C0135"/>
    <w:rsid w:val="001D09BD"/>
    <w:rsid w:val="001D15DA"/>
    <w:rsid w:val="001D4B98"/>
    <w:rsid w:val="001E7E13"/>
    <w:rsid w:val="001F035D"/>
    <w:rsid w:val="001F12FC"/>
    <w:rsid w:val="001F17BD"/>
    <w:rsid w:val="001F5640"/>
    <w:rsid w:val="001F7016"/>
    <w:rsid w:val="00203EF3"/>
    <w:rsid w:val="00206920"/>
    <w:rsid w:val="002114E1"/>
    <w:rsid w:val="00213DB2"/>
    <w:rsid w:val="00223168"/>
    <w:rsid w:val="002300F5"/>
    <w:rsid w:val="002345EB"/>
    <w:rsid w:val="00236E1F"/>
    <w:rsid w:val="002423D5"/>
    <w:rsid w:val="00250E90"/>
    <w:rsid w:val="00251148"/>
    <w:rsid w:val="00252140"/>
    <w:rsid w:val="0026586A"/>
    <w:rsid w:val="00270A88"/>
    <w:rsid w:val="00277E10"/>
    <w:rsid w:val="00281CAE"/>
    <w:rsid w:val="00283B90"/>
    <w:rsid w:val="002877DB"/>
    <w:rsid w:val="002943F5"/>
    <w:rsid w:val="002967EB"/>
    <w:rsid w:val="002A394F"/>
    <w:rsid w:val="002A56D3"/>
    <w:rsid w:val="002B24AA"/>
    <w:rsid w:val="002B6AF4"/>
    <w:rsid w:val="002D2EFA"/>
    <w:rsid w:val="002E439C"/>
    <w:rsid w:val="002E4AD6"/>
    <w:rsid w:val="002E7875"/>
    <w:rsid w:val="002F05B0"/>
    <w:rsid w:val="002F28DD"/>
    <w:rsid w:val="002F78A5"/>
    <w:rsid w:val="00303389"/>
    <w:rsid w:val="00304BA2"/>
    <w:rsid w:val="00321622"/>
    <w:rsid w:val="00344330"/>
    <w:rsid w:val="003451F7"/>
    <w:rsid w:val="003509E5"/>
    <w:rsid w:val="00356F55"/>
    <w:rsid w:val="00361825"/>
    <w:rsid w:val="00362008"/>
    <w:rsid w:val="003742C2"/>
    <w:rsid w:val="00375DF8"/>
    <w:rsid w:val="0038407F"/>
    <w:rsid w:val="00386042"/>
    <w:rsid w:val="003912EF"/>
    <w:rsid w:val="003975AB"/>
    <w:rsid w:val="003A3442"/>
    <w:rsid w:val="003A4EF0"/>
    <w:rsid w:val="003A6171"/>
    <w:rsid w:val="003C56DC"/>
    <w:rsid w:val="003C7054"/>
    <w:rsid w:val="003E1DD7"/>
    <w:rsid w:val="003E3870"/>
    <w:rsid w:val="003E403E"/>
    <w:rsid w:val="003E461A"/>
    <w:rsid w:val="003F44AA"/>
    <w:rsid w:val="003F6BD8"/>
    <w:rsid w:val="00403C76"/>
    <w:rsid w:val="00426D6F"/>
    <w:rsid w:val="004332C8"/>
    <w:rsid w:val="00435130"/>
    <w:rsid w:val="00440C0E"/>
    <w:rsid w:val="00450B80"/>
    <w:rsid w:val="00461450"/>
    <w:rsid w:val="00465F96"/>
    <w:rsid w:val="00466CC7"/>
    <w:rsid w:val="004727AF"/>
    <w:rsid w:val="00472DF0"/>
    <w:rsid w:val="00473CA5"/>
    <w:rsid w:val="00487FA6"/>
    <w:rsid w:val="004A2664"/>
    <w:rsid w:val="004A641F"/>
    <w:rsid w:val="004B6F6D"/>
    <w:rsid w:val="004E0495"/>
    <w:rsid w:val="004E1F1E"/>
    <w:rsid w:val="004E2AB4"/>
    <w:rsid w:val="00503D48"/>
    <w:rsid w:val="00514C96"/>
    <w:rsid w:val="00521764"/>
    <w:rsid w:val="00524CE8"/>
    <w:rsid w:val="00526462"/>
    <w:rsid w:val="00537501"/>
    <w:rsid w:val="00543C6A"/>
    <w:rsid w:val="00550080"/>
    <w:rsid w:val="00552E4E"/>
    <w:rsid w:val="00553DBF"/>
    <w:rsid w:val="00557139"/>
    <w:rsid w:val="00564C95"/>
    <w:rsid w:val="00566570"/>
    <w:rsid w:val="00577909"/>
    <w:rsid w:val="00581F12"/>
    <w:rsid w:val="00586F92"/>
    <w:rsid w:val="005A1171"/>
    <w:rsid w:val="005B005A"/>
    <w:rsid w:val="005B36AC"/>
    <w:rsid w:val="005B6035"/>
    <w:rsid w:val="005B67AA"/>
    <w:rsid w:val="005B78C7"/>
    <w:rsid w:val="005C12BD"/>
    <w:rsid w:val="005E0C17"/>
    <w:rsid w:val="005F5DD6"/>
    <w:rsid w:val="005F7543"/>
    <w:rsid w:val="005F7E5C"/>
    <w:rsid w:val="00601993"/>
    <w:rsid w:val="00602194"/>
    <w:rsid w:val="00614CBF"/>
    <w:rsid w:val="006159EB"/>
    <w:rsid w:val="00620C59"/>
    <w:rsid w:val="00626A1B"/>
    <w:rsid w:val="006305B7"/>
    <w:rsid w:val="00631BA5"/>
    <w:rsid w:val="00631CE5"/>
    <w:rsid w:val="006325D9"/>
    <w:rsid w:val="00634EAA"/>
    <w:rsid w:val="00637318"/>
    <w:rsid w:val="00642DCB"/>
    <w:rsid w:val="00646592"/>
    <w:rsid w:val="00646EBB"/>
    <w:rsid w:val="00651AA1"/>
    <w:rsid w:val="00655A78"/>
    <w:rsid w:val="00661118"/>
    <w:rsid w:val="0066256D"/>
    <w:rsid w:val="00684A13"/>
    <w:rsid w:val="0069012A"/>
    <w:rsid w:val="00692FD9"/>
    <w:rsid w:val="006A23DF"/>
    <w:rsid w:val="006B01AD"/>
    <w:rsid w:val="006B7DD8"/>
    <w:rsid w:val="006C1BEA"/>
    <w:rsid w:val="006C7530"/>
    <w:rsid w:val="006C75A9"/>
    <w:rsid w:val="006D3B5F"/>
    <w:rsid w:val="006E06AE"/>
    <w:rsid w:val="006E585B"/>
    <w:rsid w:val="006E5D6C"/>
    <w:rsid w:val="006E5E76"/>
    <w:rsid w:val="006F3EE2"/>
    <w:rsid w:val="007042D1"/>
    <w:rsid w:val="0070478E"/>
    <w:rsid w:val="007148E0"/>
    <w:rsid w:val="00720599"/>
    <w:rsid w:val="007218E9"/>
    <w:rsid w:val="00727B1C"/>
    <w:rsid w:val="00733C70"/>
    <w:rsid w:val="007351A5"/>
    <w:rsid w:val="0073737F"/>
    <w:rsid w:val="00741981"/>
    <w:rsid w:val="007421AA"/>
    <w:rsid w:val="007526CD"/>
    <w:rsid w:val="007565D5"/>
    <w:rsid w:val="00765712"/>
    <w:rsid w:val="0077489F"/>
    <w:rsid w:val="00774B6E"/>
    <w:rsid w:val="0078289E"/>
    <w:rsid w:val="00783B05"/>
    <w:rsid w:val="0078740F"/>
    <w:rsid w:val="007A4A47"/>
    <w:rsid w:val="007A5532"/>
    <w:rsid w:val="007A5C66"/>
    <w:rsid w:val="007B20F6"/>
    <w:rsid w:val="007D15B4"/>
    <w:rsid w:val="007D21CA"/>
    <w:rsid w:val="007E1278"/>
    <w:rsid w:val="007E57A5"/>
    <w:rsid w:val="007E6EE9"/>
    <w:rsid w:val="007F1BFB"/>
    <w:rsid w:val="007F5789"/>
    <w:rsid w:val="008037C0"/>
    <w:rsid w:val="008039BF"/>
    <w:rsid w:val="008119EA"/>
    <w:rsid w:val="00813E51"/>
    <w:rsid w:val="008159B3"/>
    <w:rsid w:val="00817D22"/>
    <w:rsid w:val="008202AF"/>
    <w:rsid w:val="00822356"/>
    <w:rsid w:val="00826E89"/>
    <w:rsid w:val="00830982"/>
    <w:rsid w:val="0083625B"/>
    <w:rsid w:val="00837554"/>
    <w:rsid w:val="00842709"/>
    <w:rsid w:val="00847235"/>
    <w:rsid w:val="0085086D"/>
    <w:rsid w:val="00856377"/>
    <w:rsid w:val="008702F9"/>
    <w:rsid w:val="00870AC8"/>
    <w:rsid w:val="0087329A"/>
    <w:rsid w:val="008869DD"/>
    <w:rsid w:val="008A13BD"/>
    <w:rsid w:val="008A20EA"/>
    <w:rsid w:val="008A50C6"/>
    <w:rsid w:val="008A77CD"/>
    <w:rsid w:val="008F0285"/>
    <w:rsid w:val="008F260D"/>
    <w:rsid w:val="008F5903"/>
    <w:rsid w:val="008F74C3"/>
    <w:rsid w:val="009026DB"/>
    <w:rsid w:val="00903722"/>
    <w:rsid w:val="00911BBE"/>
    <w:rsid w:val="00916AC3"/>
    <w:rsid w:val="00920CA3"/>
    <w:rsid w:val="00923C07"/>
    <w:rsid w:val="00932CE0"/>
    <w:rsid w:val="00946D1E"/>
    <w:rsid w:val="00953FF2"/>
    <w:rsid w:val="00955155"/>
    <w:rsid w:val="009573F3"/>
    <w:rsid w:val="00967177"/>
    <w:rsid w:val="00971BA4"/>
    <w:rsid w:val="009844D5"/>
    <w:rsid w:val="00987BC6"/>
    <w:rsid w:val="009B629D"/>
    <w:rsid w:val="009B6C0D"/>
    <w:rsid w:val="009E1408"/>
    <w:rsid w:val="009E15D2"/>
    <w:rsid w:val="009E3316"/>
    <w:rsid w:val="009F5222"/>
    <w:rsid w:val="009F601A"/>
    <w:rsid w:val="00A02A34"/>
    <w:rsid w:val="00A03C05"/>
    <w:rsid w:val="00A03C8F"/>
    <w:rsid w:val="00A13346"/>
    <w:rsid w:val="00A260D7"/>
    <w:rsid w:val="00A326BA"/>
    <w:rsid w:val="00A45ECE"/>
    <w:rsid w:val="00A76BDD"/>
    <w:rsid w:val="00A87607"/>
    <w:rsid w:val="00A92589"/>
    <w:rsid w:val="00AA175A"/>
    <w:rsid w:val="00AB6512"/>
    <w:rsid w:val="00AC4167"/>
    <w:rsid w:val="00AD4592"/>
    <w:rsid w:val="00AD5C4F"/>
    <w:rsid w:val="00AD7864"/>
    <w:rsid w:val="00AE6179"/>
    <w:rsid w:val="00AF142D"/>
    <w:rsid w:val="00AF19CB"/>
    <w:rsid w:val="00AF2042"/>
    <w:rsid w:val="00AF2B8E"/>
    <w:rsid w:val="00B0286F"/>
    <w:rsid w:val="00B04C41"/>
    <w:rsid w:val="00B221EC"/>
    <w:rsid w:val="00B25F97"/>
    <w:rsid w:val="00B264E4"/>
    <w:rsid w:val="00B37332"/>
    <w:rsid w:val="00B4471D"/>
    <w:rsid w:val="00B538C7"/>
    <w:rsid w:val="00B5793E"/>
    <w:rsid w:val="00B846E5"/>
    <w:rsid w:val="00B92807"/>
    <w:rsid w:val="00BB227D"/>
    <w:rsid w:val="00BB2CBB"/>
    <w:rsid w:val="00BB3E7B"/>
    <w:rsid w:val="00BB6583"/>
    <w:rsid w:val="00BC5BB4"/>
    <w:rsid w:val="00BD0D89"/>
    <w:rsid w:val="00BE3F35"/>
    <w:rsid w:val="00BE4901"/>
    <w:rsid w:val="00C028C6"/>
    <w:rsid w:val="00C02D69"/>
    <w:rsid w:val="00C07EF4"/>
    <w:rsid w:val="00C21B8D"/>
    <w:rsid w:val="00C34505"/>
    <w:rsid w:val="00C4197A"/>
    <w:rsid w:val="00C42380"/>
    <w:rsid w:val="00C460E6"/>
    <w:rsid w:val="00C63117"/>
    <w:rsid w:val="00C651DB"/>
    <w:rsid w:val="00C679DB"/>
    <w:rsid w:val="00C74400"/>
    <w:rsid w:val="00C779B3"/>
    <w:rsid w:val="00C92BBD"/>
    <w:rsid w:val="00CA508B"/>
    <w:rsid w:val="00CA6152"/>
    <w:rsid w:val="00CB1496"/>
    <w:rsid w:val="00CB7B1A"/>
    <w:rsid w:val="00CC21A8"/>
    <w:rsid w:val="00CC27CB"/>
    <w:rsid w:val="00CE166A"/>
    <w:rsid w:val="00CE3981"/>
    <w:rsid w:val="00CE7BE4"/>
    <w:rsid w:val="00D06504"/>
    <w:rsid w:val="00D14F85"/>
    <w:rsid w:val="00D20E28"/>
    <w:rsid w:val="00D2796C"/>
    <w:rsid w:val="00D41BE6"/>
    <w:rsid w:val="00D4405E"/>
    <w:rsid w:val="00D53512"/>
    <w:rsid w:val="00D725B1"/>
    <w:rsid w:val="00D7563C"/>
    <w:rsid w:val="00D864B0"/>
    <w:rsid w:val="00D87D0E"/>
    <w:rsid w:val="00D90082"/>
    <w:rsid w:val="00D9673A"/>
    <w:rsid w:val="00DA2CF9"/>
    <w:rsid w:val="00DB0009"/>
    <w:rsid w:val="00DB1367"/>
    <w:rsid w:val="00DB24D0"/>
    <w:rsid w:val="00DD64E3"/>
    <w:rsid w:val="00DE0C73"/>
    <w:rsid w:val="00DF7375"/>
    <w:rsid w:val="00E145CB"/>
    <w:rsid w:val="00E147C8"/>
    <w:rsid w:val="00E232A6"/>
    <w:rsid w:val="00E330E9"/>
    <w:rsid w:val="00E4709F"/>
    <w:rsid w:val="00E472FC"/>
    <w:rsid w:val="00E504A9"/>
    <w:rsid w:val="00E52997"/>
    <w:rsid w:val="00E5398B"/>
    <w:rsid w:val="00E559AF"/>
    <w:rsid w:val="00E574F7"/>
    <w:rsid w:val="00E65475"/>
    <w:rsid w:val="00E711B4"/>
    <w:rsid w:val="00E84515"/>
    <w:rsid w:val="00E928E2"/>
    <w:rsid w:val="00E95AE8"/>
    <w:rsid w:val="00E9776E"/>
    <w:rsid w:val="00E97A58"/>
    <w:rsid w:val="00EC5F30"/>
    <w:rsid w:val="00ED1715"/>
    <w:rsid w:val="00ED3B7A"/>
    <w:rsid w:val="00ED3DEF"/>
    <w:rsid w:val="00EF069A"/>
    <w:rsid w:val="00F0503D"/>
    <w:rsid w:val="00F134A3"/>
    <w:rsid w:val="00F174DD"/>
    <w:rsid w:val="00F24678"/>
    <w:rsid w:val="00F358B9"/>
    <w:rsid w:val="00F46B1C"/>
    <w:rsid w:val="00F67848"/>
    <w:rsid w:val="00F76FD4"/>
    <w:rsid w:val="00F832CF"/>
    <w:rsid w:val="00F91C18"/>
    <w:rsid w:val="00F93E0D"/>
    <w:rsid w:val="00F96B1F"/>
    <w:rsid w:val="00F976B6"/>
    <w:rsid w:val="00FA50A8"/>
    <w:rsid w:val="00FA556A"/>
    <w:rsid w:val="00FA64E1"/>
    <w:rsid w:val="00FA6850"/>
    <w:rsid w:val="00FB3D0D"/>
    <w:rsid w:val="00FB3F06"/>
    <w:rsid w:val="00FB5976"/>
    <w:rsid w:val="00FB6B3B"/>
    <w:rsid w:val="00FC090A"/>
    <w:rsid w:val="00FD1F44"/>
    <w:rsid w:val="00FD3DB1"/>
    <w:rsid w:val="00FD4718"/>
    <w:rsid w:val="00FF7A8A"/>
    <w:rsid w:val="173043C7"/>
    <w:rsid w:val="1B6F51E5"/>
    <w:rsid w:val="2A234790"/>
    <w:rsid w:val="2B255B99"/>
    <w:rsid w:val="2B6C6E8B"/>
    <w:rsid w:val="302A3C52"/>
    <w:rsid w:val="44A1408B"/>
    <w:rsid w:val="4C90746A"/>
    <w:rsid w:val="4FD72978"/>
    <w:rsid w:val="50707FEE"/>
    <w:rsid w:val="6C04421B"/>
    <w:rsid w:val="71405103"/>
    <w:rsid w:val="7E0F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5"/>
    <w:semiHidden/>
    <w:unhideWhenUsed/>
    <w:uiPriority w:val="99"/>
    <w:pPr>
      <w:jc w:val="left"/>
    </w:pPr>
  </w:style>
  <w:style w:type="paragraph" w:styleId="3">
    <w:name w:val="Balloon Text"/>
    <w:basedOn w:val="1"/>
    <w:link w:val="23"/>
    <w:semiHidden/>
    <w:unhideWhenUsed/>
    <w:uiPriority w:val="99"/>
    <w:rPr>
      <w:sz w:val="18"/>
      <w:szCs w:val="18"/>
    </w:rPr>
  </w:style>
  <w:style w:type="paragraph" w:styleId="4">
    <w:name w:val="footer"/>
    <w:basedOn w:val="1"/>
    <w:link w:val="18"/>
    <w:autoRedefine/>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59" w:lineRule="auto"/>
      <w:jc w:val="left"/>
    </w:pPr>
    <w:rPr>
      <w:rFonts w:cs="Times New Roman"/>
      <w:kern w:val="0"/>
      <w:sz w:val="22"/>
    </w:rPr>
  </w:style>
  <w:style w:type="paragraph" w:styleId="7">
    <w:name w:val="footnote text"/>
    <w:basedOn w:val="1"/>
    <w:link w:val="14"/>
    <w:unhideWhenUsed/>
    <w:uiPriority w:val="99"/>
    <w:pPr>
      <w:snapToGrid w:val="0"/>
      <w:jc w:val="left"/>
    </w:pPr>
    <w:rPr>
      <w:sz w:val="18"/>
      <w:szCs w:val="18"/>
    </w:rPr>
  </w:style>
  <w:style w:type="paragraph" w:styleId="8">
    <w:name w:val="annotation subject"/>
    <w:basedOn w:val="2"/>
    <w:next w:val="2"/>
    <w:link w:val="26"/>
    <w:semiHidden/>
    <w:unhideWhenUsed/>
    <w:uiPriority w:val="99"/>
    <w:rPr>
      <w:b/>
      <w:bCs/>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uiPriority w:val="99"/>
    <w:rPr>
      <w:sz w:val="21"/>
      <w:szCs w:val="21"/>
    </w:rPr>
  </w:style>
  <w:style w:type="character" w:styleId="13">
    <w:name w:val="footnote reference"/>
    <w:basedOn w:val="10"/>
    <w:semiHidden/>
    <w:unhideWhenUsed/>
    <w:uiPriority w:val="99"/>
    <w:rPr>
      <w:vertAlign w:val="superscript"/>
    </w:rPr>
  </w:style>
  <w:style w:type="character" w:customStyle="1" w:styleId="14">
    <w:name w:val="脚注文本 字符"/>
    <w:basedOn w:val="10"/>
    <w:link w:val="7"/>
    <w:uiPriority w:val="99"/>
    <w:rPr>
      <w:sz w:val="18"/>
      <w:szCs w:val="18"/>
    </w:rPr>
  </w:style>
  <w:style w:type="paragraph" w:customStyle="1" w:styleId="15">
    <w:name w:val="Default"/>
    <w:autoRedefine/>
    <w:qFormat/>
    <w:uiPriority w:val="0"/>
    <w:pPr>
      <w:widowControl w:val="0"/>
      <w:autoSpaceDE w:val="0"/>
      <w:autoSpaceDN w:val="0"/>
      <w:adjustRightInd w:val="0"/>
    </w:pPr>
    <w:rPr>
      <w:rFonts w:ascii="等线" w:eastAsia="等线" w:cs="等线"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页眉 字符"/>
    <w:basedOn w:val="10"/>
    <w:link w:val="5"/>
    <w:uiPriority w:val="99"/>
    <w:rPr>
      <w:sz w:val="18"/>
      <w:szCs w:val="18"/>
    </w:rPr>
  </w:style>
  <w:style w:type="character" w:customStyle="1" w:styleId="18">
    <w:name w:val="页脚 字符"/>
    <w:basedOn w:val="10"/>
    <w:link w:val="4"/>
    <w:uiPriority w:val="99"/>
    <w:rPr>
      <w:sz w:val="18"/>
      <w:szCs w:val="18"/>
    </w:rPr>
  </w:style>
  <w:style w:type="paragraph" w:customStyle="1" w:styleId="19">
    <w:name w:val="脚注"/>
    <w:basedOn w:val="20"/>
    <w:link w:val="22"/>
    <w:qFormat/>
    <w:uiPriority w:val="0"/>
    <w:pPr>
      <w:spacing w:before="0" w:after="0"/>
      <w:ind w:left="0" w:right="0" w:firstLine="200" w:firstLineChars="200"/>
      <w:jc w:val="both"/>
    </w:pPr>
    <w:rPr>
      <w:rFonts w:ascii="Times New Roman Uni" w:hAnsi="Times New Roman Uni" w:eastAsia="宋体"/>
      <w:i w:val="0"/>
      <w:sz w:val="18"/>
    </w:rPr>
  </w:style>
  <w:style w:type="paragraph" w:styleId="20">
    <w:name w:val="Quote"/>
    <w:basedOn w:val="1"/>
    <w:next w:val="1"/>
    <w:link w:val="2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1">
    <w:name w:val="引用 字符"/>
    <w:basedOn w:val="10"/>
    <w:link w:val="20"/>
    <w:uiPriority w:val="29"/>
    <w:rPr>
      <w:i/>
      <w:iCs/>
      <w:color w:val="404040" w:themeColor="text1" w:themeTint="BF"/>
      <w14:textFill>
        <w14:solidFill>
          <w14:schemeClr w14:val="tx1">
            <w14:lumMod w14:val="75000"/>
            <w14:lumOff w14:val="25000"/>
          </w14:schemeClr>
        </w14:solidFill>
      </w14:textFill>
    </w:rPr>
  </w:style>
  <w:style w:type="character" w:customStyle="1" w:styleId="22">
    <w:name w:val="脚注 字符"/>
    <w:basedOn w:val="21"/>
    <w:link w:val="19"/>
    <w:uiPriority w:val="0"/>
    <w:rPr>
      <w:rFonts w:ascii="Times New Roman Uni" w:hAnsi="Times New Roman Uni" w:eastAsia="宋体"/>
      <w:i w:val="0"/>
      <w:color w:val="404040" w:themeColor="text1" w:themeTint="BF"/>
      <w:sz w:val="18"/>
      <w14:textFill>
        <w14:solidFill>
          <w14:schemeClr w14:val="tx1">
            <w14:lumMod w14:val="75000"/>
            <w14:lumOff w14:val="25000"/>
          </w14:schemeClr>
        </w14:solidFill>
      </w14:textFill>
    </w:rPr>
  </w:style>
  <w:style w:type="character" w:customStyle="1" w:styleId="23">
    <w:name w:val="批注框文本 字符"/>
    <w:basedOn w:val="10"/>
    <w:link w:val="3"/>
    <w:semiHidden/>
    <w:uiPriority w:val="99"/>
    <w:rPr>
      <w:sz w:val="18"/>
      <w:szCs w:val="18"/>
    </w:rPr>
  </w:style>
  <w:style w:type="paragraph" w:customStyle="1" w:styleId="24">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批注文字 字符"/>
    <w:basedOn w:val="10"/>
    <w:link w:val="2"/>
    <w:semiHidden/>
    <w:uiPriority w:val="99"/>
  </w:style>
  <w:style w:type="character" w:customStyle="1" w:styleId="26">
    <w:name w:val="批注主题 字符"/>
    <w:basedOn w:val="25"/>
    <w:link w:val="8"/>
    <w:semiHidden/>
    <w:uiPriority w:val="99"/>
    <w:rPr>
      <w:b/>
      <w:bCs/>
    </w:rPr>
  </w:style>
  <w:style w:type="paragraph" w:customStyle="1" w:styleId="27">
    <w:name w:val="WPSOffice手动目录 1"/>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56A8-3CD8-43F9-A806-0471D00B9E21}">
  <ds:schemaRefs/>
</ds:datastoreItem>
</file>

<file path=docProps/app.xml><?xml version="1.0" encoding="utf-8"?>
<Properties xmlns="http://schemas.openxmlformats.org/officeDocument/2006/extended-properties" xmlns:vt="http://schemas.openxmlformats.org/officeDocument/2006/docPropsVTypes">
  <Template>Normal</Template>
  <Pages>5</Pages>
  <Words>620</Words>
  <Characters>3537</Characters>
  <Lines>29</Lines>
  <Paragraphs>8</Paragraphs>
  <TotalTime>27</TotalTime>
  <ScaleCrop>false</ScaleCrop>
  <LinksUpToDate>false</LinksUpToDate>
  <CharactersWithSpaces>4149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2023-12-25T15:37:00Z</dcterms:created>
  <dc:creator>Shuyue</dc:creator>
  <cp:lastModifiedBy>刘京</cp:lastModifiedBy>
  <dcterms:modified xsi:type="dcterms:W3CDTF">2024-01-05T08:13:32Z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14C4F77E7A4543A88B7CF88C09668BD4_12</vt:lpwstr>
  </property>
</Properties>
</file>