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3FE1B">
      <w:pPr>
        <w:spacing w:line="276" w:lineRule="auto"/>
        <w:jc w:val="center"/>
        <w:rPr>
          <w:rFonts w:ascii="楷体" w:hAnsi="楷体" w:eastAsia="楷体"/>
          <w:b/>
          <w:sz w:val="28"/>
        </w:rPr>
      </w:pPr>
      <w:r>
        <w:rPr>
          <w:rFonts w:hint="eastAsia" w:ascii="楷体" w:hAnsi="楷体" w:eastAsia="楷体"/>
          <w:b/>
          <w:sz w:val="28"/>
          <w:lang w:val="en-US" w:eastAsia="zh-CN"/>
        </w:rPr>
        <w:t xml:space="preserve">2025年春季  </w:t>
      </w:r>
      <w:r>
        <w:rPr>
          <w:rFonts w:hint="eastAsia" w:ascii="楷体" w:hAnsi="楷体" w:eastAsia="楷体"/>
          <w:b/>
          <w:sz w:val="28"/>
        </w:rPr>
        <w:t>高级自然资源经济学</w:t>
      </w:r>
    </w:p>
    <w:p w14:paraId="3BF00A64">
      <w:pPr>
        <w:spacing w:line="276" w:lineRule="auto"/>
        <w:jc w:val="center"/>
        <w:rPr>
          <w:rFonts w:hint="eastAsia" w:ascii="楷体" w:hAnsi="楷体" w:eastAsia="楷体"/>
          <w:sz w:val="24"/>
          <w:lang w:val="en-US" w:eastAsia="zh-CN"/>
        </w:rPr>
      </w:pPr>
      <w:r>
        <w:rPr>
          <w:rFonts w:hint="eastAsia" w:ascii="楷体" w:hAnsi="楷体" w:eastAsia="楷体"/>
          <w:sz w:val="24"/>
        </w:rPr>
        <w:t>课程</w:t>
      </w:r>
      <w:r>
        <w:rPr>
          <w:rFonts w:hint="eastAsia" w:ascii="楷体" w:hAnsi="楷体" w:eastAsia="楷体"/>
          <w:sz w:val="24"/>
          <w:lang w:val="en-US" w:eastAsia="zh-CN"/>
        </w:rPr>
        <w:t>大纲</w:t>
      </w:r>
    </w:p>
    <w:p w14:paraId="406785FA">
      <w:pPr>
        <w:spacing w:line="276" w:lineRule="auto"/>
        <w:rPr>
          <w:rFonts w:hint="eastAsia" w:ascii="楷体" w:hAnsi="楷体" w:eastAsia="楷体"/>
          <w:sz w:val="24"/>
        </w:rPr>
      </w:pPr>
    </w:p>
    <w:p w14:paraId="190A2367">
      <w:pPr>
        <w:spacing w:line="276" w:lineRule="auto"/>
        <w:rPr>
          <w:rFonts w:hint="eastAsia" w:ascii="楷体" w:hAnsi="楷体" w:eastAsia="楷体"/>
          <w:sz w:val="24"/>
          <w:lang w:val="en-US" w:eastAsia="zh-CN"/>
        </w:rPr>
      </w:pPr>
      <w:r>
        <w:rPr>
          <w:rFonts w:hint="eastAsia" w:ascii="楷体" w:hAnsi="楷体" w:eastAsia="楷体"/>
          <w:sz w:val="24"/>
          <w:lang w:val="en-US" w:eastAsia="zh-CN"/>
        </w:rPr>
        <w:t>任课教师：徐晋涛</w:t>
      </w:r>
      <w:bookmarkStart w:id="0" w:name="_GoBack"/>
      <w:bookmarkEnd w:id="0"/>
    </w:p>
    <w:p w14:paraId="6536D6D2">
      <w:pPr>
        <w:spacing w:line="276" w:lineRule="auto"/>
        <w:rPr>
          <w:rFonts w:hint="eastAsia" w:ascii="楷体" w:hAnsi="楷体" w:eastAsia="楷体"/>
          <w:sz w:val="24"/>
          <w:lang w:val="en-US" w:eastAsia="zh-CN"/>
        </w:rPr>
      </w:pPr>
      <w:r>
        <w:rPr>
          <w:rFonts w:hint="eastAsia" w:ascii="楷体" w:hAnsi="楷体" w:eastAsia="楷体"/>
          <w:sz w:val="24"/>
          <w:lang w:val="en-US" w:eastAsia="zh-CN"/>
        </w:rPr>
        <w:t>时间：2025年春季，每周二上午2-4节（9-12点）</w:t>
      </w:r>
    </w:p>
    <w:p w14:paraId="71A528BF">
      <w:pPr>
        <w:spacing w:line="276" w:lineRule="auto"/>
        <w:rPr>
          <w:rFonts w:hint="default" w:ascii="楷体" w:hAnsi="楷体" w:eastAsia="楷体"/>
          <w:sz w:val="24"/>
          <w:lang w:val="en-US" w:eastAsia="zh-CN"/>
        </w:rPr>
      </w:pPr>
      <w:r>
        <w:rPr>
          <w:rFonts w:hint="eastAsia" w:ascii="楷体" w:hAnsi="楷体" w:eastAsia="楷体"/>
          <w:sz w:val="24"/>
          <w:lang w:val="en-US" w:eastAsia="zh-CN"/>
        </w:rPr>
        <w:t>教室：承泽园329</w:t>
      </w:r>
    </w:p>
    <w:p w14:paraId="79C0D590">
      <w:pPr>
        <w:spacing w:line="276" w:lineRule="auto"/>
        <w:rPr>
          <w:rFonts w:hint="default" w:ascii="楷体" w:hAnsi="楷体" w:eastAsia="楷体"/>
          <w:sz w:val="24"/>
          <w:lang w:val="en-US" w:eastAsia="zh-CN"/>
        </w:rPr>
      </w:pPr>
    </w:p>
    <w:p w14:paraId="1A4AAD32">
      <w:pPr>
        <w:spacing w:line="276" w:lineRule="auto"/>
        <w:rPr>
          <w:rFonts w:ascii="楷体" w:hAnsi="楷体" w:eastAsia="楷体"/>
          <w:sz w:val="24"/>
        </w:rPr>
      </w:pPr>
      <w:r>
        <w:rPr>
          <w:rFonts w:hint="eastAsia" w:ascii="楷体" w:hAnsi="楷体" w:eastAsia="楷体"/>
          <w:sz w:val="24"/>
        </w:rPr>
        <w:t>一．自然资源经济学基本问题、基本理论和方法</w:t>
      </w:r>
    </w:p>
    <w:p w14:paraId="62A31D68">
      <w:pPr>
        <w:spacing w:line="276" w:lineRule="auto"/>
        <w:rPr>
          <w:rFonts w:ascii="楷体" w:hAnsi="楷体" w:eastAsia="楷体"/>
          <w:sz w:val="24"/>
        </w:rPr>
      </w:pPr>
      <w:r>
        <w:rPr>
          <w:rFonts w:hint="eastAsia" w:ascii="楷体" w:hAnsi="楷体" w:eastAsia="楷体"/>
          <w:sz w:val="24"/>
        </w:rPr>
        <w:t>基本概念</w:t>
      </w:r>
    </w:p>
    <w:p w14:paraId="66B4DBBA">
      <w:pPr>
        <w:spacing w:line="276" w:lineRule="auto"/>
        <w:rPr>
          <w:rFonts w:hint="eastAsia" w:ascii="楷体" w:hAnsi="楷体" w:eastAsia="楷体"/>
          <w:sz w:val="24"/>
          <w:lang w:val="en-US" w:eastAsia="zh-CN"/>
        </w:rPr>
      </w:pPr>
      <w:r>
        <w:rPr>
          <w:rFonts w:hint="eastAsia" w:ascii="楷体" w:hAnsi="楷体" w:eastAsia="楷体"/>
          <w:sz w:val="24"/>
          <w:lang w:val="en-US" w:eastAsia="zh-CN"/>
        </w:rPr>
        <w:t>不可再生资源</w:t>
      </w:r>
    </w:p>
    <w:p w14:paraId="0AE6C216">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竞争性均衡、垄断、比较静态分析</w:t>
      </w:r>
    </w:p>
    <w:p w14:paraId="097D5B42">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资源租的概念</w:t>
      </w:r>
    </w:p>
    <w:p w14:paraId="673AD868">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霍特林模型、欧拉方程（霍特林法则）、经验分析</w:t>
      </w:r>
    </w:p>
    <w:p w14:paraId="630B816F">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后备技术</w:t>
      </w:r>
    </w:p>
    <w:p w14:paraId="0330B5E5">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绿色悖论</w:t>
      </w:r>
    </w:p>
    <w:p w14:paraId="6F009927">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次优政策、资源税</w:t>
      </w:r>
    </w:p>
    <w:p w14:paraId="4B46CD4D">
      <w:pPr>
        <w:spacing w:line="276" w:lineRule="auto"/>
        <w:rPr>
          <w:rFonts w:hint="default"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产权与规制</w:t>
      </w:r>
    </w:p>
    <w:p w14:paraId="5B77ABE2">
      <w:pPr>
        <w:spacing w:line="276" w:lineRule="auto"/>
        <w:rPr>
          <w:rFonts w:hint="eastAsia" w:ascii="楷体" w:hAnsi="楷体" w:eastAsia="楷体"/>
          <w:sz w:val="24"/>
          <w:lang w:val="en-US" w:eastAsia="zh-CN"/>
        </w:rPr>
      </w:pPr>
      <w:r>
        <w:rPr>
          <w:rFonts w:hint="eastAsia" w:ascii="楷体" w:hAnsi="楷体" w:eastAsia="楷体"/>
          <w:sz w:val="24"/>
          <w:lang w:val="en-US" w:eastAsia="zh-CN"/>
        </w:rPr>
        <w:t>可再生资源</w:t>
      </w:r>
    </w:p>
    <w:p w14:paraId="55F3B750">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增长函数、采伐（捕捞）与稳态均衡</w:t>
      </w:r>
    </w:p>
    <w:p w14:paraId="200F8873">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均衡的稳定性</w:t>
      </w:r>
    </w:p>
    <w:p w14:paraId="00979F7B">
      <w:p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最大可持续产量</w:t>
      </w:r>
    </w:p>
    <w:p w14:paraId="03411AA7">
      <w:pPr>
        <w:spacing w:line="276" w:lineRule="auto"/>
        <w:rPr>
          <w:rFonts w:hint="default"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林业：最优轮伐期的确定，数量成熟、经济成熟、多重效益森林利用</w:t>
      </w:r>
    </w:p>
    <w:p w14:paraId="73D60E76">
      <w:pPr>
        <w:spacing w:line="276" w:lineRule="auto"/>
        <w:rPr>
          <w:rFonts w:hint="default"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渔业：开放进入、私有渔业、空间动态分析、人工养殖的发展与贡献</w:t>
      </w:r>
    </w:p>
    <w:p w14:paraId="025AC7D0">
      <w:pPr>
        <w:spacing w:line="276" w:lineRule="auto"/>
        <w:rPr>
          <w:rFonts w:hint="default"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（水资源经济学）</w:t>
      </w:r>
    </w:p>
    <w:p w14:paraId="44E565B5">
      <w:pPr>
        <w:spacing w:line="276" w:lineRule="auto"/>
        <w:rPr>
          <w:rFonts w:ascii="楷体" w:hAnsi="楷体" w:eastAsia="楷体"/>
          <w:sz w:val="24"/>
        </w:rPr>
      </w:pPr>
      <w:r>
        <w:rPr>
          <w:rFonts w:hint="eastAsia" w:ascii="楷体" w:hAnsi="楷体" w:eastAsia="楷体"/>
          <w:sz w:val="24"/>
        </w:rPr>
        <w:t>可持续发展</w:t>
      </w:r>
    </w:p>
    <w:p w14:paraId="2B7FF86A">
      <w:pPr>
        <w:spacing w:line="276" w:lineRule="auto"/>
        <w:rPr>
          <w:rFonts w:ascii="楷体" w:hAnsi="楷体" w:eastAsia="楷体"/>
          <w:sz w:val="24"/>
        </w:rPr>
      </w:pPr>
      <w:r>
        <w:rPr>
          <w:rFonts w:hint="eastAsia" w:ascii="楷体" w:hAnsi="楷体" w:eastAsia="楷体"/>
          <w:sz w:val="24"/>
        </w:rPr>
        <w:t>气候变化</w:t>
      </w:r>
    </w:p>
    <w:p w14:paraId="6893815E">
      <w:pPr>
        <w:spacing w:line="276" w:lineRule="auto"/>
        <w:rPr>
          <w:rFonts w:hint="eastAsia" w:ascii="楷体" w:hAnsi="楷体" w:eastAsia="楷体"/>
          <w:sz w:val="24"/>
        </w:rPr>
      </w:pPr>
    </w:p>
    <w:p w14:paraId="0D5AA4A2">
      <w:pPr>
        <w:spacing w:line="276" w:lineRule="auto"/>
        <w:rPr>
          <w:rFonts w:ascii="楷体" w:hAnsi="楷体" w:eastAsia="楷体"/>
          <w:sz w:val="24"/>
        </w:rPr>
      </w:pPr>
      <w:r>
        <w:rPr>
          <w:rFonts w:hint="eastAsia" w:ascii="楷体" w:hAnsi="楷体" w:eastAsia="楷体"/>
          <w:sz w:val="24"/>
        </w:rPr>
        <w:t>二．专题学习</w:t>
      </w:r>
    </w:p>
    <w:p w14:paraId="7A405001">
      <w:pPr>
        <w:spacing w:line="276" w:lineRule="auto"/>
        <w:rPr>
          <w:rFonts w:ascii="楷体" w:hAnsi="楷体" w:eastAsia="楷体"/>
          <w:sz w:val="24"/>
        </w:rPr>
      </w:pPr>
      <w:r>
        <w:rPr>
          <w:rFonts w:ascii="楷体" w:hAnsi="楷体" w:eastAsia="楷体"/>
          <w:sz w:val="24"/>
        </w:rPr>
        <w:t>1. 公地（the commons）资源管理体制问题</w:t>
      </w:r>
    </w:p>
    <w:p w14:paraId="418297F3">
      <w:pPr>
        <w:spacing w:line="276" w:lineRule="auto"/>
        <w:rPr>
          <w:rFonts w:ascii="楷体" w:hAnsi="楷体" w:eastAsia="楷体"/>
          <w:sz w:val="24"/>
        </w:rPr>
      </w:pPr>
      <w:r>
        <w:rPr>
          <w:rFonts w:hint="eastAsia" w:ascii="楷体" w:hAnsi="楷体" w:eastAsia="楷体"/>
          <w:sz w:val="24"/>
        </w:rPr>
        <w:t>经济学解决公地悲剧</w:t>
      </w:r>
      <w:r>
        <w:rPr>
          <w:rFonts w:ascii="楷体" w:hAnsi="楷体" w:eastAsia="楷体"/>
          <w:sz w:val="24"/>
        </w:rPr>
        <w:t>(Hardin,1968)的直接思路是私有化，Weitzman(1974)提出一种集体管理优于私有化的框架。在此基础上Baland and Francois （2005）进一步证明在社区成员存在异质性以及生产技术单一情形下集体管理总是优于私有化的制度安排。近期的拓展是在存在高回报技术情形下私有化占优情形的分析。</w:t>
      </w:r>
    </w:p>
    <w:p w14:paraId="397EB09F">
      <w:pPr>
        <w:spacing w:line="276" w:lineRule="auto"/>
        <w:rPr>
          <w:rFonts w:ascii="楷体" w:hAnsi="楷体" w:eastAsia="楷体"/>
          <w:sz w:val="24"/>
        </w:rPr>
      </w:pPr>
      <w:r>
        <w:rPr>
          <w:rFonts w:ascii="楷体" w:hAnsi="楷体" w:eastAsia="楷体"/>
          <w:sz w:val="24"/>
        </w:rPr>
        <w:t>2. 环境政策工具选择</w:t>
      </w:r>
    </w:p>
    <w:p w14:paraId="2F6BB238">
      <w:pPr>
        <w:spacing w:line="276" w:lineRule="auto"/>
        <w:rPr>
          <w:rFonts w:ascii="楷体" w:hAnsi="楷体" w:eastAsia="楷体"/>
          <w:sz w:val="24"/>
        </w:rPr>
      </w:pPr>
      <w:r>
        <w:rPr>
          <w:rFonts w:ascii="楷体" w:hAnsi="楷体" w:eastAsia="楷体"/>
          <w:sz w:val="24"/>
        </w:rPr>
        <w:t>Weitzman的Price vs Quantity（RES,1974）是经济学界最有影响的文章之一，为所有有关环境经济政策工具的讨论打下了基础。本课程还将介绍和讨论一些最新的研究成果。</w:t>
      </w:r>
    </w:p>
    <w:p w14:paraId="5C41A130">
      <w:pPr>
        <w:spacing w:line="276" w:lineRule="auto"/>
        <w:rPr>
          <w:rFonts w:ascii="楷体" w:hAnsi="楷体" w:eastAsia="楷体"/>
          <w:sz w:val="24"/>
        </w:rPr>
      </w:pPr>
      <w:r>
        <w:rPr>
          <w:rFonts w:ascii="楷体" w:hAnsi="楷体" w:eastAsia="楷体"/>
          <w:sz w:val="24"/>
        </w:rPr>
        <w:t>3. 生物多样性保护的优先序问题</w:t>
      </w:r>
    </w:p>
    <w:p w14:paraId="5A53BF98">
      <w:pPr>
        <w:spacing w:line="276" w:lineRule="auto"/>
        <w:rPr>
          <w:rFonts w:ascii="楷体" w:hAnsi="楷体" w:eastAsia="楷体"/>
          <w:sz w:val="24"/>
        </w:rPr>
      </w:pPr>
      <w:r>
        <w:rPr>
          <w:rFonts w:ascii="楷体" w:hAnsi="楷体" w:eastAsia="楷体"/>
          <w:sz w:val="24"/>
        </w:rPr>
        <w:t>Weitzman的诺亚方舟理论（Econometrica 1998）以及其它几篇文章对生物多样性保护中如何进行项目选择提出了严谨的理论框架。</w:t>
      </w:r>
    </w:p>
    <w:p w14:paraId="647F7151">
      <w:pPr>
        <w:spacing w:line="276" w:lineRule="auto"/>
        <w:rPr>
          <w:rFonts w:ascii="楷体" w:hAnsi="楷体" w:eastAsia="楷体"/>
          <w:sz w:val="24"/>
        </w:rPr>
      </w:pPr>
      <w:r>
        <w:rPr>
          <w:rFonts w:ascii="楷体" w:hAnsi="楷体" w:eastAsia="楷体"/>
          <w:sz w:val="24"/>
        </w:rPr>
        <w:t>4. 社会贴现率问题</w:t>
      </w:r>
    </w:p>
    <w:p w14:paraId="1E3DEA15">
      <w:pPr>
        <w:spacing w:line="276" w:lineRule="auto"/>
        <w:rPr>
          <w:rFonts w:ascii="楷体" w:hAnsi="楷体" w:eastAsia="楷体"/>
          <w:sz w:val="24"/>
        </w:rPr>
      </w:pPr>
      <w:r>
        <w:rPr>
          <w:rFonts w:hint="eastAsia" w:ascii="楷体" w:hAnsi="楷体" w:eastAsia="楷体"/>
          <w:sz w:val="24"/>
        </w:rPr>
        <w:t>社会贴现率的决定是福利经济学、资本理论和任何动态优化问题的核心问题，也是当今经济学界有关气候变化争议的焦点问题。</w:t>
      </w:r>
      <w:r>
        <w:rPr>
          <w:rFonts w:ascii="楷体" w:hAnsi="楷体" w:eastAsia="楷体"/>
          <w:sz w:val="24"/>
        </w:rPr>
        <w:t>Weitzman的贡献影响更为广泛。他关于发生概率小但是灾害损失大的事件的讨论对今天研究气候变化、SARS和新冠病毒肺炎的政策都有指导意义。</w:t>
      </w:r>
    </w:p>
    <w:p w14:paraId="398065BD">
      <w:pPr>
        <w:spacing w:line="276" w:lineRule="auto"/>
        <w:rPr>
          <w:rFonts w:ascii="楷体" w:hAnsi="楷体" w:eastAsia="楷体"/>
          <w:sz w:val="24"/>
        </w:rPr>
      </w:pPr>
      <w:r>
        <w:rPr>
          <w:rFonts w:ascii="楷体" w:hAnsi="楷体" w:eastAsia="楷体"/>
          <w:sz w:val="24"/>
        </w:rPr>
        <w:t>5. 气候变化的社会成本问题</w:t>
      </w:r>
    </w:p>
    <w:p w14:paraId="4B4CF3C3">
      <w:pPr>
        <w:spacing w:line="276" w:lineRule="auto"/>
        <w:rPr>
          <w:rFonts w:ascii="楷体" w:hAnsi="楷体" w:eastAsia="楷体"/>
          <w:sz w:val="24"/>
        </w:rPr>
      </w:pPr>
      <w:r>
        <w:rPr>
          <w:rFonts w:ascii="楷体" w:hAnsi="楷体" w:eastAsia="楷体"/>
          <w:sz w:val="24"/>
        </w:rPr>
        <w:t>Weitzman过去十年致力于气候变化社会成本问题的分析，他通过对Stern Review的讨论、社会贴现率的分析以及损害函数形式的讨论，为气候变化经济学奠定了基础。</w:t>
      </w:r>
    </w:p>
    <w:p w14:paraId="42EEB019">
      <w:pPr>
        <w:spacing w:line="276" w:lineRule="auto"/>
        <w:rPr>
          <w:rFonts w:ascii="楷体" w:hAnsi="楷体" w:eastAsia="楷体"/>
          <w:sz w:val="24"/>
        </w:rPr>
      </w:pPr>
    </w:p>
    <w:p w14:paraId="48E25243">
      <w:pPr>
        <w:numPr>
          <w:ilvl w:val="0"/>
          <w:numId w:val="1"/>
        </w:numPr>
        <w:spacing w:line="276" w:lineRule="auto"/>
        <w:rPr>
          <w:rFonts w:hint="default" w:ascii="楷体" w:hAnsi="楷体" w:eastAsia="楷体"/>
          <w:sz w:val="24"/>
          <w:lang w:val="en-US" w:eastAsia="zh-CN"/>
        </w:rPr>
      </w:pPr>
      <w:r>
        <w:rPr>
          <w:rFonts w:hint="eastAsia" w:ascii="楷体" w:hAnsi="楷体" w:eastAsia="楷体"/>
          <w:sz w:val="24"/>
        </w:rPr>
        <w:t>参考书：</w:t>
      </w:r>
      <w:r>
        <w:rPr>
          <w:rFonts w:hint="eastAsia" w:ascii="楷体" w:hAnsi="楷体" w:eastAsia="楷体"/>
          <w:sz w:val="24"/>
          <w:lang w:val="en-US" w:eastAsia="zh-CN"/>
        </w:rPr>
        <w:t>Natural Resources as Capi</w:t>
      </w:r>
      <w:r>
        <w:rPr>
          <w:rFonts w:hint="default" w:ascii="楷体" w:hAnsi="楷体" w:eastAsia="楷体"/>
          <w:sz w:val="24"/>
          <w:lang w:val="en-US" w:eastAsia="zh-CN"/>
        </w:rPr>
        <w:t>tal, Larry Karp, the MIT Press 2017</w:t>
      </w:r>
    </w:p>
    <w:p w14:paraId="228C7E9F">
      <w:pPr>
        <w:numPr>
          <w:ilvl w:val="0"/>
          <w:numId w:val="0"/>
        </w:numPr>
        <w:spacing w:line="276" w:lineRule="auto"/>
        <w:rPr>
          <w:rFonts w:hint="eastAsia" w:ascii="楷体" w:hAnsi="楷体" w:eastAsia="楷体"/>
          <w:sz w:val="24"/>
          <w:lang w:val="en-US" w:eastAsia="zh-CN"/>
        </w:rPr>
      </w:pPr>
      <w:r>
        <w:rPr>
          <w:rFonts w:hint="eastAsia" w:ascii="楷体" w:hAnsi="楷体" w:eastAsia="楷体"/>
          <w:sz w:val="24"/>
          <w:lang w:val="en-US" w:eastAsia="zh-CN"/>
        </w:rPr>
        <w:tab/>
      </w:r>
      <w:r>
        <w:rPr>
          <w:rFonts w:hint="eastAsia" w:ascii="楷体" w:hAnsi="楷体" w:eastAsia="楷体"/>
          <w:sz w:val="24"/>
          <w:lang w:val="en-US" w:eastAsia="zh-CN"/>
        </w:rPr>
        <w:tab/>
      </w:r>
      <w:r>
        <w:rPr>
          <w:rFonts w:hint="eastAsia" w:ascii="楷体" w:hAnsi="楷体" w:eastAsia="楷体"/>
          <w:sz w:val="24"/>
          <w:lang w:val="en-US" w:eastAsia="zh-CN"/>
        </w:rPr>
        <w:tab/>
      </w:r>
      <w:r>
        <w:rPr>
          <w:rFonts w:hint="eastAsia" w:ascii="楷体" w:hAnsi="楷体" w:eastAsia="楷体"/>
          <w:sz w:val="24"/>
          <w:lang w:val="en-US" w:eastAsia="zh-CN"/>
        </w:rPr>
        <w:t>Resource Economics (2</w:t>
      </w:r>
      <w:r>
        <w:rPr>
          <w:rFonts w:hint="eastAsia" w:ascii="楷体" w:hAnsi="楷体" w:eastAsia="楷体"/>
          <w:sz w:val="24"/>
          <w:vertAlign w:val="superscript"/>
          <w:lang w:val="en-US" w:eastAsia="zh-CN"/>
        </w:rPr>
        <w:t>nd</w:t>
      </w:r>
      <w:r>
        <w:rPr>
          <w:rFonts w:hint="eastAsia" w:ascii="楷体" w:hAnsi="楷体" w:eastAsia="楷体"/>
          <w:sz w:val="24"/>
          <w:lang w:val="en-US" w:eastAsia="zh-CN"/>
        </w:rPr>
        <w:t xml:space="preserve"> Edition), Jon M. Conrad, Cambridge 2010</w:t>
      </w:r>
    </w:p>
    <w:p w14:paraId="5A346A22">
      <w:pPr>
        <w:numPr>
          <w:ilvl w:val="0"/>
          <w:numId w:val="0"/>
        </w:numPr>
        <w:spacing w:line="276" w:lineRule="auto"/>
        <w:rPr>
          <w:rFonts w:hint="default" w:ascii="楷体" w:hAnsi="楷体" w:eastAsia="楷体"/>
          <w:sz w:val="24"/>
          <w:lang w:val="en-US" w:eastAsia="zh-CN"/>
        </w:rPr>
      </w:pPr>
    </w:p>
    <w:p w14:paraId="3933C90C">
      <w:pPr>
        <w:numPr>
          <w:ilvl w:val="0"/>
          <w:numId w:val="1"/>
        </w:numPr>
        <w:spacing w:line="276" w:lineRule="auto"/>
        <w:rPr>
          <w:rFonts w:hint="default" w:ascii="楷体" w:hAnsi="楷体" w:eastAsia="楷体"/>
          <w:sz w:val="24"/>
          <w:lang w:val="en-US" w:eastAsia="zh-CN"/>
        </w:rPr>
      </w:pPr>
      <w:r>
        <w:rPr>
          <w:rFonts w:hint="eastAsia" w:ascii="楷体" w:hAnsi="楷体" w:eastAsia="楷体"/>
          <w:sz w:val="24"/>
          <w:lang w:val="en-US" w:eastAsia="zh-CN"/>
        </w:rPr>
        <w:t>考核方式：课堂参与-20%；作业-40；综述性文章-40%。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36E2E"/>
    <w:multiLevelType w:val="singleLevel"/>
    <w:tmpl w:val="23336E2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7A"/>
    <w:rsid w:val="00140302"/>
    <w:rsid w:val="00275D7A"/>
    <w:rsid w:val="006752C2"/>
    <w:rsid w:val="00862811"/>
    <w:rsid w:val="28782A0D"/>
    <w:rsid w:val="3B1B5A88"/>
    <w:rsid w:val="4CBA46FF"/>
    <w:rsid w:val="536F58F1"/>
    <w:rsid w:val="6B5B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Words>
  <Characters>694</Characters>
  <Lines>5</Lines>
  <Paragraphs>1</Paragraphs>
  <TotalTime>255</TotalTime>
  <ScaleCrop>false</ScaleCrop>
  <LinksUpToDate>false</LinksUpToDate>
  <CharactersWithSpaces>814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2023-02-19T09:34:00Z</dcterms:created>
  <dc:creator>admin</dc:creator>
  <cp:lastModifiedBy>admin</cp:lastModifiedBy>
  <dcterms:modified xsi:type="dcterms:W3CDTF">2025-02-17T02:19:48Z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C953C05DA2504ACB9A252943E3868948_13</vt:lpwstr>
  </property>
</Properties>
</file>