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BE5D2">
      <w:pPr>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hint="eastAsia" w:ascii="Times New Roman" w:hAnsi="Times New Roman" w:eastAsia="宋体" w:cs="Times New Roman"/>
          <w:b/>
          <w:szCs w:val="21"/>
        </w:rPr>
      </w:pPr>
      <w:r>
        <w:rPr>
          <w:rFonts w:hint="eastAsia" w:ascii="Times New Roman" w:hAnsi="Times New Roman" w:eastAsia="宋体" w:cs="Times New Roman"/>
          <w:b/>
          <w:szCs w:val="21"/>
        </w:rPr>
        <w:t>论文编号：2024-00756</w:t>
      </w:r>
    </w:p>
    <w:p w14:paraId="69EC7C15">
      <w:pPr>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hint="eastAsia" w:ascii="Times New Roman" w:hAnsi="Times New Roman" w:eastAsia="宋体" w:cs="Times New Roman"/>
          <w:b/>
          <w:szCs w:val="21"/>
        </w:rPr>
      </w:pPr>
      <w:r>
        <w:rPr>
          <w:rFonts w:hint="eastAsia" w:ascii="Times New Roman" w:hAnsi="Times New Roman" w:eastAsia="宋体" w:cs="Times New Roman"/>
          <w:b/>
          <w:szCs w:val="21"/>
        </w:rPr>
        <w:t>论文题目：对口帮扶的信用援助效应——来自城投债发行定价的证据</w:t>
      </w:r>
    </w:p>
    <w:p w14:paraId="64301EA9">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eastAsia="宋体"/>
          <w:lang w:val="en-US" w:eastAsia="zh-CN"/>
        </w:rPr>
      </w:pPr>
    </w:p>
    <w:p w14:paraId="5C966FE5">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szCs w:val="21"/>
          <w:lang w:val="en-US" w:eastAsia="zh-CN"/>
        </w:rPr>
      </w:pPr>
      <w:r>
        <w:rPr>
          <w:rFonts w:hint="eastAsia" w:ascii="Times New Roman" w:hAnsi="Times New Roman" w:eastAsia="宋体" w:cs="Times New Roman"/>
          <w:b/>
          <w:szCs w:val="21"/>
          <w:lang w:val="en-US" w:eastAsia="zh-CN"/>
        </w:rPr>
        <w:t>数据说明文档</w:t>
      </w:r>
    </w:p>
    <w:p w14:paraId="0E8956A8">
      <w:pPr>
        <w:keepNext w:val="0"/>
        <w:keepLines w:val="0"/>
        <w:pageBreakBefore w:val="0"/>
        <w:widowControl w:val="0"/>
        <w:kinsoku/>
        <w:wordWrap/>
        <w:overflowPunct/>
        <w:topLinePunct w:val="0"/>
        <w:autoSpaceDE/>
        <w:autoSpaceDN/>
        <w:bidi w:val="0"/>
        <w:adjustRightInd/>
        <w:snapToGrid/>
        <w:spacing w:line="276" w:lineRule="auto"/>
        <w:textAlignment w:val="auto"/>
        <w:rPr>
          <w:rFonts w:hint="default" w:eastAsia="宋体"/>
          <w:lang w:val="en-US" w:eastAsia="zh-CN"/>
        </w:rPr>
      </w:pPr>
    </w:p>
    <w:p w14:paraId="00CF2C2D">
      <w:pPr>
        <w:keepNext w:val="0"/>
        <w:keepLines w:val="0"/>
        <w:pageBreakBefore w:val="0"/>
        <w:widowControl w:val="0"/>
        <w:numPr>
          <w:ilvl w:val="0"/>
          <w:numId w:val="1"/>
        </w:numPr>
        <w:kinsoku/>
        <w:wordWrap/>
        <w:overflowPunct/>
        <w:topLinePunct w:val="0"/>
        <w:autoSpaceDE/>
        <w:autoSpaceDN/>
        <w:bidi w:val="0"/>
        <w:adjustRightInd/>
        <w:snapToGrid/>
        <w:spacing w:line="276" w:lineRule="auto"/>
        <w:textAlignment w:val="auto"/>
        <w:rPr>
          <w:rFonts w:hint="eastAsia" w:eastAsia="宋体"/>
          <w:b/>
          <w:bCs w:val="0"/>
          <w:lang w:val="en-US" w:eastAsia="zh-CN"/>
        </w:rPr>
      </w:pPr>
      <w:r>
        <w:rPr>
          <w:rFonts w:hint="eastAsia" w:eastAsia="宋体"/>
          <w:b/>
          <w:bCs w:val="0"/>
          <w:lang w:val="en-US" w:eastAsia="zh-CN"/>
        </w:rPr>
        <w:t>用于对口帮扶政策背景说明的数据</w:t>
      </w:r>
    </w:p>
    <w:p w14:paraId="63411CC0">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420" w:firstLineChars="200"/>
        <w:textAlignment w:val="auto"/>
        <w:rPr>
          <w:rFonts w:hint="eastAsia" w:eastAsia="宋体"/>
          <w:bCs/>
          <w:highlight w:val="none"/>
          <w:lang w:val="en-US" w:eastAsia="zh-CN"/>
        </w:rPr>
      </w:pPr>
      <w:r>
        <w:rPr>
          <w:rFonts w:hint="eastAsia" w:eastAsia="宋体"/>
          <w:lang w:val="en-US" w:eastAsia="zh-CN"/>
        </w:rPr>
        <w:t>为统计</w:t>
      </w:r>
      <w:r>
        <w:rPr>
          <w:rFonts w:ascii="Times New Roman" w:hAnsi="Times New Roman"/>
          <w:color w:val="auto"/>
        </w:rPr>
        <w:t>东西部扶贫协作工作</w:t>
      </w:r>
      <w:r>
        <w:rPr>
          <w:rFonts w:hint="eastAsia" w:eastAsia="宋体"/>
          <w:color w:val="auto"/>
          <w:lang w:val="en-US" w:eastAsia="zh-CN"/>
        </w:rPr>
        <w:t>的发展情况，本文</w:t>
      </w:r>
      <w:r>
        <w:rPr>
          <w:rFonts w:ascii="Times New Roman" w:hAnsi="Times New Roman"/>
          <w:bCs/>
        </w:rPr>
        <w:t>根据《中国扶贫开发年鉴2021》</w:t>
      </w:r>
      <w:r>
        <w:rPr>
          <w:rFonts w:hint="eastAsia" w:ascii="Times New Roman" w:hAnsi="Times New Roman"/>
          <w:bCs/>
          <w:lang w:val="en-US" w:eastAsia="zh-CN"/>
        </w:rPr>
        <w:t>的数据</w:t>
      </w:r>
      <w:r>
        <w:rPr>
          <w:rFonts w:hint="eastAsia"/>
          <w:bCs/>
          <w:lang w:val="en-US" w:eastAsia="zh-CN"/>
        </w:rPr>
        <w:t>，手工收集整理得</w:t>
      </w:r>
      <w:r>
        <w:rPr>
          <w:rFonts w:hint="eastAsia" w:ascii="Times New Roman" w:hAnsi="Times New Roman"/>
          <w:bCs/>
          <w:highlight w:val="none"/>
        </w:rPr>
        <w:t>附录II</w:t>
      </w:r>
      <w:r>
        <w:rPr>
          <w:rFonts w:hint="eastAsia" w:ascii="Times New Roman" w:hAnsi="Times New Roman"/>
          <w:bCs/>
          <w:highlight w:val="none"/>
          <w:lang w:val="en-US" w:eastAsia="zh-CN"/>
        </w:rPr>
        <w:t>表</w:t>
      </w:r>
      <w:r>
        <w:rPr>
          <w:rFonts w:hint="eastAsia" w:ascii="Times New Roman" w:hAnsi="Times New Roman"/>
          <w:bCs/>
          <w:highlight w:val="none"/>
        </w:rPr>
        <w:t>II1</w:t>
      </w:r>
      <w:r>
        <w:rPr>
          <w:rFonts w:hint="eastAsia" w:eastAsia="宋体"/>
          <w:bCs/>
          <w:highlight w:val="none"/>
          <w:lang w:eastAsia="zh-CN"/>
        </w:rPr>
        <w:t>“</w:t>
      </w:r>
      <w:r>
        <w:rPr>
          <w:rFonts w:hint="eastAsia" w:ascii="Times New Roman" w:hAnsi="Times New Roman"/>
        </w:rPr>
        <w:t>东西部扶贫协作情况统计（2012-2020年）</w:t>
      </w:r>
      <w:r>
        <w:rPr>
          <w:rFonts w:hint="eastAsia" w:eastAsia="宋体"/>
          <w:bCs/>
          <w:highlight w:val="none"/>
          <w:lang w:eastAsia="zh-CN"/>
        </w:rPr>
        <w:t>”。</w:t>
      </w:r>
      <w:r>
        <w:rPr>
          <w:rFonts w:hint="eastAsia" w:eastAsia="宋体"/>
          <w:bCs/>
          <w:highlight w:val="none"/>
          <w:lang w:val="en-US" w:eastAsia="zh-CN"/>
        </w:rPr>
        <w:t>数据源如下：</w:t>
      </w:r>
    </w:p>
    <w:p w14:paraId="2713F773">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eastAsia" w:eastAsia="宋体"/>
          <w:bCs/>
          <w:highlight w:val="none"/>
          <w:lang w:val="en-US" w:eastAsia="zh-CN"/>
        </w:rPr>
      </w:pPr>
      <w:r>
        <w:rPr>
          <w:rFonts w:hint="eastAsia" w:eastAsia="宋体"/>
          <w:bCs/>
          <w:highlight w:val="none"/>
          <w:lang w:val="en-US" w:eastAsia="zh-CN"/>
        </w:rPr>
        <w:drawing>
          <wp:inline distT="0" distB="0" distL="114300" distR="114300">
            <wp:extent cx="5462270" cy="3054350"/>
            <wp:effectExtent l="0" t="0" r="0" b="0"/>
            <wp:docPr id="1" name="图片 1" descr="be4a7f109d42e6107cfe947ac1032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e4a7f109d42e6107cfe947ac1032f1"/>
                    <pic:cNvPicPr>
                      <a:picLocks noChangeAspect="1"/>
                    </pic:cNvPicPr>
                  </pic:nvPicPr>
                  <pic:blipFill>
                    <a:blip r:embed="rId4"/>
                    <a:srcRect b="25438"/>
                    <a:stretch>
                      <a:fillRect/>
                    </a:stretch>
                  </pic:blipFill>
                  <pic:spPr>
                    <a:xfrm>
                      <a:off x="0" y="0"/>
                      <a:ext cx="5462270" cy="3054350"/>
                    </a:xfrm>
                    <a:prstGeom prst="rect">
                      <a:avLst/>
                    </a:prstGeom>
                  </pic:spPr>
                </pic:pic>
              </a:graphicData>
            </a:graphic>
          </wp:inline>
        </w:drawing>
      </w:r>
    </w:p>
    <w:p w14:paraId="24817228">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default" w:eastAsia="宋体"/>
          <w:bCs/>
          <w:highlight w:val="none"/>
          <w:lang w:val="en-US" w:eastAsia="zh-CN"/>
        </w:rPr>
      </w:pPr>
    </w:p>
    <w:p w14:paraId="2504F285">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420" w:firstLineChars="200"/>
        <w:textAlignment w:val="auto"/>
        <w:rPr>
          <w:rFonts w:hint="eastAsia" w:eastAsia="宋体"/>
          <w:bCs/>
          <w:lang w:val="en-US" w:eastAsia="zh-CN"/>
        </w:rPr>
      </w:pPr>
      <w:r>
        <w:rPr>
          <w:rFonts w:hint="eastAsia" w:eastAsia="宋体"/>
          <w:color w:val="auto"/>
          <w:lang w:val="en-US" w:eastAsia="zh-CN"/>
        </w:rPr>
        <w:t>此外，</w:t>
      </w:r>
      <w:r>
        <w:rPr>
          <w:rFonts w:hint="eastAsia" w:ascii="Times New Roman" w:hAnsi="Times New Roman"/>
          <w:bCs/>
        </w:rPr>
        <w:t>本文通过查阅历年的《中国扶贫开发年鉴》，手工收集整理</w:t>
      </w:r>
      <w:r>
        <w:rPr>
          <w:rFonts w:hint="eastAsia" w:ascii="Times New Roman" w:hAnsi="Times New Roman"/>
          <w:bCs/>
          <w:lang w:val="en-US" w:eastAsia="zh-CN"/>
        </w:rPr>
        <w:t>得到</w:t>
      </w:r>
      <w:r>
        <w:rPr>
          <w:rFonts w:hint="eastAsia" w:ascii="Times New Roman" w:hAnsi="Times New Roman"/>
          <w:bCs/>
        </w:rPr>
        <w:t>图</w:t>
      </w:r>
      <w:r>
        <w:rPr>
          <w:rFonts w:hint="default" w:ascii="Times New Roman" w:hAnsi="Times New Roman"/>
          <w:bCs/>
        </w:rPr>
        <w:t>1</w:t>
      </w:r>
      <w:r>
        <w:rPr>
          <w:rFonts w:hint="eastAsia" w:eastAsia="宋体"/>
          <w:bCs/>
          <w:lang w:eastAsia="zh-CN"/>
        </w:rPr>
        <w:t>“</w:t>
      </w:r>
      <w:r>
        <w:rPr>
          <w:rFonts w:hint="eastAsia" w:ascii="Times New Roman" w:hAnsi="Times New Roman"/>
          <w:bCs/>
        </w:rPr>
        <w:t>东部省市向被帮扶地级市提供的财政帮扶资金</w:t>
      </w:r>
      <w:r>
        <w:rPr>
          <w:rFonts w:hint="eastAsia" w:eastAsia="宋体"/>
          <w:bCs/>
          <w:lang w:eastAsia="zh-CN"/>
        </w:rPr>
        <w:t>”，</w:t>
      </w:r>
      <w:r>
        <w:rPr>
          <w:rFonts w:hint="eastAsia" w:eastAsia="宋体"/>
          <w:bCs/>
          <w:lang w:val="en-US" w:eastAsia="zh-CN"/>
        </w:rPr>
        <w:t>以此说明本文以</w:t>
      </w:r>
      <w:r>
        <w:rPr>
          <w:rFonts w:hint="eastAsia" w:ascii="Times New Roman" w:hAnsi="Times New Roman"/>
          <w:bCs/>
        </w:rPr>
        <w:t>《</w:t>
      </w:r>
      <w:r>
        <w:rPr>
          <w:rFonts w:ascii="Times New Roman" w:hAnsi="Times New Roman"/>
        </w:rPr>
        <w:t>东西部</w:t>
      </w:r>
      <w:r>
        <w:rPr>
          <w:rFonts w:hint="eastAsia" w:ascii="Times New Roman" w:hAnsi="Times New Roman"/>
        </w:rPr>
        <w:t>协作</w:t>
      </w:r>
      <w:r>
        <w:rPr>
          <w:rFonts w:ascii="Times New Roman" w:hAnsi="Times New Roman"/>
          <w:bCs/>
        </w:rPr>
        <w:t>意见</w:t>
      </w:r>
      <w:r>
        <w:rPr>
          <w:rFonts w:hint="eastAsia" w:ascii="Times New Roman" w:hAnsi="Times New Roman"/>
          <w:bCs/>
        </w:rPr>
        <w:t>》作为政策冲击展开实证检验的实践依据</w:t>
      </w:r>
      <w:r>
        <w:rPr>
          <w:rFonts w:hint="eastAsia" w:eastAsia="宋体"/>
          <w:bCs/>
          <w:lang w:eastAsia="zh-CN"/>
        </w:rPr>
        <w:t>。</w:t>
      </w:r>
      <w:r>
        <w:rPr>
          <w:rFonts w:hint="eastAsia" w:eastAsia="宋体"/>
          <w:bCs/>
          <w:lang w:val="en-US" w:eastAsia="zh-CN"/>
        </w:rPr>
        <w:t>在每年的</w:t>
      </w:r>
      <w:r>
        <w:rPr>
          <w:rFonts w:hint="eastAsia" w:ascii="Times New Roman" w:hAnsi="Times New Roman"/>
          <w:bCs/>
        </w:rPr>
        <w:t>《中国扶贫开发年鉴》</w:t>
      </w:r>
      <w:r>
        <w:rPr>
          <w:rFonts w:hint="eastAsia" w:eastAsia="宋体"/>
          <w:bCs/>
          <w:lang w:val="en-US" w:eastAsia="zh-CN"/>
        </w:rPr>
        <w:t>中，会提及被帮扶地级市受援的财政帮扶资金，例如：</w:t>
      </w:r>
    </w:p>
    <w:p w14:paraId="44C77FC3">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eastAsia="宋体"/>
          <w:bCs/>
          <w:lang w:val="en-US" w:eastAsia="zh-CN"/>
        </w:rPr>
      </w:pPr>
      <w:r>
        <w:drawing>
          <wp:inline distT="0" distB="0" distL="114300" distR="114300">
            <wp:extent cx="2813050" cy="1764665"/>
            <wp:effectExtent l="0" t="0" r="6350" b="6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2813050" cy="1764665"/>
                    </a:xfrm>
                    <a:prstGeom prst="rect">
                      <a:avLst/>
                    </a:prstGeom>
                    <a:noFill/>
                    <a:ln>
                      <a:noFill/>
                    </a:ln>
                  </pic:spPr>
                </pic:pic>
              </a:graphicData>
            </a:graphic>
          </wp:inline>
        </w:drawing>
      </w:r>
      <w:r>
        <w:drawing>
          <wp:inline distT="0" distB="0" distL="114300" distR="114300">
            <wp:extent cx="2597785" cy="1827530"/>
            <wp:effectExtent l="0" t="0" r="5715" b="127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2597785" cy="1827530"/>
                    </a:xfrm>
                    <a:prstGeom prst="rect">
                      <a:avLst/>
                    </a:prstGeom>
                    <a:noFill/>
                    <a:ln>
                      <a:noFill/>
                    </a:ln>
                  </pic:spPr>
                </pic:pic>
              </a:graphicData>
            </a:graphic>
          </wp:inline>
        </w:drawing>
      </w:r>
    </w:p>
    <w:p w14:paraId="786D206C">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default" w:eastAsia="宋体"/>
          <w:lang w:val="en-US" w:eastAsia="zh-CN"/>
        </w:rPr>
      </w:pPr>
    </w:p>
    <w:p w14:paraId="6E4DCF5A">
      <w:pPr>
        <w:rPr>
          <w:rFonts w:hint="eastAsia" w:eastAsia="宋体"/>
          <w:b/>
          <w:bCs w:val="0"/>
          <w:lang w:val="en-US" w:eastAsia="zh-CN"/>
        </w:rPr>
      </w:pPr>
      <w:r>
        <w:rPr>
          <w:rFonts w:hint="eastAsia" w:eastAsia="宋体"/>
          <w:b/>
          <w:bCs w:val="0"/>
          <w:lang w:val="en-US" w:eastAsia="zh-CN"/>
        </w:rPr>
        <w:br w:type="page"/>
      </w:r>
    </w:p>
    <w:p w14:paraId="78ED3E5C">
      <w:pPr>
        <w:keepNext w:val="0"/>
        <w:keepLines w:val="0"/>
        <w:pageBreakBefore w:val="0"/>
        <w:widowControl w:val="0"/>
        <w:kinsoku/>
        <w:wordWrap/>
        <w:overflowPunct/>
        <w:topLinePunct w:val="0"/>
        <w:autoSpaceDE/>
        <w:autoSpaceDN/>
        <w:bidi w:val="0"/>
        <w:adjustRightInd/>
        <w:snapToGrid/>
        <w:spacing w:line="276" w:lineRule="auto"/>
        <w:textAlignment w:val="auto"/>
        <w:rPr>
          <w:rFonts w:hint="default" w:eastAsia="宋体"/>
          <w:b/>
          <w:bCs w:val="0"/>
          <w:lang w:val="en-US" w:eastAsia="zh-CN"/>
        </w:rPr>
      </w:pPr>
      <w:r>
        <w:rPr>
          <w:rFonts w:hint="eastAsia" w:eastAsia="宋体"/>
          <w:b/>
          <w:bCs w:val="0"/>
          <w:lang w:val="en-US" w:eastAsia="zh-CN"/>
        </w:rPr>
        <w:t>（二）用于实证回归过程的数据</w:t>
      </w:r>
    </w:p>
    <w:p w14:paraId="434C5082">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eastAsia="宋体"/>
          <w:lang w:val="en-US" w:eastAsia="zh-CN"/>
        </w:rPr>
      </w:pPr>
      <w:r>
        <w:rPr>
          <w:rFonts w:hint="eastAsia" w:eastAsia="宋体"/>
          <w:lang w:val="en-US" w:eastAsia="zh-CN"/>
        </w:rPr>
        <w:t>在代码文件Dofile中，共使用了bond_data、issuer_data和city_data三个文件，其中数据文件分别用途如下：</w:t>
      </w:r>
    </w:p>
    <w:p w14:paraId="18B06E45">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eastAsia="宋体"/>
          <w:lang w:val="en-US" w:eastAsia="zh-CN"/>
        </w:rPr>
      </w:pPr>
    </w:p>
    <w:tbl>
      <w:tblPr>
        <w:tblStyle w:val="6"/>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40"/>
        <w:gridCol w:w="3637"/>
      </w:tblGrid>
      <w:tr w14:paraId="1E98086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849" w:type="dxa"/>
            <w:gridSpan w:val="3"/>
            <w:shd w:val="clear" w:color="auto" w:fill="auto"/>
            <w:vAlign w:val="center"/>
          </w:tcPr>
          <w:p w14:paraId="17F80068">
            <w:pPr>
              <w:pStyle w:val="3"/>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hint="eastAsia" w:ascii="Times New Roman" w:hAnsi="Times New Roman" w:eastAsia="宋体" w:cs="Times New Roman"/>
                <w:sz w:val="20"/>
                <w:szCs w:val="20"/>
                <w:lang w:eastAsia="zh-CN"/>
              </w:rPr>
            </w:pPr>
            <w:r>
              <w:rPr>
                <w:rFonts w:hint="eastAsia" w:ascii="Times New Roman" w:hAnsi="Times New Roman" w:eastAsia="宋体" w:cs="Times New Roman"/>
                <w:sz w:val="20"/>
                <w:szCs w:val="20"/>
                <w:lang w:val="en-US" w:eastAsia="zh-CN"/>
              </w:rPr>
              <w:t>本文使用的是</w:t>
            </w:r>
            <w:r>
              <w:rPr>
                <w:rFonts w:hint="default" w:ascii="Times New Roman" w:hAnsi="Times New Roman" w:eastAsia="宋体" w:cs="Times New Roman"/>
                <w:sz w:val="20"/>
                <w:szCs w:val="20"/>
              </w:rPr>
              <w:t>2012-2021年地级市层面的城投债</w:t>
            </w:r>
            <w:r>
              <w:rPr>
                <w:rFonts w:hint="eastAsia" w:ascii="Times New Roman" w:hAnsi="Times New Roman" w:eastAsia="宋体" w:cs="Times New Roman"/>
                <w:sz w:val="20"/>
                <w:szCs w:val="20"/>
                <w:lang w:val="en-US" w:eastAsia="zh-CN"/>
              </w:rPr>
              <w:t>发行、城投主体或地级市数据，</w:t>
            </w:r>
            <w:r>
              <w:rPr>
                <w:rFonts w:hint="eastAsia" w:ascii="Times New Roman" w:hAnsi="Times New Roman" w:eastAsia="宋体" w:cstheme="minorBidi"/>
                <w:bCs/>
                <w:kern w:val="2"/>
                <w:sz w:val="20"/>
                <w:szCs w:val="20"/>
                <w:lang w:val="en-US" w:eastAsia="zh-CN" w:bidi="ar-SA"/>
              </w:rPr>
              <w:t>共同的处理过程具体如下：（1）</w:t>
            </w:r>
            <w:r>
              <w:rPr>
                <w:rFonts w:hint="default" w:ascii="Times New Roman" w:hAnsi="Times New Roman" w:eastAsia="宋体" w:cs="Times New Roman"/>
                <w:sz w:val="20"/>
                <w:szCs w:val="20"/>
              </w:rPr>
              <w:t>为增加样本的可比性，限定为国家统计局定义的西部地区的地级市样本。但考虑到对口援疆、援藏一直是我党的工作重点，有单独的政策安排，且西藏地区的数据缺失严重，以及重庆市作为直辖市在行政级别上与其他城市不可比，因此本文剔除西藏自治区、新疆自治区和重庆市的样本。</w:t>
            </w: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lang w:val="en-US" w:eastAsia="zh-CN"/>
              </w:rPr>
              <w:t>2</w:t>
            </w:r>
            <w:r>
              <w:rPr>
                <w:rFonts w:hint="eastAsia" w:ascii="Times New Roman" w:hAnsi="Times New Roman" w:eastAsia="宋体" w:cs="Times New Roman"/>
                <w:sz w:val="20"/>
                <w:szCs w:val="20"/>
                <w:lang w:eastAsia="zh-CN"/>
              </w:rPr>
              <w:t>）</w:t>
            </w:r>
            <w:r>
              <w:rPr>
                <w:rFonts w:hint="eastAsia" w:ascii="Times New Roman" w:hAnsi="Times New Roman" w:eastAsia="宋体" w:cs="Times New Roman"/>
                <w:sz w:val="20"/>
                <w:szCs w:val="20"/>
                <w:lang w:val="en-US" w:eastAsia="zh-CN"/>
              </w:rPr>
              <w:t>剔除变量存在缺失值的样本。（3）</w:t>
            </w:r>
            <w:r>
              <w:rPr>
                <w:rFonts w:hint="eastAsia" w:ascii="Times New Roman" w:hAnsi="Times New Roman" w:eastAsia="宋体" w:cs="Times New Roman"/>
                <w:sz w:val="20"/>
                <w:szCs w:val="20"/>
                <w:lang w:eastAsia="zh-CN"/>
              </w:rPr>
              <w:t>为降低极端值的影响，对连续变量在1%以下以及99%以上分位数进行缩尾处理。</w:t>
            </w:r>
          </w:p>
          <w:p w14:paraId="7550E1BF">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default"/>
                <w:lang w:val="en-US" w:eastAsia="zh-CN"/>
              </w:rPr>
            </w:pPr>
            <w:r>
              <w:rPr>
                <w:rFonts w:hint="eastAsia" w:eastAsia="宋体" w:cs="Times New Roman"/>
                <w:sz w:val="20"/>
                <w:szCs w:val="20"/>
                <w:lang w:val="en-US" w:eastAsia="zh-CN"/>
              </w:rPr>
              <w:t>数据来源：</w:t>
            </w:r>
            <w:r>
              <w:rPr>
                <w:rFonts w:hint="default" w:ascii="Times New Roman" w:hAnsi="Times New Roman" w:eastAsia="宋体" w:cs="Times New Roman"/>
                <w:sz w:val="20"/>
                <w:szCs w:val="20"/>
              </w:rPr>
              <w:t>城投债</w:t>
            </w:r>
            <w:r>
              <w:rPr>
                <w:rFonts w:hint="eastAsia" w:ascii="Times New Roman" w:hAnsi="Times New Roman" w:eastAsia="宋体" w:cs="Times New Roman"/>
                <w:sz w:val="20"/>
                <w:szCs w:val="20"/>
                <w:lang w:val="en-US" w:eastAsia="zh-CN"/>
              </w:rPr>
              <w:t>发行、城投主体</w:t>
            </w:r>
            <w:r>
              <w:rPr>
                <w:rFonts w:hint="eastAsia" w:eastAsia="宋体" w:cs="Times New Roman"/>
                <w:sz w:val="20"/>
                <w:szCs w:val="20"/>
                <w:lang w:val="en-US" w:eastAsia="zh-CN"/>
              </w:rPr>
              <w:t>的相关数据来源于WIND数据库，</w:t>
            </w:r>
            <w:r>
              <w:rPr>
                <w:rFonts w:ascii="Times New Roman" w:hAnsi="Times New Roman"/>
              </w:rPr>
              <w:t>地级市层面数据来自于CNRDS、CSMAR、CEIC、《中国统计年鉴》、《中国城市统计年鉴》等数据库或年鉴。</w:t>
            </w:r>
          </w:p>
        </w:tc>
      </w:tr>
      <w:tr w14:paraId="010D440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272" w:type="dxa"/>
            <w:shd w:val="clear" w:color="auto" w:fill="auto"/>
            <w:vAlign w:val="center"/>
          </w:tcPr>
          <w:p w14:paraId="38877865">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数据</w:t>
            </w:r>
          </w:p>
        </w:tc>
        <w:tc>
          <w:tcPr>
            <w:tcW w:w="3940" w:type="dxa"/>
            <w:vAlign w:val="center"/>
          </w:tcPr>
          <w:p w14:paraId="317B2792">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处理过程</w:t>
            </w:r>
          </w:p>
        </w:tc>
        <w:tc>
          <w:tcPr>
            <w:tcW w:w="3637" w:type="dxa"/>
            <w:vAlign w:val="center"/>
          </w:tcPr>
          <w:p w14:paraId="7044AB66">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导出结果</w:t>
            </w:r>
          </w:p>
        </w:tc>
      </w:tr>
      <w:tr w14:paraId="2ED8E91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1272" w:type="dxa"/>
            <w:shd w:val="clear" w:color="auto" w:fill="auto"/>
            <w:vAlign w:val="center"/>
          </w:tcPr>
          <w:p w14:paraId="2F4AA5C5">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
                <w:bCs w:val="0"/>
                <w:kern w:val="2"/>
                <w:sz w:val="20"/>
                <w:szCs w:val="20"/>
                <w:lang w:val="en-US" w:eastAsia="zh-CN" w:bidi="ar-SA"/>
              </w:rPr>
              <w:t>bond_data</w:t>
            </w:r>
          </w:p>
        </w:tc>
        <w:tc>
          <w:tcPr>
            <w:tcW w:w="3940" w:type="dxa"/>
            <w:vAlign w:val="center"/>
          </w:tcPr>
          <w:p w14:paraId="6485C9C9">
            <w:pPr>
              <w:pStyle w:val="3"/>
              <w:spacing w:line="276" w:lineRule="auto"/>
              <w:jc w:val="both"/>
              <w:rPr>
                <w:rFonts w:hint="default" w:ascii="Times New Roman" w:hAnsi="Times New Roman" w:eastAsia="宋体" w:cs="Times New Roman"/>
                <w:sz w:val="20"/>
                <w:szCs w:val="20"/>
              </w:rPr>
            </w:pPr>
            <w:r>
              <w:rPr>
                <w:rFonts w:hint="eastAsia" w:ascii="Times New Roman" w:hAnsi="Times New Roman" w:eastAsia="宋体" w:cs="Times New Roman"/>
                <w:sz w:val="20"/>
                <w:szCs w:val="20"/>
                <w:lang w:val="en-US" w:eastAsia="zh-CN"/>
              </w:rPr>
              <w:t>为检验对口帮扶政策对被帮扶地区城投债发行定价的影响，本部分采用债券发行层面的数据，处理过程如下：</w:t>
            </w:r>
            <w:r>
              <w:rPr>
                <w:rFonts w:hint="default" w:ascii="Times New Roman" w:hAnsi="Times New Roman" w:eastAsia="宋体" w:cs="Times New Roman"/>
                <w:sz w:val="20"/>
                <w:szCs w:val="20"/>
              </w:rPr>
              <w:t>剔除短期债券样本（王雷等，2022；曹婧，2023），因为这些债券的发行期限较短（1年之内），与其他信用债券的定价机制差异较大。</w:t>
            </w:r>
          </w:p>
          <w:p w14:paraId="1E8E34B1">
            <w:pPr>
              <w:jc w:val="both"/>
              <w:rPr>
                <w:rFonts w:hint="eastAsia" w:ascii="Times New Roman" w:hAnsi="Times New Roman" w:eastAsia="宋体" w:cs="Times New Roman"/>
                <w:sz w:val="20"/>
                <w:szCs w:val="20"/>
                <w:lang w:val="en-US" w:eastAsia="zh-CN"/>
              </w:rPr>
            </w:pPr>
            <w:r>
              <w:rPr>
                <w:rFonts w:hint="eastAsia" w:ascii="Times New Roman" w:hAnsi="Times New Roman" w:eastAsia="宋体" w:cs="Times New Roman"/>
                <w:sz w:val="20"/>
                <w:szCs w:val="20"/>
                <w:lang w:val="en-US" w:eastAsia="zh-CN"/>
              </w:rPr>
              <w:t>被解释变量为城投债的发行利差</w:t>
            </w:r>
            <w:r>
              <w:rPr>
                <w:rFonts w:hint="eastAsia" w:eastAsia="宋体" w:cs="Times New Roman"/>
                <w:sz w:val="20"/>
                <w:szCs w:val="20"/>
                <w:lang w:val="en-US" w:eastAsia="zh-CN"/>
              </w:rPr>
              <w:t>等</w:t>
            </w:r>
            <w:r>
              <w:rPr>
                <w:rFonts w:hint="eastAsia" w:ascii="Times New Roman" w:hAnsi="Times New Roman" w:eastAsia="宋体" w:cs="Times New Roman"/>
                <w:sz w:val="20"/>
                <w:szCs w:val="20"/>
                <w:lang w:val="en-US" w:eastAsia="zh-CN"/>
              </w:rPr>
              <w:t>。</w:t>
            </w:r>
          </w:p>
          <w:p w14:paraId="7E4DCF6F">
            <w:pPr>
              <w:jc w:val="both"/>
              <w:rPr>
                <w:rFonts w:hint="eastAsia" w:eastAsia="宋体" w:cs="Times New Roman"/>
                <w:sz w:val="20"/>
                <w:szCs w:val="20"/>
                <w:lang w:val="en-US" w:eastAsia="zh-CN"/>
              </w:rPr>
            </w:pPr>
            <w:r>
              <w:rPr>
                <w:rFonts w:hint="eastAsia" w:eastAsia="宋体" w:cs="Times New Roman"/>
                <w:sz w:val="20"/>
                <w:szCs w:val="20"/>
                <w:lang w:val="en-US" w:eastAsia="zh-CN"/>
              </w:rPr>
              <w:t>解释变量为对口帮扶政策。</w:t>
            </w:r>
          </w:p>
          <w:p w14:paraId="67CD8536">
            <w:pPr>
              <w:jc w:val="both"/>
              <w:rPr>
                <w:rFonts w:hint="default" w:eastAsia="宋体" w:cs="Times New Roman"/>
                <w:sz w:val="20"/>
                <w:szCs w:val="20"/>
                <w:lang w:val="en-US" w:eastAsia="zh-CN"/>
              </w:rPr>
            </w:pPr>
            <w:r>
              <w:rPr>
                <w:rFonts w:hint="eastAsia" w:eastAsia="宋体" w:cs="Times New Roman"/>
                <w:sz w:val="20"/>
                <w:szCs w:val="20"/>
                <w:lang w:val="en-US" w:eastAsia="zh-CN"/>
              </w:rPr>
              <w:t>控制变量包括债券发行特征变量、发行主体层面变量和地级市层面变量。</w:t>
            </w:r>
          </w:p>
        </w:tc>
        <w:tc>
          <w:tcPr>
            <w:tcW w:w="3637" w:type="dxa"/>
            <w:vAlign w:val="center"/>
          </w:tcPr>
          <w:p w14:paraId="224D2236">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w:t>
            </w:r>
            <w:r>
              <w:rPr>
                <w:rFonts w:hint="default" w:ascii="Times New Roman" w:hAnsi="Times New Roman" w:eastAsia="宋体" w:cstheme="minorBidi"/>
                <w:bCs/>
                <w:kern w:val="2"/>
                <w:sz w:val="20"/>
                <w:szCs w:val="20"/>
                <w:lang w:val="en-US" w:eastAsia="zh-CN" w:bidi="ar-SA"/>
              </w:rPr>
              <w:t>2</w:t>
            </w:r>
            <w:r>
              <w:rPr>
                <w:rFonts w:hint="eastAsia" w:ascii="Times New Roman" w:hAnsi="Times New Roman" w:eastAsia="宋体" w:cstheme="minorBidi"/>
                <w:bCs/>
                <w:kern w:val="2"/>
                <w:sz w:val="20"/>
                <w:szCs w:val="20"/>
                <w:lang w:val="en-US" w:eastAsia="zh-CN" w:bidi="ar-SA"/>
              </w:rPr>
              <w:t>基准回归结果</w:t>
            </w:r>
          </w:p>
          <w:p w14:paraId="7B7BC587">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w:t>
            </w:r>
            <w:r>
              <w:rPr>
                <w:rFonts w:hint="default" w:ascii="Times New Roman" w:hAnsi="Times New Roman" w:eastAsia="宋体" w:cstheme="minorBidi"/>
                <w:bCs/>
                <w:kern w:val="2"/>
                <w:sz w:val="20"/>
                <w:szCs w:val="20"/>
                <w:lang w:val="en-US" w:eastAsia="zh-CN" w:bidi="ar-SA"/>
              </w:rPr>
              <w:t>5</w:t>
            </w:r>
            <w:r>
              <w:rPr>
                <w:rFonts w:hint="eastAsia" w:ascii="Times New Roman" w:hAnsi="Times New Roman" w:eastAsia="宋体" w:cstheme="minorBidi"/>
                <w:bCs/>
                <w:kern w:val="2"/>
                <w:sz w:val="20"/>
                <w:szCs w:val="20"/>
                <w:lang w:val="en-US" w:eastAsia="zh-CN" w:bidi="ar-SA"/>
              </w:rPr>
              <w:t>政府隐性担保意愿机制的检验结果</w:t>
            </w:r>
          </w:p>
          <w:p w14:paraId="6F6CEC3F">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w:t>
            </w:r>
            <w:r>
              <w:rPr>
                <w:rFonts w:hint="default" w:ascii="Times New Roman" w:hAnsi="Times New Roman" w:eastAsia="宋体" w:cstheme="minorBidi"/>
                <w:bCs/>
                <w:kern w:val="2"/>
                <w:sz w:val="20"/>
                <w:szCs w:val="20"/>
                <w:lang w:val="en-US" w:eastAsia="zh-CN" w:bidi="ar-SA"/>
              </w:rPr>
              <w:t>6</w:t>
            </w:r>
            <w:r>
              <w:rPr>
                <w:rFonts w:hint="eastAsia" w:ascii="Times New Roman" w:hAnsi="Times New Roman" w:eastAsia="宋体" w:cstheme="minorBidi"/>
                <w:bCs/>
                <w:kern w:val="2"/>
                <w:sz w:val="20"/>
                <w:szCs w:val="20"/>
                <w:lang w:val="en-US" w:eastAsia="zh-CN" w:bidi="ar-SA"/>
              </w:rPr>
              <w:t>政策效果优化的检验结果</w:t>
            </w:r>
          </w:p>
          <w:p w14:paraId="1A99E9A5">
            <w:pPr>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图</w:t>
            </w:r>
            <w:r>
              <w:rPr>
                <w:rFonts w:hint="default" w:ascii="Times New Roman" w:hAnsi="Times New Roman" w:eastAsia="宋体" w:cstheme="minorBidi"/>
                <w:bCs/>
                <w:kern w:val="2"/>
                <w:sz w:val="20"/>
                <w:szCs w:val="20"/>
                <w:lang w:val="en-US" w:eastAsia="zh-CN" w:bidi="ar-SA"/>
              </w:rPr>
              <w:t>2平行趋势</w:t>
            </w:r>
            <w:r>
              <w:rPr>
                <w:rFonts w:hint="eastAsia" w:ascii="Times New Roman" w:hAnsi="Times New Roman" w:eastAsia="宋体" w:cstheme="minorBidi"/>
                <w:bCs/>
                <w:kern w:val="2"/>
                <w:sz w:val="20"/>
                <w:szCs w:val="20"/>
                <w:lang w:val="en-US" w:eastAsia="zh-CN" w:bidi="ar-SA"/>
              </w:rPr>
              <w:t>检验</w:t>
            </w:r>
          </w:p>
          <w:p w14:paraId="4BF6DEE6">
            <w:pPr>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表III1被帮扶地区特征与政策效果发挥的检验结果</w:t>
            </w:r>
          </w:p>
          <w:p w14:paraId="44E1ED66">
            <w:pPr>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表III2提供帮扶地区特征与政策效果的检验结果</w:t>
            </w:r>
          </w:p>
          <w:p w14:paraId="09685257">
            <w:pPr>
              <w:pStyle w:val="3"/>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表IV1对口帮扶政策与债券一二级价差的检验结果</w:t>
            </w:r>
          </w:p>
          <w:p w14:paraId="046CDEAE">
            <w:pPr>
              <w:jc w:val="both"/>
              <w:rPr>
                <w:rFonts w:hint="default"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表IV2稳健性检验：内生性问题</w:t>
            </w:r>
          </w:p>
          <w:p w14:paraId="5C9A40C1">
            <w:pPr>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图IV1安慰剂检验</w:t>
            </w:r>
          </w:p>
          <w:p w14:paraId="5E14C543">
            <w:pPr>
              <w:pStyle w:val="3"/>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表IV3稳健性检验：替换估计模型</w:t>
            </w:r>
          </w:p>
          <w:p w14:paraId="3BB613D0">
            <w:pPr>
              <w:pStyle w:val="3"/>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表IV4稳健性检验：替换被解释变量与改变样本期间</w:t>
            </w:r>
          </w:p>
        </w:tc>
      </w:tr>
      <w:tr w14:paraId="768218F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272" w:type="dxa"/>
            <w:shd w:val="clear" w:color="auto" w:fill="auto"/>
            <w:vAlign w:val="center"/>
          </w:tcPr>
          <w:p w14:paraId="61496840">
            <w:pPr>
              <w:pStyle w:val="3"/>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
                <w:bCs w:val="0"/>
                <w:kern w:val="2"/>
                <w:sz w:val="20"/>
                <w:szCs w:val="20"/>
                <w:lang w:val="en-US" w:eastAsia="zh-CN" w:bidi="ar-SA"/>
              </w:rPr>
              <w:t>issuer_data</w:t>
            </w:r>
          </w:p>
        </w:tc>
        <w:tc>
          <w:tcPr>
            <w:tcW w:w="3940" w:type="dxa"/>
            <w:vAlign w:val="center"/>
          </w:tcPr>
          <w:p w14:paraId="2B5A239F">
            <w:pPr>
              <w:pStyle w:val="3"/>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为检验对口帮扶政策对发债主体信用评价的影响，本部分采用城投公司发行主体-年份层面的面板数据。</w:t>
            </w:r>
          </w:p>
          <w:p w14:paraId="24E133C0">
            <w:pPr>
              <w:jc w:val="both"/>
              <w:rPr>
                <w:rFonts w:hint="eastAsia" w:ascii="Times New Roman" w:hAnsi="Times New Roman" w:eastAsia="宋体" w:cs="Times New Roman"/>
                <w:sz w:val="20"/>
                <w:szCs w:val="20"/>
                <w:lang w:val="en-US" w:eastAsia="zh-CN"/>
              </w:rPr>
            </w:pPr>
            <w:r>
              <w:rPr>
                <w:rFonts w:hint="eastAsia" w:ascii="Times New Roman" w:hAnsi="Times New Roman" w:eastAsia="宋体" w:cs="Times New Roman"/>
                <w:sz w:val="20"/>
                <w:szCs w:val="20"/>
                <w:lang w:val="en-US" w:eastAsia="zh-CN"/>
              </w:rPr>
              <w:t>被解释变量为城投公司主体评级</w:t>
            </w:r>
            <w:r>
              <w:rPr>
                <w:rFonts w:hint="eastAsia" w:eastAsia="宋体" w:cs="Times New Roman"/>
                <w:sz w:val="20"/>
                <w:szCs w:val="20"/>
                <w:lang w:val="en-US" w:eastAsia="zh-CN"/>
              </w:rPr>
              <w:t>是否</w:t>
            </w:r>
            <w:r>
              <w:rPr>
                <w:rFonts w:hint="eastAsia" w:ascii="Times New Roman" w:hAnsi="Times New Roman" w:eastAsia="宋体" w:cs="Times New Roman"/>
                <w:sz w:val="20"/>
                <w:szCs w:val="20"/>
                <w:lang w:val="en-US" w:eastAsia="zh-CN"/>
              </w:rPr>
              <w:t>上调。</w:t>
            </w:r>
          </w:p>
          <w:p w14:paraId="46A291B7">
            <w:pPr>
              <w:jc w:val="both"/>
              <w:rPr>
                <w:rFonts w:hint="eastAsia" w:eastAsia="宋体" w:cs="Times New Roman"/>
                <w:sz w:val="20"/>
                <w:szCs w:val="20"/>
                <w:lang w:val="en-US" w:eastAsia="zh-CN"/>
              </w:rPr>
            </w:pPr>
            <w:r>
              <w:rPr>
                <w:rFonts w:hint="eastAsia" w:eastAsia="宋体" w:cs="Times New Roman"/>
                <w:sz w:val="20"/>
                <w:szCs w:val="20"/>
                <w:lang w:val="en-US" w:eastAsia="zh-CN"/>
              </w:rPr>
              <w:t>解释变量为对口帮扶政策。</w:t>
            </w:r>
          </w:p>
          <w:p w14:paraId="340CB985">
            <w:pPr>
              <w:jc w:val="both"/>
              <w:rPr>
                <w:rFonts w:hint="default"/>
                <w:lang w:val="en-US" w:eastAsia="zh-CN"/>
              </w:rPr>
            </w:pPr>
            <w:r>
              <w:rPr>
                <w:rFonts w:hint="eastAsia" w:eastAsia="宋体" w:cs="Times New Roman"/>
                <w:sz w:val="20"/>
                <w:szCs w:val="20"/>
                <w:lang w:val="en-US" w:eastAsia="zh-CN"/>
              </w:rPr>
              <w:t>控制变量包括发行主体层面变量和地级市层面变量。</w:t>
            </w:r>
          </w:p>
        </w:tc>
        <w:tc>
          <w:tcPr>
            <w:tcW w:w="3637" w:type="dxa"/>
            <w:shd w:val="clear" w:color="auto" w:fill="auto"/>
            <w:vAlign w:val="center"/>
          </w:tcPr>
          <w:p w14:paraId="1A84000E">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w:t>
            </w:r>
            <w:r>
              <w:rPr>
                <w:rFonts w:hint="default" w:ascii="Times New Roman" w:hAnsi="Times New Roman" w:eastAsia="宋体" w:cstheme="minorBidi"/>
                <w:bCs/>
                <w:kern w:val="2"/>
                <w:sz w:val="20"/>
                <w:szCs w:val="20"/>
                <w:lang w:val="en-US" w:eastAsia="zh-CN" w:bidi="ar-SA"/>
              </w:rPr>
              <w:t>3</w:t>
            </w:r>
            <w:r>
              <w:rPr>
                <w:rFonts w:hint="eastAsia" w:ascii="Times New Roman" w:hAnsi="Times New Roman" w:eastAsia="宋体" w:cstheme="minorBidi"/>
                <w:bCs/>
                <w:kern w:val="2"/>
                <w:sz w:val="20"/>
                <w:szCs w:val="20"/>
                <w:lang w:val="en-US" w:eastAsia="zh-CN" w:bidi="ar-SA"/>
              </w:rPr>
              <w:t>对口帮扶政策与发债主体信用评级的检验结果</w:t>
            </w:r>
          </w:p>
        </w:tc>
      </w:tr>
      <w:tr w14:paraId="7D26D80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272" w:type="dxa"/>
            <w:shd w:val="clear" w:color="auto" w:fill="auto"/>
            <w:vAlign w:val="center"/>
          </w:tcPr>
          <w:p w14:paraId="2081EFA4">
            <w:pPr>
              <w:pStyle w:val="3"/>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
                <w:bCs w:val="0"/>
                <w:kern w:val="2"/>
                <w:sz w:val="20"/>
                <w:szCs w:val="20"/>
                <w:lang w:val="en-US" w:eastAsia="zh-CN" w:bidi="ar-SA"/>
              </w:rPr>
              <w:t>city_data</w:t>
            </w:r>
          </w:p>
        </w:tc>
        <w:tc>
          <w:tcPr>
            <w:tcW w:w="3940" w:type="dxa"/>
            <w:vAlign w:val="center"/>
          </w:tcPr>
          <w:p w14:paraId="38AEE391">
            <w:pPr>
              <w:pStyle w:val="3"/>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为检验对口帮扶政策对西部欠发达地区政府隐性担保能力的影响，本部分采用西部地级市-年份层面的面板数据。</w:t>
            </w:r>
          </w:p>
          <w:p w14:paraId="1315716E">
            <w:pPr>
              <w:jc w:val="both"/>
              <w:rPr>
                <w:rFonts w:hint="eastAsia" w:eastAsia="宋体" w:cstheme="minorBidi"/>
                <w:bCs/>
                <w:kern w:val="2"/>
                <w:sz w:val="20"/>
                <w:szCs w:val="20"/>
                <w:lang w:val="en-US" w:eastAsia="zh-CN" w:bidi="ar-SA"/>
              </w:rPr>
            </w:pPr>
            <w:r>
              <w:rPr>
                <w:rFonts w:hint="eastAsia" w:eastAsia="宋体" w:cstheme="minorBidi"/>
                <w:bCs/>
                <w:kern w:val="2"/>
                <w:sz w:val="20"/>
                <w:szCs w:val="20"/>
                <w:lang w:val="en-US" w:eastAsia="zh-CN" w:bidi="ar-SA"/>
              </w:rPr>
              <w:t>被解释变量为被帮扶城市的经济增长率、土地出让收入等。</w:t>
            </w:r>
          </w:p>
          <w:p w14:paraId="47FFC5EC">
            <w:pPr>
              <w:jc w:val="both"/>
              <w:rPr>
                <w:rFonts w:hint="eastAsia" w:eastAsia="宋体" w:cs="Times New Roman"/>
                <w:sz w:val="20"/>
                <w:szCs w:val="20"/>
                <w:lang w:val="en-US" w:eastAsia="zh-CN"/>
              </w:rPr>
            </w:pPr>
            <w:r>
              <w:rPr>
                <w:rFonts w:hint="eastAsia" w:eastAsia="宋体" w:cs="Times New Roman"/>
                <w:sz w:val="20"/>
                <w:szCs w:val="20"/>
                <w:lang w:val="en-US" w:eastAsia="zh-CN"/>
              </w:rPr>
              <w:t>解释变量为对口帮扶政策。</w:t>
            </w:r>
          </w:p>
          <w:p w14:paraId="42A7F811">
            <w:pPr>
              <w:jc w:val="both"/>
              <w:rPr>
                <w:rFonts w:hint="default" w:eastAsia="宋体" w:cstheme="minorBidi"/>
                <w:bCs/>
                <w:kern w:val="2"/>
                <w:sz w:val="20"/>
                <w:szCs w:val="20"/>
                <w:lang w:val="en-US" w:eastAsia="zh-CN" w:bidi="ar-SA"/>
              </w:rPr>
            </w:pPr>
            <w:r>
              <w:rPr>
                <w:rFonts w:hint="eastAsia" w:eastAsia="宋体" w:cs="Times New Roman"/>
                <w:sz w:val="20"/>
                <w:szCs w:val="20"/>
                <w:lang w:val="en-US" w:eastAsia="zh-CN"/>
              </w:rPr>
              <w:t>控制变量为地级市层面变量。</w:t>
            </w:r>
          </w:p>
        </w:tc>
        <w:tc>
          <w:tcPr>
            <w:tcW w:w="3637" w:type="dxa"/>
            <w:shd w:val="clear" w:color="auto" w:fill="auto"/>
            <w:vAlign w:val="center"/>
          </w:tcPr>
          <w:p w14:paraId="03D02797">
            <w:pPr>
              <w:pStyle w:val="3"/>
              <w:spacing w:line="276" w:lineRule="auto"/>
              <w:jc w:val="both"/>
              <w:rPr>
                <w:rFonts w:hint="eastAsia" w:ascii="Times New Roman" w:hAnsi="Times New Roman" w:eastAsia="宋体" w:cstheme="minorBidi"/>
                <w:bCs/>
                <w:kern w:val="2"/>
                <w:sz w:val="20"/>
                <w:szCs w:val="20"/>
                <w:lang w:val="en-US" w:eastAsia="zh-CN" w:bidi="ar-SA"/>
              </w:rPr>
            </w:pPr>
            <w:r>
              <w:rPr>
                <w:rFonts w:hint="eastAsia" w:ascii="Times New Roman" w:hAnsi="Times New Roman" w:eastAsia="宋体" w:cstheme="minorBidi"/>
                <w:bCs/>
                <w:kern w:val="2"/>
                <w:sz w:val="20"/>
                <w:szCs w:val="20"/>
                <w:lang w:val="en-US" w:eastAsia="zh-CN" w:bidi="ar-SA"/>
              </w:rPr>
              <w:t>表</w:t>
            </w:r>
            <w:r>
              <w:rPr>
                <w:rFonts w:hint="default" w:ascii="Times New Roman" w:hAnsi="Times New Roman" w:eastAsia="宋体" w:cstheme="minorBidi"/>
                <w:bCs/>
                <w:kern w:val="2"/>
                <w:sz w:val="20"/>
                <w:szCs w:val="20"/>
                <w:lang w:val="en-US" w:eastAsia="zh-CN" w:bidi="ar-SA"/>
              </w:rPr>
              <w:t>4</w:t>
            </w:r>
            <w:r>
              <w:rPr>
                <w:rFonts w:hint="eastAsia" w:ascii="Times New Roman" w:hAnsi="Times New Roman" w:eastAsia="宋体" w:cstheme="minorBidi"/>
                <w:bCs/>
                <w:kern w:val="2"/>
                <w:sz w:val="20"/>
                <w:szCs w:val="20"/>
                <w:lang w:val="en-US" w:eastAsia="zh-CN" w:bidi="ar-SA"/>
              </w:rPr>
              <w:t>政府隐性担保能力机制的检验结果</w:t>
            </w:r>
          </w:p>
        </w:tc>
      </w:tr>
    </w:tbl>
    <w:p w14:paraId="0B831239">
      <w:pPr>
        <w:rPr>
          <w:rFonts w:hint="eastAsia" w:ascii="黑体" w:hAnsi="黑体" w:eastAsia="黑体" w:cs="黑体"/>
          <w:iCs w:val="0"/>
          <w:kern w:val="2"/>
          <w:sz w:val="18"/>
          <w:szCs w:val="13"/>
          <w:lang w:val="en-US" w:eastAsia="zh-CN" w:bidi="ar-SA"/>
        </w:rPr>
      </w:pPr>
    </w:p>
    <w:p w14:paraId="4BAE2AB3">
      <w:pPr>
        <w:keepNext w:val="0"/>
        <w:keepLines w:val="0"/>
        <w:pageBreakBefore w:val="0"/>
        <w:widowControl w:val="0"/>
        <w:kinsoku/>
        <w:wordWrap/>
        <w:overflowPunct/>
        <w:topLinePunct w:val="0"/>
        <w:autoSpaceDE/>
        <w:autoSpaceDN/>
        <w:bidi w:val="0"/>
        <w:adjustRightInd/>
        <w:snapToGrid/>
        <w:spacing w:line="276" w:lineRule="auto"/>
        <w:textAlignment w:val="auto"/>
        <w:rPr>
          <w:rFonts w:hint="default" w:eastAsia="宋体"/>
          <w:lang w:val="en-US" w:eastAsia="zh-CN"/>
        </w:rPr>
      </w:pPr>
    </w:p>
    <w:p w14:paraId="3C548A01">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default" w:ascii="微软雅黑" w:hAnsi="微软雅黑" w:eastAsia="微软雅黑" w:cs="微软雅黑"/>
          <w:i w:val="0"/>
          <w:iCs w:val="0"/>
          <w:caps w:val="0"/>
          <w:color w:val="666666"/>
          <w:spacing w:val="0"/>
          <w:sz w:val="14"/>
          <w:szCs w:val="14"/>
          <w:shd w:val="clear" w:fill="FFFFFF"/>
          <w:lang w:val="en-US" w:eastAsia="zh-CN"/>
        </w:rPr>
      </w:pPr>
      <w:r>
        <w:rPr>
          <w:rFonts w:hint="eastAsia" w:eastAsia="宋体"/>
          <w:lang w:val="en-US" w:eastAsia="zh-CN"/>
        </w:rPr>
        <w:t>在代码文件Dofile中，变量的具体定义和描述如下：</w:t>
      </w:r>
    </w:p>
    <w:tbl>
      <w:tblPr>
        <w:tblStyle w:val="5"/>
        <w:tblW w:w="5196" w:type="pct"/>
        <w:jc w:val="center"/>
        <w:tblBorders>
          <w:top w:val="single" w:color="000000" w:sz="8" w:space="0"/>
          <w:left w:val="none" w:color="auto" w:sz="0" w:space="0"/>
          <w:bottom w:val="single" w:color="000000"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80"/>
        <w:gridCol w:w="1856"/>
        <w:gridCol w:w="5962"/>
      </w:tblGrid>
      <w:tr w14:paraId="3EC839E7">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 w:hRule="atLeast"/>
          <w:jc w:val="center"/>
        </w:trPr>
        <w:tc>
          <w:tcPr>
            <w:tcW w:w="1380" w:type="dxa"/>
            <w:tcBorders>
              <w:top w:val="single" w:color="000000" w:sz="8" w:space="0"/>
              <w:bottom w:val="single" w:color="auto" w:sz="4" w:space="0"/>
            </w:tcBorders>
            <w:noWrap/>
            <w:vAlign w:val="center"/>
          </w:tcPr>
          <w:p w14:paraId="5BA53CB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变量</w:t>
            </w:r>
          </w:p>
        </w:tc>
        <w:tc>
          <w:tcPr>
            <w:tcW w:w="1856" w:type="dxa"/>
            <w:tcBorders>
              <w:top w:val="single" w:color="000000" w:sz="8" w:space="0"/>
              <w:bottom w:val="single" w:color="auto" w:sz="4" w:space="0"/>
            </w:tcBorders>
            <w:noWrap/>
            <w:vAlign w:val="center"/>
          </w:tcPr>
          <w:p w14:paraId="0CC4BEF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变量名称</w:t>
            </w:r>
          </w:p>
        </w:tc>
        <w:tc>
          <w:tcPr>
            <w:tcW w:w="5962" w:type="dxa"/>
            <w:tcBorders>
              <w:top w:val="single" w:color="000000" w:sz="8" w:space="0"/>
              <w:bottom w:val="single" w:color="auto" w:sz="4" w:space="0"/>
            </w:tcBorders>
            <w:noWrap/>
            <w:vAlign w:val="center"/>
          </w:tcPr>
          <w:p w14:paraId="3572ADC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计算方式</w:t>
            </w:r>
          </w:p>
        </w:tc>
      </w:tr>
      <w:tr w14:paraId="00A3936D">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jc w:val="center"/>
        </w:trPr>
        <w:tc>
          <w:tcPr>
            <w:tcW w:w="9198" w:type="dxa"/>
            <w:gridSpan w:val="3"/>
            <w:tcBorders>
              <w:top w:val="single" w:color="auto" w:sz="4" w:space="0"/>
            </w:tcBorders>
            <w:shd w:val="clear" w:color="auto" w:fill="D7D7D7" w:themeFill="background1" w:themeFillShade="D8"/>
            <w:noWrap/>
            <w:vAlign w:val="center"/>
          </w:tcPr>
          <w:p w14:paraId="5C18857C">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color w:val="auto"/>
                <w:sz w:val="20"/>
                <w:szCs w:val="20"/>
                <w:highlight w:val="none"/>
                <w:lang w:val="en-US"/>
              </w:rPr>
            </w:pPr>
            <w:r>
              <w:rPr>
                <w:rFonts w:hint="eastAsia" w:ascii="Times New Roman" w:hAnsi="Times New Roman"/>
                <w:b/>
                <w:bCs w:val="0"/>
                <w:color w:val="auto"/>
                <w:sz w:val="20"/>
                <w:szCs w:val="20"/>
                <w:highlight w:val="none"/>
                <w:lang w:val="en-US" w:eastAsia="zh-CN"/>
              </w:rPr>
              <w:t>债券发行层面数据bond_data中的被解释变量</w:t>
            </w:r>
          </w:p>
        </w:tc>
      </w:tr>
      <w:tr w14:paraId="4BF50BA2">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single" w:color="auto" w:sz="4" w:space="0"/>
              <w:bottom w:val="single" w:color="auto" w:sz="4" w:space="0"/>
            </w:tcBorders>
            <w:noWrap/>
            <w:vAlign w:val="center"/>
          </w:tcPr>
          <w:p w14:paraId="03DC5C3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i/>
                <w:iCs/>
                <w:color w:val="auto"/>
                <w:sz w:val="20"/>
                <w:szCs w:val="20"/>
                <w:highlight w:val="none"/>
              </w:rPr>
              <w:t>spread</w:t>
            </w:r>
          </w:p>
        </w:tc>
        <w:tc>
          <w:tcPr>
            <w:tcW w:w="1856" w:type="dxa"/>
            <w:tcBorders>
              <w:top w:val="single" w:color="auto" w:sz="4" w:space="0"/>
              <w:bottom w:val="single" w:color="auto" w:sz="4" w:space="0"/>
            </w:tcBorders>
            <w:noWrap/>
            <w:vAlign w:val="center"/>
          </w:tcPr>
          <w:p w14:paraId="15FC6166">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债券发行利差</w:t>
            </w:r>
          </w:p>
        </w:tc>
        <w:tc>
          <w:tcPr>
            <w:tcW w:w="5962" w:type="dxa"/>
            <w:tcBorders>
              <w:top w:val="single" w:color="auto" w:sz="4" w:space="0"/>
              <w:bottom w:val="single" w:color="auto" w:sz="4" w:space="0"/>
            </w:tcBorders>
            <w:noWrap/>
            <w:vAlign w:val="center"/>
          </w:tcPr>
          <w:p w14:paraId="2F0352F7">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债券发行利率-发行当日相同期限国债到期收益率</w:t>
            </w:r>
            <w:r>
              <w:rPr>
                <w:rFonts w:hint="eastAsia" w:ascii="Times New Roman" w:hAnsi="Times New Roman"/>
                <w:color w:val="auto"/>
                <w:sz w:val="20"/>
                <w:szCs w:val="20"/>
                <w:highlight w:val="none"/>
              </w:rPr>
              <w:t>（%）</w:t>
            </w:r>
          </w:p>
        </w:tc>
      </w:tr>
      <w:tr w14:paraId="6667F1DE">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1E6370F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b/>
                <w:bCs w:val="0"/>
                <w:color w:val="auto"/>
                <w:sz w:val="20"/>
                <w:szCs w:val="20"/>
                <w:highlight w:val="none"/>
                <w:lang w:val="en-US" w:eastAsia="zh-CN"/>
              </w:rPr>
            </w:pPr>
            <w:r>
              <w:rPr>
                <w:rFonts w:hint="eastAsia" w:ascii="Times New Roman" w:hAnsi="Times New Roman"/>
                <w:b/>
                <w:bCs w:val="0"/>
                <w:color w:val="auto"/>
                <w:sz w:val="20"/>
                <w:szCs w:val="20"/>
                <w:highlight w:val="none"/>
                <w:lang w:val="en-US" w:eastAsia="zh-CN"/>
              </w:rPr>
              <w:t>城投公司发行主体面板数据issuer_data中的被解释变量</w:t>
            </w:r>
          </w:p>
        </w:tc>
      </w:tr>
      <w:tr w14:paraId="0DD598BF">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single" w:color="auto" w:sz="4" w:space="0"/>
              <w:bottom w:val="single" w:color="auto" w:sz="4" w:space="0"/>
            </w:tcBorders>
            <w:noWrap/>
            <w:vAlign w:val="center"/>
          </w:tcPr>
          <w:p w14:paraId="768F1584">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i/>
                <w:iCs/>
                <w:color w:val="auto"/>
                <w:sz w:val="20"/>
                <w:szCs w:val="20"/>
                <w:highlight w:val="none"/>
              </w:rPr>
              <w:t>cfrate</w:t>
            </w:r>
          </w:p>
        </w:tc>
        <w:tc>
          <w:tcPr>
            <w:tcW w:w="1856" w:type="dxa"/>
            <w:tcBorders>
              <w:top w:val="single" w:color="auto" w:sz="4" w:space="0"/>
              <w:bottom w:val="single" w:color="auto" w:sz="4" w:space="0"/>
            </w:tcBorders>
            <w:noWrap/>
            <w:vAlign w:val="center"/>
          </w:tcPr>
          <w:p w14:paraId="03A86CA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lang w:val="en-US" w:eastAsia="zh-CN"/>
              </w:rPr>
              <w:t>主体评级是否上调</w:t>
            </w:r>
          </w:p>
        </w:tc>
        <w:tc>
          <w:tcPr>
            <w:tcW w:w="5962" w:type="dxa"/>
            <w:tcBorders>
              <w:top w:val="single" w:color="auto" w:sz="4" w:space="0"/>
              <w:bottom w:val="single" w:color="auto" w:sz="4" w:space="0"/>
            </w:tcBorders>
            <w:noWrap/>
            <w:vAlign w:val="center"/>
          </w:tcPr>
          <w:p w14:paraId="47316C3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lang w:val="en-US" w:eastAsia="zh-CN"/>
              </w:rPr>
              <w:t>如果</w:t>
            </w:r>
            <w:r>
              <w:rPr>
                <w:rFonts w:ascii="Times New Roman" w:hAnsi="Times New Roman"/>
                <w:color w:val="auto"/>
                <w:sz w:val="20"/>
                <w:szCs w:val="20"/>
                <w:highlight w:val="none"/>
              </w:rPr>
              <w:t>城投公司主体评级</w:t>
            </w:r>
            <w:r>
              <w:rPr>
                <w:rFonts w:hint="eastAsia" w:ascii="Times New Roman" w:hAnsi="Times New Roman"/>
                <w:color w:val="auto"/>
                <w:sz w:val="20"/>
                <w:szCs w:val="20"/>
                <w:highlight w:val="none"/>
                <w:lang w:val="en-US" w:eastAsia="zh-CN"/>
              </w:rPr>
              <w:t>在当年</w:t>
            </w:r>
            <w:r>
              <w:rPr>
                <w:rFonts w:hint="eastAsia" w:ascii="Times New Roman" w:hAnsi="Times New Roman"/>
                <w:color w:val="auto"/>
                <w:sz w:val="20"/>
                <w:szCs w:val="20"/>
                <w:highlight w:val="none"/>
              </w:rPr>
              <w:t>上调则取值为</w:t>
            </w:r>
            <w:r>
              <w:rPr>
                <w:rFonts w:ascii="Times New Roman" w:hAnsi="Times New Roman"/>
                <w:color w:val="auto"/>
                <w:sz w:val="20"/>
                <w:szCs w:val="20"/>
                <w:highlight w:val="none"/>
              </w:rPr>
              <w:t>1</w:t>
            </w:r>
            <w:r>
              <w:rPr>
                <w:rFonts w:hint="eastAsia" w:ascii="Times New Roman" w:hAnsi="Times New Roman"/>
                <w:color w:val="auto"/>
                <w:sz w:val="20"/>
                <w:szCs w:val="20"/>
                <w:highlight w:val="none"/>
              </w:rPr>
              <w:t>，否则为</w:t>
            </w:r>
            <w:r>
              <w:rPr>
                <w:rFonts w:ascii="Times New Roman" w:hAnsi="Times New Roman"/>
                <w:color w:val="auto"/>
                <w:sz w:val="20"/>
                <w:szCs w:val="20"/>
                <w:highlight w:val="none"/>
              </w:rPr>
              <w:t>0</w:t>
            </w:r>
          </w:p>
        </w:tc>
      </w:tr>
      <w:tr w14:paraId="7C148D68">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73F4AF1B">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b/>
                <w:bCs w:val="0"/>
                <w:color w:val="auto"/>
                <w:sz w:val="20"/>
                <w:szCs w:val="20"/>
                <w:highlight w:val="none"/>
              </w:rPr>
            </w:pPr>
            <w:r>
              <w:rPr>
                <w:rFonts w:hint="eastAsia" w:ascii="Times New Roman" w:hAnsi="Times New Roman"/>
                <w:b/>
                <w:bCs w:val="0"/>
                <w:color w:val="auto"/>
                <w:sz w:val="20"/>
                <w:szCs w:val="20"/>
                <w:highlight w:val="none"/>
                <w:lang w:val="en-US" w:eastAsia="zh-CN"/>
              </w:rPr>
              <w:t>地级市面板数据city_data中的被解释变量</w:t>
            </w:r>
          </w:p>
        </w:tc>
      </w:tr>
      <w:tr w14:paraId="5CEBB563">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single" w:color="auto" w:sz="4" w:space="0"/>
              <w:bottom w:val="nil"/>
            </w:tcBorders>
            <w:noWrap/>
            <w:vAlign w:val="center"/>
          </w:tcPr>
          <w:p w14:paraId="6C9F9776">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hint="eastAsia" w:ascii="Times New Roman" w:hAnsi="Times New Roman"/>
                <w:i/>
                <w:iCs/>
                <w:color w:val="auto"/>
                <w:sz w:val="20"/>
                <w:szCs w:val="20"/>
                <w:highlight w:val="none"/>
              </w:rPr>
              <w:t>growth</w:t>
            </w:r>
          </w:p>
        </w:tc>
        <w:tc>
          <w:tcPr>
            <w:tcW w:w="1856" w:type="dxa"/>
            <w:tcBorders>
              <w:top w:val="single" w:color="auto" w:sz="4" w:space="0"/>
              <w:bottom w:val="nil"/>
            </w:tcBorders>
            <w:noWrap/>
            <w:vAlign w:val="center"/>
          </w:tcPr>
          <w:p w14:paraId="1712A40C">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color w:val="auto"/>
                <w:sz w:val="20"/>
                <w:szCs w:val="20"/>
                <w:highlight w:val="none"/>
                <w:lang w:val="en-US" w:eastAsia="zh-CN"/>
              </w:rPr>
            </w:pPr>
            <w:r>
              <w:rPr>
                <w:rFonts w:hint="eastAsia" w:ascii="Times New Roman" w:hAnsi="Times New Roman"/>
                <w:color w:val="auto"/>
                <w:sz w:val="20"/>
                <w:szCs w:val="20"/>
                <w:highlight w:val="none"/>
                <w:lang w:val="en-US" w:eastAsia="zh-CN"/>
              </w:rPr>
              <w:t>经济增长</w:t>
            </w:r>
          </w:p>
        </w:tc>
        <w:tc>
          <w:tcPr>
            <w:tcW w:w="5962" w:type="dxa"/>
            <w:tcBorders>
              <w:top w:val="single" w:color="auto" w:sz="4" w:space="0"/>
              <w:bottom w:val="nil"/>
            </w:tcBorders>
            <w:noWrap/>
            <w:vAlign w:val="center"/>
          </w:tcPr>
          <w:p w14:paraId="1814535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经济增长率</w:t>
            </w:r>
          </w:p>
        </w:tc>
      </w:tr>
      <w:tr w14:paraId="679C9F4E">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nil"/>
              <w:bottom w:val="nil"/>
            </w:tcBorders>
            <w:noWrap/>
            <w:vAlign w:val="center"/>
          </w:tcPr>
          <w:p w14:paraId="44452781">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hint="eastAsia" w:ascii="Times New Roman" w:hAnsi="Times New Roman"/>
                <w:i/>
                <w:iCs/>
                <w:color w:val="auto"/>
                <w:sz w:val="20"/>
                <w:szCs w:val="20"/>
                <w:highlight w:val="none"/>
              </w:rPr>
              <w:t>land</w:t>
            </w:r>
          </w:p>
        </w:tc>
        <w:tc>
          <w:tcPr>
            <w:tcW w:w="1856" w:type="dxa"/>
            <w:tcBorders>
              <w:top w:val="nil"/>
              <w:bottom w:val="nil"/>
            </w:tcBorders>
            <w:noWrap/>
            <w:vAlign w:val="center"/>
          </w:tcPr>
          <w:p w14:paraId="35C77232">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color w:val="auto"/>
                <w:sz w:val="20"/>
                <w:szCs w:val="20"/>
                <w:highlight w:val="none"/>
                <w:lang w:val="en-US" w:eastAsia="zh-CN"/>
              </w:rPr>
            </w:pPr>
            <w:r>
              <w:rPr>
                <w:rFonts w:hint="eastAsia" w:ascii="Times New Roman" w:hAnsi="Times New Roman"/>
                <w:color w:val="auto"/>
                <w:sz w:val="20"/>
                <w:szCs w:val="20"/>
                <w:highlight w:val="none"/>
                <w:lang w:val="en-US" w:eastAsia="zh-CN"/>
              </w:rPr>
              <w:t>土地出让规模</w:t>
            </w:r>
          </w:p>
        </w:tc>
        <w:tc>
          <w:tcPr>
            <w:tcW w:w="5962" w:type="dxa"/>
            <w:tcBorders>
              <w:top w:val="nil"/>
              <w:bottom w:val="nil"/>
            </w:tcBorders>
            <w:noWrap/>
            <w:vAlign w:val="center"/>
          </w:tcPr>
          <w:p w14:paraId="782B3839">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rPr>
              <w:t>土地出让收入的对数值</w:t>
            </w:r>
          </w:p>
        </w:tc>
      </w:tr>
      <w:tr w14:paraId="50F2D7E2">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nil"/>
              <w:bottom w:val="nil"/>
            </w:tcBorders>
            <w:noWrap/>
            <w:vAlign w:val="center"/>
          </w:tcPr>
          <w:p w14:paraId="44A9282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hint="eastAsia" w:ascii="Times New Roman" w:hAnsi="Times New Roman"/>
                <w:i/>
                <w:iCs/>
                <w:color w:val="auto"/>
                <w:sz w:val="20"/>
                <w:szCs w:val="20"/>
                <w:highlight w:val="none"/>
              </w:rPr>
              <w:t>infrastructure</w:t>
            </w:r>
          </w:p>
        </w:tc>
        <w:tc>
          <w:tcPr>
            <w:tcW w:w="1856" w:type="dxa"/>
            <w:tcBorders>
              <w:top w:val="nil"/>
              <w:bottom w:val="nil"/>
            </w:tcBorders>
            <w:noWrap/>
            <w:vAlign w:val="center"/>
          </w:tcPr>
          <w:p w14:paraId="6FBF1B5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color w:val="auto"/>
                <w:sz w:val="20"/>
                <w:szCs w:val="20"/>
                <w:highlight w:val="none"/>
                <w:lang w:val="en-US" w:eastAsia="zh-CN"/>
              </w:rPr>
            </w:pPr>
            <w:r>
              <w:rPr>
                <w:rFonts w:hint="eastAsia" w:ascii="Times New Roman" w:hAnsi="Times New Roman"/>
                <w:color w:val="auto"/>
                <w:sz w:val="20"/>
                <w:szCs w:val="20"/>
                <w:highlight w:val="none"/>
                <w:lang w:val="en-US" w:eastAsia="zh-CN"/>
              </w:rPr>
              <w:t>基建投资</w:t>
            </w:r>
          </w:p>
        </w:tc>
        <w:tc>
          <w:tcPr>
            <w:tcW w:w="5962" w:type="dxa"/>
            <w:tcBorders>
              <w:top w:val="nil"/>
              <w:bottom w:val="nil"/>
            </w:tcBorders>
            <w:noWrap/>
            <w:vAlign w:val="center"/>
          </w:tcPr>
          <w:p w14:paraId="4D89747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rPr>
              <w:t>人均城市市政公用设施建设固定资产投资</w:t>
            </w:r>
          </w:p>
        </w:tc>
      </w:tr>
      <w:tr w14:paraId="2F19E72C">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nil"/>
              <w:bottom w:val="nil"/>
            </w:tcBorders>
            <w:noWrap/>
            <w:vAlign w:val="center"/>
          </w:tcPr>
          <w:p w14:paraId="489CDC0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hint="eastAsia" w:ascii="Times New Roman" w:hAnsi="Times New Roman"/>
                <w:i/>
                <w:iCs/>
                <w:color w:val="auto"/>
                <w:sz w:val="20"/>
                <w:szCs w:val="20"/>
                <w:highlight w:val="none"/>
              </w:rPr>
              <w:t>industryinv</w:t>
            </w:r>
          </w:p>
        </w:tc>
        <w:tc>
          <w:tcPr>
            <w:tcW w:w="1856" w:type="dxa"/>
            <w:tcBorders>
              <w:top w:val="nil"/>
              <w:bottom w:val="nil"/>
            </w:tcBorders>
            <w:noWrap/>
            <w:vAlign w:val="center"/>
          </w:tcPr>
          <w:p w14:paraId="6FFE2523">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color w:val="auto"/>
                <w:sz w:val="20"/>
                <w:szCs w:val="20"/>
                <w:highlight w:val="none"/>
                <w:lang w:val="en-US" w:eastAsia="zh-CN"/>
              </w:rPr>
            </w:pPr>
            <w:r>
              <w:rPr>
                <w:rFonts w:hint="eastAsia" w:ascii="Times New Roman" w:hAnsi="Times New Roman"/>
                <w:color w:val="auto"/>
                <w:sz w:val="20"/>
                <w:szCs w:val="20"/>
                <w:highlight w:val="none"/>
                <w:lang w:val="en-US" w:eastAsia="zh-CN"/>
              </w:rPr>
              <w:t>产业投资</w:t>
            </w:r>
          </w:p>
        </w:tc>
        <w:tc>
          <w:tcPr>
            <w:tcW w:w="5962" w:type="dxa"/>
            <w:tcBorders>
              <w:top w:val="nil"/>
              <w:bottom w:val="nil"/>
            </w:tcBorders>
            <w:noWrap/>
            <w:vAlign w:val="center"/>
          </w:tcPr>
          <w:p w14:paraId="448E1C1B">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rPr>
              <w:t>来自东部地区上市公司在被帮扶地区设立子公司的新增投资额的对数值</w:t>
            </w:r>
          </w:p>
        </w:tc>
      </w:tr>
      <w:tr w14:paraId="2D510B5D">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nil"/>
              <w:bottom w:val="nil"/>
            </w:tcBorders>
            <w:noWrap/>
            <w:vAlign w:val="center"/>
          </w:tcPr>
          <w:p w14:paraId="3DF609CD">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hint="eastAsia" w:ascii="Times New Roman" w:hAnsi="Times New Roman"/>
                <w:i/>
                <w:iCs/>
                <w:color w:val="auto"/>
                <w:sz w:val="20"/>
                <w:szCs w:val="20"/>
                <w:highlight w:val="none"/>
              </w:rPr>
              <w:t>eduinv</w:t>
            </w:r>
          </w:p>
        </w:tc>
        <w:tc>
          <w:tcPr>
            <w:tcW w:w="1856" w:type="dxa"/>
            <w:tcBorders>
              <w:top w:val="nil"/>
              <w:bottom w:val="nil"/>
            </w:tcBorders>
            <w:noWrap/>
            <w:vAlign w:val="center"/>
          </w:tcPr>
          <w:p w14:paraId="6D00B0A2">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color w:val="auto"/>
                <w:sz w:val="20"/>
                <w:szCs w:val="20"/>
                <w:highlight w:val="none"/>
                <w:lang w:val="en-US" w:eastAsia="zh-CN"/>
              </w:rPr>
            </w:pPr>
            <w:r>
              <w:rPr>
                <w:rFonts w:hint="eastAsia" w:ascii="Times New Roman" w:hAnsi="Times New Roman"/>
                <w:color w:val="auto"/>
                <w:sz w:val="20"/>
                <w:szCs w:val="20"/>
                <w:highlight w:val="none"/>
                <w:lang w:val="en-US" w:eastAsia="zh-CN"/>
              </w:rPr>
              <w:t>教育投资</w:t>
            </w:r>
          </w:p>
        </w:tc>
        <w:tc>
          <w:tcPr>
            <w:tcW w:w="5962" w:type="dxa"/>
            <w:tcBorders>
              <w:top w:val="nil"/>
              <w:bottom w:val="nil"/>
            </w:tcBorders>
            <w:noWrap/>
            <w:vAlign w:val="center"/>
          </w:tcPr>
          <w:p w14:paraId="0B3CBD0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教育事业费支出的对数值</w:t>
            </w:r>
          </w:p>
        </w:tc>
      </w:tr>
      <w:tr w14:paraId="7227E444">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nil"/>
              <w:bottom w:val="single" w:color="auto" w:sz="4" w:space="0"/>
            </w:tcBorders>
            <w:noWrap/>
            <w:vAlign w:val="center"/>
          </w:tcPr>
          <w:p w14:paraId="1AC1830B">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hint="eastAsia" w:ascii="Times New Roman" w:hAnsi="Times New Roman"/>
                <w:i/>
                <w:iCs/>
                <w:color w:val="auto"/>
                <w:sz w:val="20"/>
                <w:szCs w:val="20"/>
                <w:highlight w:val="none"/>
              </w:rPr>
              <w:t>capatent</w:t>
            </w:r>
          </w:p>
        </w:tc>
        <w:tc>
          <w:tcPr>
            <w:tcW w:w="1856" w:type="dxa"/>
            <w:tcBorders>
              <w:top w:val="nil"/>
              <w:bottom w:val="single" w:color="auto" w:sz="4" w:space="0"/>
            </w:tcBorders>
            <w:noWrap/>
            <w:vAlign w:val="center"/>
          </w:tcPr>
          <w:p w14:paraId="53301841">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color w:val="auto"/>
                <w:sz w:val="20"/>
                <w:szCs w:val="20"/>
                <w:highlight w:val="none"/>
                <w:lang w:val="en-US" w:eastAsia="zh-CN"/>
              </w:rPr>
            </w:pPr>
            <w:r>
              <w:rPr>
                <w:rFonts w:hint="eastAsia" w:ascii="Times New Roman" w:hAnsi="Times New Roman"/>
                <w:color w:val="auto"/>
                <w:sz w:val="20"/>
                <w:szCs w:val="20"/>
                <w:highlight w:val="none"/>
                <w:lang w:val="en-US" w:eastAsia="zh-CN"/>
              </w:rPr>
              <w:t>创新水平</w:t>
            </w:r>
          </w:p>
        </w:tc>
        <w:tc>
          <w:tcPr>
            <w:tcW w:w="5962" w:type="dxa"/>
            <w:tcBorders>
              <w:top w:val="nil"/>
              <w:bottom w:val="single" w:color="auto" w:sz="4" w:space="0"/>
            </w:tcBorders>
            <w:noWrap/>
            <w:vAlign w:val="center"/>
          </w:tcPr>
          <w:p w14:paraId="2F43C516">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申请专利数</w:t>
            </w:r>
            <w:r>
              <w:rPr>
                <w:rFonts w:hint="eastAsia" w:ascii="Times New Roman" w:hAnsi="Times New Roman"/>
                <w:color w:val="auto"/>
                <w:sz w:val="20"/>
                <w:szCs w:val="20"/>
                <w:highlight w:val="none"/>
              </w:rPr>
              <w:t>的对数值</w:t>
            </w:r>
            <w:r>
              <w:rPr>
                <w:rFonts w:hint="eastAsia" w:ascii="Times New Roman" w:hAnsi="Times New Roman"/>
                <w:color w:val="auto"/>
                <w:sz w:val="20"/>
                <w:szCs w:val="20"/>
                <w:highlight w:val="none"/>
              </w:rPr>
              <w:tab/>
            </w:r>
            <w:r>
              <w:rPr>
                <w:rFonts w:hint="eastAsia" w:ascii="Times New Roman" w:hAnsi="Times New Roman"/>
                <w:color w:val="auto"/>
                <w:sz w:val="20"/>
                <w:szCs w:val="20"/>
                <w:highlight w:val="none"/>
              </w:rPr>
              <w:tab/>
            </w:r>
            <w:r>
              <w:rPr>
                <w:rFonts w:hint="eastAsia" w:ascii="Times New Roman" w:hAnsi="Times New Roman"/>
                <w:color w:val="auto"/>
                <w:sz w:val="20"/>
                <w:szCs w:val="20"/>
                <w:highlight w:val="none"/>
              </w:rPr>
              <w:tab/>
            </w:r>
          </w:p>
        </w:tc>
      </w:tr>
      <w:tr w14:paraId="71157E0D">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15D87E19">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b/>
                <w:bCs w:val="0"/>
                <w:color w:val="auto"/>
                <w:sz w:val="20"/>
                <w:szCs w:val="20"/>
                <w:highlight w:val="none"/>
              </w:rPr>
            </w:pPr>
            <w:r>
              <w:rPr>
                <w:rFonts w:hint="eastAsia" w:ascii="Times New Roman" w:hAnsi="Times New Roman"/>
                <w:b/>
                <w:bCs w:val="0"/>
                <w:color w:val="auto"/>
                <w:sz w:val="20"/>
                <w:szCs w:val="20"/>
                <w:highlight w:val="none"/>
                <w:lang w:val="en-US" w:eastAsia="zh-CN"/>
              </w:rPr>
              <w:t>解释变量</w:t>
            </w:r>
          </w:p>
        </w:tc>
      </w:tr>
      <w:tr w14:paraId="6031DDC3">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tcBorders>
              <w:top w:val="single" w:color="auto" w:sz="4" w:space="0"/>
              <w:bottom w:val="nil"/>
            </w:tcBorders>
            <w:noWrap/>
            <w:vAlign w:val="center"/>
          </w:tcPr>
          <w:p w14:paraId="20E29466">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i/>
                <w:iCs/>
                <w:color w:val="auto"/>
                <w:sz w:val="20"/>
                <w:szCs w:val="20"/>
                <w:highlight w:val="none"/>
              </w:rPr>
              <w:t>dkbf</w:t>
            </w:r>
          </w:p>
        </w:tc>
        <w:tc>
          <w:tcPr>
            <w:tcW w:w="1856" w:type="dxa"/>
            <w:tcBorders>
              <w:top w:val="single" w:color="auto" w:sz="4" w:space="0"/>
              <w:bottom w:val="nil"/>
            </w:tcBorders>
            <w:noWrap/>
            <w:vAlign w:val="center"/>
          </w:tcPr>
          <w:p w14:paraId="38364A3C">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对口帮扶政策</w:t>
            </w:r>
          </w:p>
        </w:tc>
        <w:tc>
          <w:tcPr>
            <w:tcW w:w="5962" w:type="dxa"/>
            <w:tcBorders>
              <w:top w:val="single" w:color="auto" w:sz="4" w:space="0"/>
              <w:bottom w:val="nil"/>
            </w:tcBorders>
            <w:noWrap/>
            <w:vAlign w:val="center"/>
          </w:tcPr>
          <w:p w14:paraId="64B914DC">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发行城投债的主体所在地级市被指定为被帮扶地级市，且在2017年及之后时取值1，否则为0</w:t>
            </w:r>
          </w:p>
        </w:tc>
      </w:tr>
      <w:tr w14:paraId="65D779F7">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32B93557">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b/>
                <w:bCs w:val="0"/>
                <w:color w:val="auto"/>
                <w:sz w:val="20"/>
                <w:szCs w:val="20"/>
                <w:highlight w:val="none"/>
                <w:lang w:val="en-US"/>
              </w:rPr>
            </w:pPr>
            <w:r>
              <w:rPr>
                <w:rFonts w:hint="eastAsia" w:ascii="Times New Roman" w:hAnsi="Times New Roman"/>
                <w:b/>
                <w:bCs w:val="0"/>
                <w:color w:val="auto"/>
                <w:sz w:val="20"/>
                <w:szCs w:val="20"/>
                <w:highlight w:val="none"/>
                <w:lang w:val="en-US" w:eastAsia="zh-CN"/>
              </w:rPr>
              <w:t>债券发行特征层面的控制变量</w:t>
            </w:r>
          </w:p>
        </w:tc>
      </w:tr>
      <w:tr w14:paraId="0B03EB46">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top w:val="single" w:color="auto" w:sz="4" w:space="0"/>
            </w:tcBorders>
            <w:noWrap/>
            <w:vAlign w:val="center"/>
          </w:tcPr>
          <w:p w14:paraId="0C2323C6">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size</w:t>
            </w:r>
          </w:p>
        </w:tc>
        <w:tc>
          <w:tcPr>
            <w:tcW w:w="1856" w:type="dxa"/>
            <w:tcBorders>
              <w:top w:val="single" w:color="auto" w:sz="4" w:space="0"/>
            </w:tcBorders>
            <w:noWrap/>
            <w:vAlign w:val="center"/>
          </w:tcPr>
          <w:p w14:paraId="5C6D8D67">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债券发行规模</w:t>
            </w:r>
          </w:p>
        </w:tc>
        <w:tc>
          <w:tcPr>
            <w:tcW w:w="5962" w:type="dxa"/>
            <w:tcBorders>
              <w:top w:val="single" w:color="auto" w:sz="4" w:space="0"/>
            </w:tcBorders>
            <w:noWrap/>
            <w:vAlign w:val="center"/>
          </w:tcPr>
          <w:p w14:paraId="0D30570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债券发行规模，取对数</w:t>
            </w:r>
          </w:p>
        </w:tc>
      </w:tr>
      <w:tr w14:paraId="79654F77">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noWrap/>
            <w:vAlign w:val="center"/>
          </w:tcPr>
          <w:p w14:paraId="19176FE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maturity</w:t>
            </w:r>
          </w:p>
        </w:tc>
        <w:tc>
          <w:tcPr>
            <w:tcW w:w="1856" w:type="dxa"/>
            <w:noWrap/>
            <w:vAlign w:val="center"/>
          </w:tcPr>
          <w:p w14:paraId="4264BABA">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rPr>
              <w:t>债券发行期限</w:t>
            </w:r>
          </w:p>
        </w:tc>
        <w:tc>
          <w:tcPr>
            <w:tcW w:w="5962" w:type="dxa"/>
            <w:noWrap/>
            <w:vAlign w:val="center"/>
          </w:tcPr>
          <w:p w14:paraId="6B2FE2C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rPr>
              <w:t>债券发行期限，取对数</w:t>
            </w:r>
          </w:p>
        </w:tc>
      </w:tr>
      <w:tr w14:paraId="283C5ACD">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noWrap/>
            <w:vAlign w:val="center"/>
          </w:tcPr>
          <w:p w14:paraId="7C1F4DC3">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ifop</w:t>
            </w:r>
          </w:p>
        </w:tc>
        <w:tc>
          <w:tcPr>
            <w:tcW w:w="1856" w:type="dxa"/>
            <w:noWrap/>
            <w:vAlign w:val="center"/>
          </w:tcPr>
          <w:p w14:paraId="1E1C762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是否含权债</w:t>
            </w:r>
          </w:p>
        </w:tc>
        <w:tc>
          <w:tcPr>
            <w:tcW w:w="5962" w:type="dxa"/>
            <w:noWrap/>
            <w:vAlign w:val="center"/>
          </w:tcPr>
          <w:p w14:paraId="7A5736B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债券是否为含权债，是则取值为1，否则为0</w:t>
            </w:r>
          </w:p>
        </w:tc>
      </w:tr>
      <w:tr w14:paraId="7A731CBE">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bottom w:val="single" w:color="auto" w:sz="4" w:space="0"/>
            </w:tcBorders>
            <w:noWrap/>
            <w:vAlign w:val="center"/>
          </w:tcPr>
          <w:p w14:paraId="0F1E103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ifgua</w:t>
            </w:r>
          </w:p>
        </w:tc>
        <w:tc>
          <w:tcPr>
            <w:tcW w:w="1856" w:type="dxa"/>
            <w:tcBorders>
              <w:bottom w:val="single" w:color="auto" w:sz="4" w:space="0"/>
            </w:tcBorders>
            <w:noWrap/>
            <w:vAlign w:val="center"/>
          </w:tcPr>
          <w:p w14:paraId="3F3B6E3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是否被担保</w:t>
            </w:r>
          </w:p>
        </w:tc>
        <w:tc>
          <w:tcPr>
            <w:tcW w:w="5962" w:type="dxa"/>
            <w:tcBorders>
              <w:bottom w:val="single" w:color="auto" w:sz="4" w:space="0"/>
            </w:tcBorders>
            <w:noWrap/>
            <w:vAlign w:val="center"/>
          </w:tcPr>
          <w:p w14:paraId="05B7F81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债券是否有担保人，有则取值为1，否则为0</w:t>
            </w:r>
          </w:p>
        </w:tc>
      </w:tr>
      <w:tr w14:paraId="32BF2ACB">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084CF9B6">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b/>
                <w:bCs w:val="0"/>
                <w:color w:val="auto"/>
                <w:sz w:val="20"/>
                <w:szCs w:val="20"/>
                <w:highlight w:val="none"/>
              </w:rPr>
            </w:pPr>
            <w:r>
              <w:rPr>
                <w:rFonts w:hint="eastAsia" w:ascii="Times New Roman" w:hAnsi="Times New Roman"/>
                <w:b/>
                <w:bCs w:val="0"/>
                <w:color w:val="auto"/>
                <w:sz w:val="20"/>
                <w:szCs w:val="20"/>
                <w:highlight w:val="none"/>
                <w:lang w:val="en-US" w:eastAsia="zh-CN"/>
              </w:rPr>
              <w:t>发行主体层面的控制变量</w:t>
            </w:r>
          </w:p>
        </w:tc>
      </w:tr>
      <w:tr w14:paraId="29F3618B">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top w:val="single" w:color="auto" w:sz="4" w:space="0"/>
            </w:tcBorders>
            <w:noWrap/>
            <w:vAlign w:val="center"/>
          </w:tcPr>
          <w:p w14:paraId="36442B4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asset</w:t>
            </w:r>
          </w:p>
        </w:tc>
        <w:tc>
          <w:tcPr>
            <w:tcW w:w="1856" w:type="dxa"/>
            <w:tcBorders>
              <w:top w:val="single" w:color="auto" w:sz="4" w:space="0"/>
            </w:tcBorders>
            <w:noWrap/>
            <w:vAlign w:val="center"/>
          </w:tcPr>
          <w:p w14:paraId="4632C7E4">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资产规模</w:t>
            </w:r>
          </w:p>
        </w:tc>
        <w:tc>
          <w:tcPr>
            <w:tcW w:w="5962" w:type="dxa"/>
            <w:tcBorders>
              <w:top w:val="single" w:color="auto" w:sz="4" w:space="0"/>
            </w:tcBorders>
            <w:noWrap/>
            <w:vAlign w:val="center"/>
          </w:tcPr>
          <w:p w14:paraId="36FB542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发行主体总资产，取对数</w:t>
            </w:r>
          </w:p>
        </w:tc>
      </w:tr>
      <w:tr w14:paraId="26B17675">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noWrap/>
            <w:vAlign w:val="center"/>
          </w:tcPr>
          <w:p w14:paraId="64896083">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lev</w:t>
            </w:r>
          </w:p>
        </w:tc>
        <w:tc>
          <w:tcPr>
            <w:tcW w:w="1856" w:type="dxa"/>
            <w:noWrap/>
            <w:vAlign w:val="center"/>
          </w:tcPr>
          <w:p w14:paraId="2B3AC07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资产负债率</w:t>
            </w:r>
          </w:p>
        </w:tc>
        <w:tc>
          <w:tcPr>
            <w:tcW w:w="5962" w:type="dxa"/>
            <w:noWrap/>
            <w:vAlign w:val="center"/>
          </w:tcPr>
          <w:p w14:paraId="177677B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总负债/总资产（%）</w:t>
            </w:r>
          </w:p>
        </w:tc>
      </w:tr>
      <w:tr w14:paraId="64294BEB">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noWrap/>
            <w:vAlign w:val="center"/>
          </w:tcPr>
          <w:p w14:paraId="4D596362">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roa</w:t>
            </w:r>
          </w:p>
        </w:tc>
        <w:tc>
          <w:tcPr>
            <w:tcW w:w="1856" w:type="dxa"/>
            <w:noWrap/>
            <w:vAlign w:val="center"/>
          </w:tcPr>
          <w:p w14:paraId="69D19343">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资产报酬率</w:t>
            </w:r>
          </w:p>
        </w:tc>
        <w:tc>
          <w:tcPr>
            <w:tcW w:w="5962" w:type="dxa"/>
            <w:noWrap/>
            <w:vAlign w:val="center"/>
          </w:tcPr>
          <w:p w14:paraId="19B0FA9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净利润/总资产（%）</w:t>
            </w:r>
          </w:p>
        </w:tc>
      </w:tr>
      <w:tr w14:paraId="18C1A08E">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bottom w:val="single" w:color="auto" w:sz="4" w:space="0"/>
            </w:tcBorders>
            <w:noWrap/>
            <w:vAlign w:val="center"/>
          </w:tcPr>
          <w:p w14:paraId="01A3C76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turnover</w:t>
            </w:r>
          </w:p>
        </w:tc>
        <w:tc>
          <w:tcPr>
            <w:tcW w:w="1856" w:type="dxa"/>
            <w:tcBorders>
              <w:bottom w:val="single" w:color="auto" w:sz="4" w:space="0"/>
            </w:tcBorders>
            <w:noWrap/>
            <w:vAlign w:val="center"/>
          </w:tcPr>
          <w:p w14:paraId="472598E4">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资产周转率</w:t>
            </w:r>
          </w:p>
        </w:tc>
        <w:tc>
          <w:tcPr>
            <w:tcW w:w="5962" w:type="dxa"/>
            <w:tcBorders>
              <w:bottom w:val="single" w:color="auto" w:sz="4" w:space="0"/>
            </w:tcBorders>
            <w:noWrap/>
            <w:vAlign w:val="center"/>
          </w:tcPr>
          <w:p w14:paraId="7C113AEA">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主营业务收入/总资产</w:t>
            </w:r>
          </w:p>
        </w:tc>
      </w:tr>
      <w:tr w14:paraId="26F6F2B4">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23ED46ED">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b/>
                <w:bCs w:val="0"/>
                <w:color w:val="auto"/>
                <w:sz w:val="20"/>
                <w:szCs w:val="20"/>
                <w:highlight w:val="none"/>
                <w:lang w:val="en-US"/>
              </w:rPr>
            </w:pPr>
            <w:r>
              <w:rPr>
                <w:rFonts w:hint="eastAsia" w:ascii="Times New Roman" w:hAnsi="Times New Roman"/>
                <w:b/>
                <w:bCs w:val="0"/>
                <w:color w:val="auto"/>
                <w:sz w:val="20"/>
                <w:szCs w:val="20"/>
                <w:highlight w:val="none"/>
                <w:lang w:val="en-US" w:eastAsia="zh-CN"/>
              </w:rPr>
              <w:t>地级市层面的控制变量</w:t>
            </w:r>
          </w:p>
        </w:tc>
      </w:tr>
      <w:tr w14:paraId="1DE4ED4F">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top w:val="single" w:color="auto" w:sz="4" w:space="0"/>
            </w:tcBorders>
            <w:noWrap/>
            <w:vAlign w:val="center"/>
          </w:tcPr>
          <w:p w14:paraId="1FC546C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gdp</w:t>
            </w:r>
          </w:p>
        </w:tc>
        <w:tc>
          <w:tcPr>
            <w:tcW w:w="1856" w:type="dxa"/>
            <w:tcBorders>
              <w:top w:val="single" w:color="auto" w:sz="4" w:space="0"/>
            </w:tcBorders>
            <w:noWrap/>
            <w:vAlign w:val="center"/>
          </w:tcPr>
          <w:p w14:paraId="379638E2">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经济发展水平</w:t>
            </w:r>
          </w:p>
        </w:tc>
        <w:tc>
          <w:tcPr>
            <w:tcW w:w="5962" w:type="dxa"/>
            <w:tcBorders>
              <w:top w:val="single" w:color="auto" w:sz="4" w:space="0"/>
            </w:tcBorders>
            <w:noWrap/>
            <w:vAlign w:val="center"/>
          </w:tcPr>
          <w:p w14:paraId="0D98BD5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地区生产总值，取对数</w:t>
            </w:r>
          </w:p>
        </w:tc>
      </w:tr>
      <w:tr w14:paraId="5A18FA37">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noWrap/>
            <w:vAlign w:val="center"/>
          </w:tcPr>
          <w:p w14:paraId="0D53C6AD">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second</w:t>
            </w:r>
          </w:p>
        </w:tc>
        <w:tc>
          <w:tcPr>
            <w:tcW w:w="1856" w:type="dxa"/>
            <w:noWrap/>
            <w:vAlign w:val="center"/>
          </w:tcPr>
          <w:p w14:paraId="55E52F1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第二产业结构</w:t>
            </w:r>
          </w:p>
        </w:tc>
        <w:tc>
          <w:tcPr>
            <w:tcW w:w="5962" w:type="dxa"/>
            <w:noWrap/>
            <w:vAlign w:val="center"/>
          </w:tcPr>
          <w:p w14:paraId="2C544E19">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第二产业</w:t>
            </w:r>
            <w:r>
              <w:rPr>
                <w:rFonts w:hint="eastAsia" w:ascii="Times New Roman" w:hAnsi="Times New Roman"/>
                <w:color w:val="auto"/>
                <w:sz w:val="20"/>
                <w:szCs w:val="20"/>
                <w:highlight w:val="none"/>
              </w:rPr>
              <w:t>增加值</w:t>
            </w:r>
            <w:r>
              <w:rPr>
                <w:rFonts w:ascii="Times New Roman" w:hAnsi="Times New Roman"/>
                <w:color w:val="auto"/>
                <w:sz w:val="20"/>
                <w:szCs w:val="20"/>
                <w:highlight w:val="none"/>
              </w:rPr>
              <w:t>占GDP比重</w:t>
            </w:r>
          </w:p>
        </w:tc>
      </w:tr>
      <w:tr w14:paraId="49407834">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noWrap/>
            <w:vAlign w:val="bottom"/>
          </w:tcPr>
          <w:p w14:paraId="2269AC1D">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revenue</w:t>
            </w:r>
          </w:p>
        </w:tc>
        <w:tc>
          <w:tcPr>
            <w:tcW w:w="1856" w:type="dxa"/>
            <w:noWrap/>
            <w:vAlign w:val="bottom"/>
          </w:tcPr>
          <w:p w14:paraId="2E8AF213">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财政收入水平</w:t>
            </w:r>
          </w:p>
        </w:tc>
        <w:tc>
          <w:tcPr>
            <w:tcW w:w="5962" w:type="dxa"/>
            <w:noWrap/>
            <w:vAlign w:val="bottom"/>
          </w:tcPr>
          <w:p w14:paraId="1DA9382B">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地区</w:t>
            </w:r>
            <w:r>
              <w:rPr>
                <w:rFonts w:hint="eastAsia" w:ascii="Times New Roman" w:hAnsi="Times New Roman"/>
                <w:color w:val="auto"/>
                <w:sz w:val="20"/>
                <w:szCs w:val="20"/>
                <w:highlight w:val="none"/>
              </w:rPr>
              <w:t>财政预算内收入</w:t>
            </w:r>
            <w:r>
              <w:rPr>
                <w:rFonts w:ascii="Times New Roman" w:hAnsi="Times New Roman"/>
                <w:color w:val="auto"/>
                <w:sz w:val="20"/>
                <w:szCs w:val="20"/>
                <w:highlight w:val="none"/>
              </w:rPr>
              <w:t>，取对数</w:t>
            </w:r>
          </w:p>
        </w:tc>
      </w:tr>
      <w:tr w14:paraId="095F7A08">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bottom"/>
          </w:tcPr>
          <w:p w14:paraId="79B622D9">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transfer</w:t>
            </w:r>
          </w:p>
        </w:tc>
        <w:tc>
          <w:tcPr>
            <w:tcW w:w="1856" w:type="dxa"/>
            <w:shd w:val="clear" w:color="auto" w:fill="auto"/>
            <w:noWrap/>
            <w:vAlign w:val="bottom"/>
          </w:tcPr>
          <w:p w14:paraId="2633696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转移支付收入</w:t>
            </w:r>
          </w:p>
        </w:tc>
        <w:tc>
          <w:tcPr>
            <w:tcW w:w="5962" w:type="dxa"/>
            <w:shd w:val="clear" w:color="auto" w:fill="auto"/>
            <w:noWrap/>
            <w:vAlign w:val="bottom"/>
          </w:tcPr>
          <w:p w14:paraId="52E8DA2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一般性转移支付与专项转移支付之和占GDP的比例</w:t>
            </w:r>
          </w:p>
        </w:tc>
      </w:tr>
      <w:tr w14:paraId="3B48B046">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bottom w:val="single" w:color="auto" w:sz="4" w:space="0"/>
            </w:tcBorders>
            <w:shd w:val="clear" w:color="auto" w:fill="auto"/>
            <w:noWrap/>
            <w:vAlign w:val="bottom"/>
          </w:tcPr>
          <w:p w14:paraId="46E9FF77">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finance</w:t>
            </w:r>
          </w:p>
        </w:tc>
        <w:tc>
          <w:tcPr>
            <w:tcW w:w="1856" w:type="dxa"/>
            <w:tcBorders>
              <w:bottom w:val="single" w:color="auto" w:sz="4" w:space="0"/>
            </w:tcBorders>
            <w:shd w:val="clear" w:color="auto" w:fill="auto"/>
            <w:noWrap/>
            <w:vAlign w:val="bottom"/>
          </w:tcPr>
          <w:p w14:paraId="724D381C">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金融发展水平</w:t>
            </w:r>
          </w:p>
        </w:tc>
        <w:tc>
          <w:tcPr>
            <w:tcW w:w="5962" w:type="dxa"/>
            <w:tcBorders>
              <w:bottom w:val="single" w:color="auto" w:sz="4" w:space="0"/>
            </w:tcBorders>
            <w:shd w:val="clear" w:color="auto" w:fill="auto"/>
            <w:noWrap/>
            <w:vAlign w:val="bottom"/>
          </w:tcPr>
          <w:p w14:paraId="0CE20F2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金融机构贷款余额与GDP的比值</w:t>
            </w:r>
          </w:p>
        </w:tc>
      </w:tr>
      <w:tr w14:paraId="7D1E3D91">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bottom"/>
          </w:tcPr>
          <w:p w14:paraId="25A3343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b/>
                <w:bCs w:val="0"/>
                <w:color w:val="auto"/>
                <w:sz w:val="20"/>
                <w:szCs w:val="20"/>
                <w:highlight w:val="none"/>
                <w:lang w:val="en-US"/>
              </w:rPr>
            </w:pPr>
            <w:r>
              <w:rPr>
                <w:rFonts w:hint="eastAsia" w:ascii="Times New Roman" w:hAnsi="Times New Roman"/>
                <w:b/>
                <w:bCs w:val="0"/>
                <w:color w:val="auto"/>
                <w:sz w:val="20"/>
                <w:szCs w:val="20"/>
                <w:highlight w:val="none"/>
                <w:lang w:val="en-US" w:eastAsia="zh-CN"/>
              </w:rPr>
              <w:t>表5政府隐性担保意愿机制的检验结果中的其他变量</w:t>
            </w:r>
          </w:p>
        </w:tc>
      </w:tr>
      <w:tr w14:paraId="1D32586A">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top w:val="single" w:color="auto" w:sz="4" w:space="0"/>
              <w:bottom w:val="single" w:color="auto" w:sz="4" w:space="0"/>
            </w:tcBorders>
            <w:shd w:val="clear" w:color="auto" w:fill="auto"/>
            <w:noWrap/>
            <w:vAlign w:val="center"/>
          </w:tcPr>
          <w:p w14:paraId="14F61DD4">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i/>
                <w:iCs/>
                <w:color w:val="auto"/>
                <w:sz w:val="20"/>
                <w:szCs w:val="20"/>
                <w:highlight w:val="none"/>
              </w:rPr>
              <w:t>replaceratio</w:t>
            </w:r>
          </w:p>
        </w:tc>
        <w:tc>
          <w:tcPr>
            <w:tcW w:w="7818" w:type="dxa"/>
            <w:gridSpan w:val="2"/>
            <w:tcBorders>
              <w:top w:val="single" w:color="auto" w:sz="4" w:space="0"/>
              <w:bottom w:val="single" w:color="auto" w:sz="4" w:space="0"/>
            </w:tcBorders>
            <w:shd w:val="clear" w:color="auto" w:fill="auto"/>
            <w:noWrap/>
            <w:vAlign w:val="bottom"/>
          </w:tcPr>
          <w:p w14:paraId="6D78EFE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eastAsia" w:ascii="Times New Roman" w:hAnsi="Times New Roman"/>
                <w:color w:val="auto"/>
                <w:sz w:val="20"/>
                <w:szCs w:val="20"/>
                <w:highlight w:val="none"/>
                <w:lang w:val="en-US" w:eastAsia="zh-CN"/>
              </w:rPr>
            </w:pPr>
            <w:r>
              <w:rPr>
                <w:rFonts w:ascii="Times New Roman" w:hAnsi="Times New Roman"/>
                <w:color w:val="auto"/>
                <w:sz w:val="20"/>
                <w:szCs w:val="20"/>
                <w:highlight w:val="none"/>
              </w:rPr>
              <w:t>基于省级层面用于置换的地方政府债券发行规模与省份的一般公共预算收入的比值</w:t>
            </w:r>
          </w:p>
        </w:tc>
      </w:tr>
      <w:tr w14:paraId="31FBBE91">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9198" w:type="dxa"/>
            <w:gridSpan w:val="3"/>
            <w:tcBorders>
              <w:top w:val="single" w:color="auto" w:sz="4" w:space="0"/>
            </w:tcBorders>
            <w:shd w:val="clear" w:color="auto" w:fill="D7D7D7" w:themeFill="background1" w:themeFillShade="D8"/>
            <w:noWrap/>
            <w:vAlign w:val="center"/>
          </w:tcPr>
          <w:p w14:paraId="1B1818F9">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b/>
                <w:bCs w:val="0"/>
                <w:color w:val="auto"/>
                <w:sz w:val="20"/>
                <w:szCs w:val="20"/>
                <w:highlight w:val="none"/>
                <w:lang w:val="en-US"/>
              </w:rPr>
            </w:pPr>
            <w:r>
              <w:rPr>
                <w:rFonts w:hint="eastAsia" w:ascii="Times New Roman" w:hAnsi="Times New Roman"/>
                <w:b/>
                <w:bCs w:val="0"/>
                <w:color w:val="auto"/>
                <w:sz w:val="20"/>
                <w:szCs w:val="20"/>
                <w:highlight w:val="none"/>
                <w:lang w:val="en-US" w:eastAsia="zh-CN"/>
              </w:rPr>
              <w:t>表III1被帮扶地区</w:t>
            </w:r>
            <w:bookmarkStart w:id="0" w:name="_GoBack"/>
            <w:bookmarkEnd w:id="0"/>
            <w:r>
              <w:rPr>
                <w:rFonts w:hint="eastAsia" w:ascii="Times New Roman" w:hAnsi="Times New Roman"/>
                <w:b/>
                <w:bCs w:val="0"/>
                <w:color w:val="auto"/>
                <w:sz w:val="20"/>
                <w:szCs w:val="20"/>
                <w:highlight w:val="none"/>
                <w:lang w:val="en-US" w:eastAsia="zh-CN"/>
              </w:rPr>
              <w:t>特征与政策效果发挥检验结果中的其他变量</w:t>
            </w:r>
          </w:p>
        </w:tc>
      </w:tr>
      <w:tr w14:paraId="6926EF72">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5BC8979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m</w:t>
            </w:r>
            <w:r>
              <w:rPr>
                <w:rFonts w:hint="eastAsia" w:ascii="Times New Roman" w:hAnsi="Times New Roman"/>
                <w:i/>
                <w:iCs/>
                <w:color w:val="auto"/>
                <w:sz w:val="20"/>
                <w:szCs w:val="20"/>
                <w:highlight w:val="none"/>
              </w:rPr>
              <w:t>g</w:t>
            </w:r>
            <w:r>
              <w:rPr>
                <w:rFonts w:ascii="Times New Roman" w:hAnsi="Times New Roman"/>
                <w:i/>
                <w:iCs/>
                <w:color w:val="auto"/>
                <w:sz w:val="20"/>
                <w:szCs w:val="20"/>
                <w:highlight w:val="none"/>
              </w:rPr>
              <w:t>dp</w:t>
            </w:r>
          </w:p>
        </w:tc>
        <w:tc>
          <w:tcPr>
            <w:tcW w:w="7818" w:type="dxa"/>
            <w:gridSpan w:val="2"/>
            <w:shd w:val="clear" w:color="auto" w:fill="auto"/>
            <w:noWrap/>
            <w:vAlign w:val="bottom"/>
          </w:tcPr>
          <w:p w14:paraId="4970DAD1">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lang w:val="en-US" w:eastAsia="zh-CN"/>
              </w:rPr>
              <w:t>政策实施前一年的人均GDP</w:t>
            </w:r>
          </w:p>
        </w:tc>
      </w:tr>
      <w:tr w14:paraId="1F02C72F">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74AFD3B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mrevenue</w:t>
            </w:r>
          </w:p>
        </w:tc>
        <w:tc>
          <w:tcPr>
            <w:tcW w:w="7818" w:type="dxa"/>
            <w:gridSpan w:val="2"/>
            <w:shd w:val="clear" w:color="auto" w:fill="auto"/>
            <w:noWrap/>
            <w:vAlign w:val="bottom"/>
          </w:tcPr>
          <w:p w14:paraId="5E9367DB">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lang w:val="en-US" w:eastAsia="zh-CN"/>
              </w:rPr>
              <w:t>政策实施前一年的财政收入水平</w:t>
            </w:r>
          </w:p>
        </w:tc>
      </w:tr>
      <w:tr w14:paraId="1441C2E0">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7A943CF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mfinloan</w:t>
            </w:r>
          </w:p>
        </w:tc>
        <w:tc>
          <w:tcPr>
            <w:tcW w:w="7818" w:type="dxa"/>
            <w:gridSpan w:val="2"/>
            <w:shd w:val="clear" w:color="auto" w:fill="auto"/>
            <w:noWrap/>
            <w:vAlign w:val="bottom"/>
          </w:tcPr>
          <w:p w14:paraId="2F48AC8B">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lang w:val="en-US" w:eastAsia="zh-CN"/>
              </w:rPr>
              <w:t>政策实施前一年的金融机构贷款余额</w:t>
            </w:r>
          </w:p>
        </w:tc>
      </w:tr>
      <w:tr w14:paraId="5D94B588">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3B93F38A">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b/>
                <w:bCs w:val="0"/>
                <w:color w:val="auto"/>
                <w:sz w:val="20"/>
                <w:szCs w:val="20"/>
                <w:highlight w:val="lightGray"/>
                <w:lang w:val="en-US" w:eastAsia="zh-CN"/>
              </w:rPr>
            </w:pPr>
            <w:r>
              <w:rPr>
                <w:rFonts w:hint="eastAsia" w:ascii="Times New Roman" w:hAnsi="Times New Roman"/>
                <w:b/>
                <w:bCs w:val="0"/>
                <w:color w:val="auto"/>
                <w:sz w:val="20"/>
                <w:szCs w:val="20"/>
                <w:highlight w:val="none"/>
                <w:lang w:val="en-US" w:eastAsia="zh-CN"/>
              </w:rPr>
              <w:t>表III2提供帮扶地区特征与政策效果检验结果中的其他变量</w:t>
            </w:r>
          </w:p>
        </w:tc>
      </w:tr>
      <w:tr w14:paraId="7D72F388">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top w:val="single" w:color="auto" w:sz="4" w:space="0"/>
            </w:tcBorders>
            <w:shd w:val="clear" w:color="auto" w:fill="auto"/>
            <w:noWrap/>
            <w:vAlign w:val="center"/>
          </w:tcPr>
          <w:p w14:paraId="73B09CBB">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dkbf_prov</w:t>
            </w:r>
          </w:p>
        </w:tc>
        <w:tc>
          <w:tcPr>
            <w:tcW w:w="7818" w:type="dxa"/>
            <w:gridSpan w:val="2"/>
            <w:tcBorders>
              <w:top w:val="single" w:color="auto" w:sz="4" w:space="0"/>
            </w:tcBorders>
            <w:shd w:val="clear" w:color="auto" w:fill="auto"/>
            <w:noWrap/>
            <w:vAlign w:val="bottom"/>
          </w:tcPr>
          <w:p w14:paraId="28B1BEC6">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如果东部帮扶省市为省份或直辖市级别，则</w:t>
            </w:r>
            <w:r>
              <w:rPr>
                <w:rFonts w:ascii="Times New Roman" w:hAnsi="Times New Roman"/>
                <w:i/>
                <w:iCs/>
                <w:color w:val="auto"/>
                <w:sz w:val="20"/>
                <w:szCs w:val="20"/>
                <w:highlight w:val="none"/>
              </w:rPr>
              <w:t>dkbf_prov</w:t>
            </w:r>
            <w:r>
              <w:rPr>
                <w:rFonts w:ascii="Times New Roman" w:hAnsi="Times New Roman"/>
                <w:color w:val="auto"/>
                <w:sz w:val="20"/>
                <w:szCs w:val="20"/>
                <w:highlight w:val="none"/>
              </w:rPr>
              <w:t>取值为1，否则为0</w:t>
            </w:r>
          </w:p>
        </w:tc>
      </w:tr>
      <w:tr w14:paraId="579C9DD8">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57F8D629">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hint="eastAsia" w:ascii="Times New Roman" w:hAnsi="Times New Roman"/>
                <w:i/>
                <w:iCs/>
                <w:color w:val="auto"/>
                <w:sz w:val="20"/>
                <w:szCs w:val="20"/>
                <w:highlight w:val="none"/>
                <w:lang w:val="en-US" w:eastAsia="zh-CN"/>
              </w:rPr>
              <w:t>dkbf_city</w:t>
            </w:r>
          </w:p>
        </w:tc>
        <w:tc>
          <w:tcPr>
            <w:tcW w:w="7818" w:type="dxa"/>
            <w:gridSpan w:val="2"/>
            <w:shd w:val="clear" w:color="auto" w:fill="auto"/>
            <w:noWrap/>
            <w:vAlign w:val="bottom"/>
          </w:tcPr>
          <w:p w14:paraId="626548F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hint="eastAsia" w:ascii="Times New Roman" w:hAnsi="Times New Roman"/>
                <w:color w:val="auto"/>
                <w:sz w:val="20"/>
                <w:szCs w:val="20"/>
                <w:highlight w:val="none"/>
                <w:lang w:val="en-US" w:eastAsia="zh-CN"/>
              </w:rPr>
              <w:t>如果东部帮扶地区为地级市，则</w:t>
            </w:r>
            <w:r>
              <w:rPr>
                <w:rFonts w:hint="eastAsia" w:ascii="Times New Roman" w:hAnsi="Times New Roman"/>
                <w:i/>
                <w:iCs/>
                <w:color w:val="auto"/>
                <w:sz w:val="20"/>
                <w:szCs w:val="20"/>
                <w:highlight w:val="none"/>
                <w:lang w:val="en-US" w:eastAsia="zh-CN"/>
              </w:rPr>
              <w:t>dkbf_city</w:t>
            </w:r>
            <w:r>
              <w:rPr>
                <w:rFonts w:hint="eastAsia" w:ascii="Times New Roman" w:hAnsi="Times New Roman"/>
                <w:color w:val="auto"/>
                <w:sz w:val="20"/>
                <w:szCs w:val="20"/>
                <w:highlight w:val="none"/>
                <w:lang w:val="en-US" w:eastAsia="zh-CN"/>
              </w:rPr>
              <w:t>取值为1，否则为0</w:t>
            </w:r>
          </w:p>
        </w:tc>
      </w:tr>
      <w:tr w14:paraId="56834436">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446CC42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dkbf_pergdp</w:t>
            </w:r>
          </w:p>
        </w:tc>
        <w:tc>
          <w:tcPr>
            <w:tcW w:w="7818" w:type="dxa"/>
            <w:gridSpan w:val="2"/>
            <w:shd w:val="clear" w:color="auto" w:fill="auto"/>
            <w:noWrap/>
            <w:vAlign w:val="bottom"/>
          </w:tcPr>
          <w:p w14:paraId="3F0BAF8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如果东部帮扶省市的人均GDP高于（低于）每年同层级中位数，则</w:t>
            </w:r>
            <w:r>
              <w:rPr>
                <w:rFonts w:ascii="Times New Roman" w:hAnsi="Times New Roman"/>
                <w:i/>
                <w:iCs/>
                <w:color w:val="auto"/>
                <w:sz w:val="20"/>
                <w:szCs w:val="20"/>
                <w:highlight w:val="none"/>
              </w:rPr>
              <w:t>dkbf_pergdp1</w:t>
            </w:r>
            <w:r>
              <w:rPr>
                <w:rFonts w:ascii="Times New Roman" w:hAnsi="Times New Roman"/>
                <w:color w:val="auto"/>
                <w:sz w:val="20"/>
                <w:szCs w:val="20"/>
                <w:highlight w:val="none"/>
              </w:rPr>
              <w:t>（</w:t>
            </w:r>
            <w:r>
              <w:rPr>
                <w:rFonts w:ascii="Times New Roman" w:hAnsi="Times New Roman"/>
                <w:i/>
                <w:iCs/>
                <w:color w:val="auto"/>
                <w:sz w:val="20"/>
                <w:szCs w:val="20"/>
                <w:highlight w:val="none"/>
              </w:rPr>
              <w:t>dkbf_pergdp0</w:t>
            </w:r>
            <w:r>
              <w:rPr>
                <w:rFonts w:ascii="Times New Roman" w:hAnsi="Times New Roman"/>
                <w:color w:val="auto"/>
                <w:sz w:val="20"/>
                <w:szCs w:val="20"/>
                <w:highlight w:val="none"/>
              </w:rPr>
              <w:t>）取值为1，否则为0；</w:t>
            </w:r>
          </w:p>
        </w:tc>
      </w:tr>
      <w:tr w14:paraId="29E5CC07">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2F612AD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dkbf_revenue</w:t>
            </w:r>
          </w:p>
        </w:tc>
        <w:tc>
          <w:tcPr>
            <w:tcW w:w="7818" w:type="dxa"/>
            <w:gridSpan w:val="2"/>
            <w:shd w:val="clear" w:color="auto" w:fill="auto"/>
            <w:noWrap/>
            <w:vAlign w:val="bottom"/>
          </w:tcPr>
          <w:p w14:paraId="70B54EFC">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如果东部帮扶省市的财政收入水平高于（低于）每年同层级中位数，则</w:t>
            </w:r>
            <w:r>
              <w:rPr>
                <w:rFonts w:ascii="Times New Roman" w:hAnsi="Times New Roman"/>
                <w:i/>
                <w:iCs/>
                <w:color w:val="auto"/>
                <w:sz w:val="20"/>
                <w:szCs w:val="20"/>
                <w:highlight w:val="none"/>
              </w:rPr>
              <w:t>dkbf_revenue1</w:t>
            </w:r>
            <w:r>
              <w:rPr>
                <w:rFonts w:ascii="Times New Roman" w:hAnsi="Times New Roman"/>
                <w:color w:val="auto"/>
                <w:sz w:val="20"/>
                <w:szCs w:val="20"/>
                <w:highlight w:val="none"/>
              </w:rPr>
              <w:t>（</w:t>
            </w:r>
            <w:r>
              <w:rPr>
                <w:rFonts w:ascii="Times New Roman" w:hAnsi="Times New Roman"/>
                <w:i/>
                <w:iCs/>
                <w:color w:val="auto"/>
                <w:sz w:val="20"/>
                <w:szCs w:val="20"/>
                <w:highlight w:val="none"/>
              </w:rPr>
              <w:t>dkbf_revenue0</w:t>
            </w:r>
            <w:r>
              <w:rPr>
                <w:rFonts w:ascii="Times New Roman" w:hAnsi="Times New Roman"/>
                <w:color w:val="auto"/>
                <w:sz w:val="20"/>
                <w:szCs w:val="20"/>
                <w:highlight w:val="none"/>
              </w:rPr>
              <w:t>）取值为1，否则为0。</w:t>
            </w:r>
          </w:p>
        </w:tc>
      </w:tr>
      <w:tr w14:paraId="7AA2F2CF">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26D7FDC3">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ascii="Times New Roman" w:hAnsi="Times New Roman"/>
                <w:i/>
                <w:iCs/>
                <w:color w:val="auto"/>
                <w:sz w:val="20"/>
                <w:szCs w:val="20"/>
                <w:highlight w:val="none"/>
              </w:rPr>
              <w:t>dkbf_</w:t>
            </w:r>
            <w:r>
              <w:rPr>
                <w:rFonts w:hint="eastAsia" w:ascii="Times New Roman" w:hAnsi="Times New Roman"/>
                <w:i/>
                <w:iCs/>
                <w:color w:val="auto"/>
                <w:sz w:val="20"/>
                <w:szCs w:val="20"/>
                <w:highlight w:val="none"/>
              </w:rPr>
              <w:t>cost</w:t>
            </w:r>
          </w:p>
        </w:tc>
        <w:tc>
          <w:tcPr>
            <w:tcW w:w="7818" w:type="dxa"/>
            <w:gridSpan w:val="2"/>
            <w:shd w:val="clear" w:color="auto" w:fill="auto"/>
            <w:noWrap/>
            <w:vAlign w:val="bottom"/>
          </w:tcPr>
          <w:p w14:paraId="020B28A5">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color w:val="auto"/>
                <w:sz w:val="20"/>
                <w:szCs w:val="20"/>
                <w:highlight w:val="none"/>
              </w:rPr>
            </w:pPr>
            <w:r>
              <w:rPr>
                <w:rFonts w:ascii="Times New Roman" w:hAnsi="Times New Roman"/>
                <w:color w:val="auto"/>
                <w:sz w:val="20"/>
                <w:szCs w:val="20"/>
                <w:highlight w:val="none"/>
              </w:rPr>
              <w:t>如果东部帮扶省市的</w:t>
            </w:r>
            <w:r>
              <w:rPr>
                <w:rFonts w:hint="eastAsia" w:ascii="Times New Roman" w:hAnsi="Times New Roman"/>
                <w:color w:val="auto"/>
                <w:sz w:val="20"/>
                <w:szCs w:val="20"/>
                <w:highlight w:val="none"/>
              </w:rPr>
              <w:t>债务平均发行成本</w:t>
            </w:r>
            <w:r>
              <w:rPr>
                <w:rFonts w:ascii="Times New Roman" w:hAnsi="Times New Roman"/>
                <w:color w:val="auto"/>
                <w:sz w:val="20"/>
                <w:szCs w:val="20"/>
                <w:highlight w:val="none"/>
              </w:rPr>
              <w:t>高于（低于）每年同层级中位数，则</w:t>
            </w:r>
            <w:r>
              <w:rPr>
                <w:rFonts w:ascii="Times New Roman" w:hAnsi="Times New Roman"/>
                <w:i/>
                <w:iCs/>
                <w:color w:val="auto"/>
                <w:sz w:val="20"/>
                <w:szCs w:val="20"/>
                <w:highlight w:val="none"/>
              </w:rPr>
              <w:t>dkbf_</w:t>
            </w:r>
            <w:r>
              <w:rPr>
                <w:rFonts w:hint="eastAsia" w:ascii="Times New Roman" w:hAnsi="Times New Roman"/>
                <w:i/>
                <w:iCs/>
                <w:color w:val="auto"/>
                <w:sz w:val="20"/>
                <w:szCs w:val="20"/>
                <w:highlight w:val="none"/>
              </w:rPr>
              <w:t>cost</w:t>
            </w:r>
            <w:r>
              <w:rPr>
                <w:rFonts w:ascii="Times New Roman" w:hAnsi="Times New Roman"/>
                <w:i/>
                <w:iCs/>
                <w:color w:val="auto"/>
                <w:sz w:val="20"/>
                <w:szCs w:val="20"/>
                <w:highlight w:val="none"/>
              </w:rPr>
              <w:t>1</w:t>
            </w:r>
            <w:r>
              <w:rPr>
                <w:rFonts w:ascii="Times New Roman" w:hAnsi="Times New Roman"/>
                <w:color w:val="auto"/>
                <w:sz w:val="20"/>
                <w:szCs w:val="20"/>
                <w:highlight w:val="none"/>
              </w:rPr>
              <w:t>（</w:t>
            </w:r>
            <w:r>
              <w:rPr>
                <w:rFonts w:ascii="Times New Roman" w:hAnsi="Times New Roman"/>
                <w:i/>
                <w:iCs/>
                <w:color w:val="auto"/>
                <w:sz w:val="20"/>
                <w:szCs w:val="20"/>
                <w:highlight w:val="none"/>
              </w:rPr>
              <w:t>dkbf_</w:t>
            </w:r>
            <w:r>
              <w:rPr>
                <w:rFonts w:hint="eastAsia" w:ascii="Times New Roman" w:hAnsi="Times New Roman"/>
                <w:i/>
                <w:iCs/>
                <w:color w:val="auto"/>
                <w:sz w:val="20"/>
                <w:szCs w:val="20"/>
                <w:highlight w:val="none"/>
              </w:rPr>
              <w:t>cost</w:t>
            </w:r>
            <w:r>
              <w:rPr>
                <w:rFonts w:ascii="Times New Roman" w:hAnsi="Times New Roman"/>
                <w:i/>
                <w:iCs/>
                <w:color w:val="auto"/>
                <w:sz w:val="20"/>
                <w:szCs w:val="20"/>
                <w:highlight w:val="none"/>
              </w:rPr>
              <w:t>0</w:t>
            </w:r>
            <w:r>
              <w:rPr>
                <w:rFonts w:ascii="Times New Roman" w:hAnsi="Times New Roman"/>
                <w:color w:val="auto"/>
                <w:sz w:val="20"/>
                <w:szCs w:val="20"/>
                <w:highlight w:val="none"/>
              </w:rPr>
              <w:t>）取值为1，否则为0</w:t>
            </w:r>
          </w:p>
        </w:tc>
      </w:tr>
      <w:tr w14:paraId="08B0FF22">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bottom w:val="single" w:color="auto" w:sz="4" w:space="0"/>
            </w:tcBorders>
            <w:shd w:val="clear" w:color="auto" w:fill="auto"/>
            <w:noWrap/>
            <w:vAlign w:val="center"/>
          </w:tcPr>
          <w:p w14:paraId="0D8C055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i/>
                <w:iCs/>
                <w:color w:val="auto"/>
                <w:sz w:val="20"/>
                <w:szCs w:val="20"/>
                <w:highlight w:val="none"/>
              </w:rPr>
            </w:pPr>
            <w:r>
              <w:rPr>
                <w:rFonts w:hint="eastAsia" w:ascii="Times New Roman" w:hAnsi="Times New Roman"/>
                <w:i/>
                <w:iCs/>
                <w:color w:val="auto"/>
                <w:sz w:val="20"/>
                <w:szCs w:val="20"/>
                <w:highlight w:val="none"/>
              </w:rPr>
              <w:t>dkspread</w:t>
            </w:r>
          </w:p>
        </w:tc>
        <w:tc>
          <w:tcPr>
            <w:tcW w:w="7818" w:type="dxa"/>
            <w:gridSpan w:val="2"/>
            <w:tcBorders>
              <w:bottom w:val="single" w:color="auto" w:sz="4" w:space="0"/>
            </w:tcBorders>
            <w:shd w:val="clear" w:color="auto" w:fill="auto"/>
            <w:noWrap/>
            <w:vAlign w:val="bottom"/>
          </w:tcPr>
          <w:p w14:paraId="124DC51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eastAsia" w:ascii="Times New Roman" w:hAnsi="Times New Roman"/>
                <w:color w:val="auto"/>
                <w:sz w:val="20"/>
                <w:szCs w:val="20"/>
                <w:highlight w:val="none"/>
                <w:lang w:eastAsia="zh-CN"/>
              </w:rPr>
            </w:pPr>
            <w:r>
              <w:rPr>
                <w:rFonts w:hint="eastAsia" w:ascii="Times New Roman" w:hAnsi="Times New Roman"/>
                <w:color w:val="auto"/>
                <w:sz w:val="20"/>
                <w:szCs w:val="20"/>
                <w:highlight w:val="none"/>
              </w:rPr>
              <w:t>提供帮扶地区城投债的加权平均发行信用利差，权重为债券发行规模</w:t>
            </w:r>
          </w:p>
        </w:tc>
      </w:tr>
      <w:tr w14:paraId="129316AF">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78D8B7EC">
            <w:pPr>
              <w:pStyle w:val="3"/>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eastAsia="Times New Roman" w:cstheme="minorBidi"/>
                <w:b/>
                <w:bCs w:val="0"/>
                <w:color w:val="auto"/>
                <w:kern w:val="2"/>
                <w:sz w:val="20"/>
                <w:szCs w:val="20"/>
                <w:highlight w:val="none"/>
                <w:lang w:val="en-US" w:eastAsia="zh-CN" w:bidi="ar-SA"/>
              </w:rPr>
            </w:pPr>
            <w:r>
              <w:rPr>
                <w:rFonts w:hint="eastAsia" w:ascii="Times New Roman" w:hAnsi="Times New Roman" w:eastAsia="Times New Roman" w:cstheme="minorBidi"/>
                <w:b/>
                <w:bCs w:val="0"/>
                <w:color w:val="auto"/>
                <w:kern w:val="2"/>
                <w:sz w:val="20"/>
                <w:szCs w:val="20"/>
                <w:highlight w:val="none"/>
                <w:lang w:val="en-US" w:eastAsia="zh-CN" w:bidi="ar-SA"/>
              </w:rPr>
              <w:t>表</w:t>
            </w:r>
            <w:r>
              <w:rPr>
                <w:rFonts w:hint="default" w:ascii="Times New Roman" w:hAnsi="Times New Roman" w:eastAsia="Times New Roman" w:cstheme="minorBidi"/>
                <w:b/>
                <w:bCs w:val="0"/>
                <w:color w:val="auto"/>
                <w:kern w:val="2"/>
                <w:sz w:val="20"/>
                <w:szCs w:val="20"/>
                <w:highlight w:val="none"/>
                <w:lang w:val="en-US" w:eastAsia="zh-CN" w:bidi="ar-SA"/>
              </w:rPr>
              <w:t>6</w:t>
            </w:r>
            <w:r>
              <w:rPr>
                <w:rFonts w:hint="eastAsia" w:ascii="Times New Roman" w:hAnsi="Times New Roman" w:eastAsia="Times New Roman" w:cstheme="minorBidi"/>
                <w:b/>
                <w:bCs w:val="0"/>
                <w:color w:val="auto"/>
                <w:kern w:val="2"/>
                <w:sz w:val="20"/>
                <w:szCs w:val="20"/>
                <w:highlight w:val="none"/>
                <w:lang w:val="en-US" w:eastAsia="zh-CN" w:bidi="ar-SA"/>
              </w:rPr>
              <w:t>政策效果优化的检验结果中的其他变量</w:t>
            </w:r>
          </w:p>
        </w:tc>
      </w:tr>
      <w:tr w14:paraId="416CFD47">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top w:val="single" w:color="auto" w:sz="4" w:space="0"/>
            </w:tcBorders>
            <w:shd w:val="clear" w:color="auto" w:fill="auto"/>
            <w:noWrap/>
            <w:vAlign w:val="center"/>
          </w:tcPr>
          <w:p w14:paraId="164C70D4">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eastAsia="Times New Roman" w:cstheme="minorBidi"/>
                <w:bCs/>
                <w:i/>
                <w:iCs/>
                <w:color w:val="auto"/>
                <w:kern w:val="2"/>
                <w:sz w:val="20"/>
                <w:szCs w:val="20"/>
                <w:highlight w:val="none"/>
                <w:lang w:val="en-US" w:eastAsia="zh-CN" w:bidi="ar-SA"/>
              </w:rPr>
            </w:pPr>
            <w:r>
              <w:rPr>
                <w:rFonts w:ascii="Times New Roman" w:hAnsi="Times New Roman" w:eastAsia="Times New Roman" w:cstheme="minorBidi"/>
                <w:bCs/>
                <w:i/>
                <w:iCs/>
                <w:color w:val="auto"/>
                <w:kern w:val="2"/>
                <w:sz w:val="20"/>
                <w:szCs w:val="20"/>
                <w:highlight w:val="none"/>
                <w:lang w:val="en-US" w:eastAsia="zh-CN" w:bidi="ar-SA"/>
              </w:rPr>
              <w:t>default</w:t>
            </w:r>
          </w:p>
        </w:tc>
        <w:tc>
          <w:tcPr>
            <w:tcW w:w="7818" w:type="dxa"/>
            <w:gridSpan w:val="2"/>
            <w:tcBorders>
              <w:top w:val="single" w:color="auto" w:sz="4" w:space="0"/>
            </w:tcBorders>
            <w:shd w:val="clear" w:color="auto" w:fill="auto"/>
            <w:noWrap/>
            <w:vAlign w:val="bottom"/>
          </w:tcPr>
          <w:p w14:paraId="6967E15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eastAsia="Times New Roman" w:cstheme="minorBidi"/>
                <w:bCs/>
                <w:color w:val="auto"/>
                <w:kern w:val="2"/>
                <w:sz w:val="20"/>
                <w:szCs w:val="20"/>
                <w:highlight w:val="none"/>
                <w:lang w:val="en-US" w:eastAsia="zh-CN" w:bidi="ar-SA"/>
              </w:rPr>
            </w:pPr>
            <w:r>
              <w:rPr>
                <w:rFonts w:hint="eastAsia" w:ascii="Times New Roman" w:hAnsi="Times New Roman" w:eastAsia="Times New Roman" w:cstheme="minorBidi"/>
                <w:bCs/>
                <w:color w:val="auto"/>
                <w:kern w:val="2"/>
                <w:sz w:val="20"/>
                <w:szCs w:val="20"/>
                <w:highlight w:val="none"/>
                <w:lang w:val="en-US" w:eastAsia="zh-CN" w:bidi="ar-SA"/>
              </w:rPr>
              <w:t>如果在地级市城投企业发生第一起非标资产违约事件及以后，</w:t>
            </w:r>
            <w:r>
              <w:rPr>
                <w:rFonts w:ascii="Times New Roman" w:hAnsi="Times New Roman" w:eastAsia="Times New Roman" w:cstheme="minorBidi"/>
                <w:bCs/>
                <w:i/>
                <w:iCs/>
                <w:color w:val="auto"/>
                <w:kern w:val="2"/>
                <w:sz w:val="20"/>
                <w:szCs w:val="20"/>
                <w:highlight w:val="none"/>
                <w:lang w:val="en-US" w:eastAsia="zh-CN" w:bidi="ar-SA"/>
              </w:rPr>
              <w:t>default</w:t>
            </w:r>
            <w:r>
              <w:rPr>
                <w:rFonts w:hint="eastAsia" w:ascii="Times New Roman" w:hAnsi="Times New Roman" w:eastAsia="Times New Roman" w:cstheme="minorBidi"/>
                <w:bCs/>
                <w:color w:val="auto"/>
                <w:kern w:val="2"/>
                <w:sz w:val="20"/>
                <w:szCs w:val="20"/>
                <w:highlight w:val="none"/>
                <w:lang w:val="en-US" w:eastAsia="zh-CN" w:bidi="ar-SA"/>
              </w:rPr>
              <w:t>取值为</w:t>
            </w:r>
            <w:r>
              <w:rPr>
                <w:rFonts w:ascii="Times New Roman" w:hAnsi="Times New Roman" w:eastAsia="Times New Roman" w:cstheme="minorBidi"/>
                <w:bCs/>
                <w:color w:val="auto"/>
                <w:kern w:val="2"/>
                <w:sz w:val="20"/>
                <w:szCs w:val="20"/>
                <w:highlight w:val="none"/>
                <w:lang w:val="en-US" w:eastAsia="zh-CN" w:bidi="ar-SA"/>
              </w:rPr>
              <w:t>1</w:t>
            </w:r>
            <w:r>
              <w:rPr>
                <w:rFonts w:hint="eastAsia" w:ascii="Times New Roman" w:hAnsi="Times New Roman" w:eastAsia="Times New Roman" w:cstheme="minorBidi"/>
                <w:bCs/>
                <w:color w:val="auto"/>
                <w:kern w:val="2"/>
                <w:sz w:val="20"/>
                <w:szCs w:val="20"/>
                <w:highlight w:val="none"/>
                <w:lang w:val="en-US" w:eastAsia="zh-CN" w:bidi="ar-SA"/>
              </w:rPr>
              <w:t>，否则取值为</w:t>
            </w:r>
            <w:r>
              <w:rPr>
                <w:rFonts w:ascii="Times New Roman" w:hAnsi="Times New Roman" w:eastAsia="Times New Roman" w:cstheme="minorBidi"/>
                <w:bCs/>
                <w:color w:val="auto"/>
                <w:kern w:val="2"/>
                <w:sz w:val="20"/>
                <w:szCs w:val="20"/>
                <w:highlight w:val="none"/>
                <w:lang w:val="en-US" w:eastAsia="zh-CN" w:bidi="ar-SA"/>
              </w:rPr>
              <w:t>0</w:t>
            </w:r>
          </w:p>
        </w:tc>
      </w:tr>
      <w:tr w14:paraId="7CE6523A">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6E23AF68">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eastAsia="Times New Roman" w:cstheme="minorBidi"/>
                <w:bCs/>
                <w:i/>
                <w:iCs/>
                <w:color w:val="auto"/>
                <w:kern w:val="2"/>
                <w:sz w:val="20"/>
                <w:szCs w:val="20"/>
                <w:highlight w:val="none"/>
                <w:lang w:val="en-US" w:eastAsia="zh-CN" w:bidi="ar-SA"/>
              </w:rPr>
            </w:pPr>
            <w:r>
              <w:rPr>
                <w:rFonts w:ascii="Times New Roman" w:hAnsi="Times New Roman" w:eastAsia="Times New Roman" w:cstheme="minorBidi"/>
                <w:bCs/>
                <w:i/>
                <w:iCs/>
                <w:color w:val="auto"/>
                <w:kern w:val="2"/>
                <w:sz w:val="20"/>
                <w:szCs w:val="20"/>
                <w:highlight w:val="none"/>
                <w:lang w:val="en-US" w:eastAsia="zh-CN" w:bidi="ar-SA"/>
              </w:rPr>
              <w:t>debtratio</w:t>
            </w:r>
          </w:p>
        </w:tc>
        <w:tc>
          <w:tcPr>
            <w:tcW w:w="7818" w:type="dxa"/>
            <w:gridSpan w:val="2"/>
            <w:shd w:val="clear" w:color="auto" w:fill="auto"/>
            <w:noWrap/>
            <w:vAlign w:val="bottom"/>
          </w:tcPr>
          <w:p w14:paraId="4C6F3063">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eastAsia="Times New Roman" w:cstheme="minorBidi"/>
                <w:bCs/>
                <w:color w:val="auto"/>
                <w:kern w:val="2"/>
                <w:sz w:val="20"/>
                <w:szCs w:val="20"/>
                <w:highlight w:val="none"/>
                <w:lang w:val="en-US" w:eastAsia="zh-CN" w:bidi="ar-SA"/>
              </w:rPr>
            </w:pPr>
            <w:r>
              <w:rPr>
                <w:rFonts w:hint="eastAsia" w:ascii="Times New Roman" w:hAnsi="Times New Roman" w:eastAsia="Times New Roman" w:cstheme="minorBidi"/>
                <w:bCs/>
                <w:color w:val="auto"/>
                <w:kern w:val="2"/>
                <w:sz w:val="20"/>
                <w:szCs w:val="20"/>
                <w:highlight w:val="none"/>
                <w:lang w:val="en-US" w:eastAsia="zh-CN" w:bidi="ar-SA"/>
              </w:rPr>
              <w:t>地方政府债务风险，基于地区融资平台公司有息债务余额（包括短期借款、应付票据、应付短期债券、长期借款以及应付长期债券的合计金额）与地区GDP的比值衡量</w:t>
            </w:r>
          </w:p>
        </w:tc>
      </w:tr>
      <w:tr w14:paraId="1AA486A2">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80" w:type="dxa"/>
            <w:shd w:val="clear" w:color="auto" w:fill="auto"/>
            <w:noWrap/>
            <w:vAlign w:val="center"/>
          </w:tcPr>
          <w:p w14:paraId="68D689DC">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eastAsia="Times New Roman" w:cstheme="minorBidi"/>
                <w:bCs/>
                <w:i/>
                <w:iCs/>
                <w:color w:val="auto"/>
                <w:kern w:val="2"/>
                <w:sz w:val="20"/>
                <w:szCs w:val="20"/>
                <w:highlight w:val="none"/>
                <w:lang w:val="en-US" w:eastAsia="zh-CN" w:bidi="ar-SA"/>
              </w:rPr>
            </w:pPr>
            <w:r>
              <w:rPr>
                <w:rFonts w:ascii="Times New Roman" w:hAnsi="Times New Roman" w:eastAsia="Times New Roman" w:cstheme="minorBidi"/>
                <w:bCs/>
                <w:i/>
                <w:iCs/>
                <w:color w:val="auto"/>
                <w:kern w:val="2"/>
                <w:sz w:val="20"/>
                <w:szCs w:val="20"/>
                <w:highlight w:val="none"/>
                <w:lang w:val="en-US" w:eastAsia="zh-CN" w:bidi="ar-SA"/>
              </w:rPr>
              <w:t>dkbf_baidu</w:t>
            </w:r>
          </w:p>
        </w:tc>
        <w:tc>
          <w:tcPr>
            <w:tcW w:w="7818" w:type="dxa"/>
            <w:gridSpan w:val="2"/>
            <w:shd w:val="clear" w:color="auto" w:fill="auto"/>
            <w:noWrap/>
            <w:vAlign w:val="bottom"/>
          </w:tcPr>
          <w:p w14:paraId="321809D9">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eastAsia="Times New Roman" w:cstheme="minorBidi"/>
                <w:bCs/>
                <w:color w:val="auto"/>
                <w:kern w:val="2"/>
                <w:sz w:val="20"/>
                <w:szCs w:val="20"/>
                <w:highlight w:val="none"/>
                <w:lang w:val="en-US" w:eastAsia="zh-CN" w:bidi="ar-SA"/>
              </w:rPr>
            </w:pPr>
            <w:r>
              <w:rPr>
                <w:rFonts w:ascii="Times New Roman" w:hAnsi="Times New Roman" w:eastAsia="Times New Roman" w:cstheme="minorBidi"/>
                <w:bCs/>
                <w:color w:val="auto"/>
                <w:kern w:val="2"/>
                <w:sz w:val="20"/>
                <w:szCs w:val="20"/>
                <w:highlight w:val="none"/>
                <w:lang w:val="en-US" w:eastAsia="zh-CN" w:bidi="ar-SA"/>
              </w:rPr>
              <w:t>通过百度指数收集提供帮扶地区对被帮扶地区的名称词条进行搜索的结果，将互联网年均搜索频数作为统计指标，来反映各提供帮扶省市对被帮扶地区的关注情况，搜索指数越高则代表关注度越高。并据此将对口帮扶政策的结对模式分为关注度高组（搜索指数高于每年的中位数</w:t>
            </w:r>
            <w:r>
              <w:rPr>
                <w:rFonts w:ascii="Times New Roman" w:hAnsi="Times New Roman" w:eastAsia="Times New Roman" w:cstheme="minorBidi"/>
                <w:bCs/>
                <w:i/>
                <w:iCs/>
                <w:color w:val="auto"/>
                <w:kern w:val="2"/>
                <w:sz w:val="20"/>
                <w:szCs w:val="20"/>
                <w:highlight w:val="none"/>
                <w:lang w:val="en-US" w:eastAsia="zh-CN" w:bidi="ar-SA"/>
              </w:rPr>
              <w:t>dkbf_baidu1</w:t>
            </w:r>
            <w:r>
              <w:rPr>
                <w:rFonts w:ascii="Times New Roman" w:hAnsi="Times New Roman" w:eastAsia="Times New Roman" w:cstheme="minorBidi"/>
                <w:bCs/>
                <w:color w:val="auto"/>
                <w:kern w:val="2"/>
                <w:sz w:val="20"/>
                <w:szCs w:val="20"/>
                <w:highlight w:val="none"/>
                <w:lang w:val="en-US" w:eastAsia="zh-CN" w:bidi="ar-SA"/>
              </w:rPr>
              <w:t>取值为1，否则为0）和关注度低组（搜索指数低于每年的中位数</w:t>
            </w:r>
            <w:r>
              <w:rPr>
                <w:rFonts w:ascii="Times New Roman" w:hAnsi="Times New Roman" w:eastAsia="Times New Roman" w:cstheme="minorBidi"/>
                <w:bCs/>
                <w:i/>
                <w:iCs/>
                <w:color w:val="auto"/>
                <w:kern w:val="2"/>
                <w:sz w:val="20"/>
                <w:szCs w:val="20"/>
                <w:highlight w:val="none"/>
                <w:lang w:val="en-US" w:eastAsia="zh-CN" w:bidi="ar-SA"/>
              </w:rPr>
              <w:t>dkbf_baidu0</w:t>
            </w:r>
            <w:r>
              <w:rPr>
                <w:rFonts w:ascii="Times New Roman" w:hAnsi="Times New Roman" w:eastAsia="Times New Roman" w:cstheme="minorBidi"/>
                <w:bCs/>
                <w:color w:val="auto"/>
                <w:kern w:val="2"/>
                <w:sz w:val="20"/>
                <w:szCs w:val="20"/>
                <w:highlight w:val="none"/>
                <w:lang w:val="en-US" w:eastAsia="zh-CN" w:bidi="ar-SA"/>
              </w:rPr>
              <w:t>取值为1，否则为0）</w:t>
            </w:r>
          </w:p>
        </w:tc>
      </w:tr>
      <w:tr w14:paraId="11ECF96D">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bottom w:val="single" w:color="auto" w:sz="4" w:space="0"/>
            </w:tcBorders>
            <w:shd w:val="clear" w:color="auto" w:fill="auto"/>
            <w:noWrap/>
            <w:vAlign w:val="center"/>
          </w:tcPr>
          <w:p w14:paraId="6ECFEF9C">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eastAsia="Times New Roman" w:cstheme="minorBidi"/>
                <w:bCs/>
                <w:i/>
                <w:iCs/>
                <w:color w:val="auto"/>
                <w:kern w:val="2"/>
                <w:sz w:val="20"/>
                <w:szCs w:val="20"/>
                <w:highlight w:val="none"/>
                <w:lang w:val="en-US" w:eastAsia="zh-CN" w:bidi="ar-SA"/>
              </w:rPr>
            </w:pPr>
            <w:r>
              <w:rPr>
                <w:rFonts w:ascii="Times New Roman" w:hAnsi="Times New Roman" w:eastAsia="Times New Roman" w:cstheme="minorBidi"/>
                <w:bCs/>
                <w:i/>
                <w:iCs/>
                <w:color w:val="auto"/>
                <w:kern w:val="2"/>
                <w:sz w:val="20"/>
                <w:szCs w:val="20"/>
                <w:highlight w:val="none"/>
                <w:lang w:val="en-US" w:eastAsia="zh-CN" w:bidi="ar-SA"/>
              </w:rPr>
              <w:t>dkbf_pop</w:t>
            </w:r>
          </w:p>
        </w:tc>
        <w:tc>
          <w:tcPr>
            <w:tcW w:w="7818" w:type="dxa"/>
            <w:gridSpan w:val="2"/>
            <w:tcBorders>
              <w:bottom w:val="single" w:color="auto" w:sz="4" w:space="0"/>
            </w:tcBorders>
            <w:shd w:val="clear" w:color="auto" w:fill="auto"/>
            <w:noWrap/>
            <w:vAlign w:val="bottom"/>
          </w:tcPr>
          <w:p w14:paraId="20FF8A66">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eastAsia" w:ascii="Times New Roman" w:hAnsi="Times New Roman" w:eastAsia="Times New Roman" w:cstheme="minorBidi"/>
                <w:bCs/>
                <w:color w:val="auto"/>
                <w:kern w:val="2"/>
                <w:sz w:val="20"/>
                <w:szCs w:val="20"/>
                <w:highlight w:val="none"/>
                <w:lang w:val="en-US" w:eastAsia="zh-CN" w:bidi="ar-SA"/>
              </w:rPr>
            </w:pPr>
            <w:r>
              <w:rPr>
                <w:rFonts w:ascii="Times New Roman" w:hAnsi="Times New Roman" w:eastAsia="Times New Roman" w:cstheme="minorBidi"/>
                <w:bCs/>
                <w:color w:val="auto"/>
                <w:kern w:val="2"/>
                <w:sz w:val="20"/>
                <w:szCs w:val="20"/>
                <w:highlight w:val="none"/>
                <w:lang w:val="en-US" w:eastAsia="zh-CN" w:bidi="ar-SA"/>
              </w:rPr>
              <w:t>首先根据2020年第七次全国人口普查数据中的迁移数据，通过“现住地和五年前常住地”识别省市（市市）之间的人口流动活跃程度，以各东部帮扶省市到西部被帮扶地级市的流动人口占西部被帮扶地级市人口总量的比例度量。在此基础上，将对口帮扶政策的结对模式分为人口流动活跃度高组（流动人口占比高于中位数</w:t>
            </w:r>
            <w:r>
              <w:rPr>
                <w:rFonts w:ascii="Times New Roman" w:hAnsi="Times New Roman" w:eastAsia="Times New Roman" w:cstheme="minorBidi"/>
                <w:bCs/>
                <w:i/>
                <w:iCs/>
                <w:color w:val="auto"/>
                <w:kern w:val="2"/>
                <w:sz w:val="20"/>
                <w:szCs w:val="20"/>
                <w:highlight w:val="none"/>
                <w:lang w:val="en-US" w:eastAsia="zh-CN" w:bidi="ar-SA"/>
              </w:rPr>
              <w:t>dkbf_pop1</w:t>
            </w:r>
            <w:r>
              <w:rPr>
                <w:rFonts w:ascii="Times New Roman" w:hAnsi="Times New Roman" w:eastAsia="Times New Roman" w:cstheme="minorBidi"/>
                <w:bCs/>
                <w:color w:val="auto"/>
                <w:kern w:val="2"/>
                <w:sz w:val="20"/>
                <w:szCs w:val="20"/>
                <w:highlight w:val="none"/>
                <w:lang w:val="en-US" w:eastAsia="zh-CN" w:bidi="ar-SA"/>
              </w:rPr>
              <w:t>取值为1，否则为0）和人口流动活跃度低组（流动人口占比低于中位数</w:t>
            </w:r>
            <w:r>
              <w:rPr>
                <w:rFonts w:ascii="Times New Roman" w:hAnsi="Times New Roman" w:eastAsia="Times New Roman" w:cstheme="minorBidi"/>
                <w:bCs/>
                <w:i/>
                <w:iCs/>
                <w:color w:val="auto"/>
                <w:kern w:val="2"/>
                <w:sz w:val="20"/>
                <w:szCs w:val="20"/>
                <w:highlight w:val="none"/>
                <w:lang w:val="en-US" w:eastAsia="zh-CN" w:bidi="ar-SA"/>
              </w:rPr>
              <w:t>dkbf_pop0</w:t>
            </w:r>
            <w:r>
              <w:rPr>
                <w:rFonts w:ascii="Times New Roman" w:hAnsi="Times New Roman" w:eastAsia="Times New Roman" w:cstheme="minorBidi"/>
                <w:bCs/>
                <w:color w:val="auto"/>
                <w:kern w:val="2"/>
                <w:sz w:val="20"/>
                <w:szCs w:val="20"/>
                <w:highlight w:val="none"/>
                <w:lang w:val="en-US" w:eastAsia="zh-CN" w:bidi="ar-SA"/>
              </w:rPr>
              <w:t>取值为1，否则为0）</w:t>
            </w:r>
          </w:p>
        </w:tc>
      </w:tr>
      <w:tr w14:paraId="77F13E41">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9198" w:type="dxa"/>
            <w:gridSpan w:val="3"/>
            <w:tcBorders>
              <w:top w:val="single" w:color="auto" w:sz="4" w:space="0"/>
              <w:bottom w:val="single" w:color="auto" w:sz="4" w:space="0"/>
            </w:tcBorders>
            <w:shd w:val="clear" w:color="auto" w:fill="D7D7D7" w:themeFill="background1" w:themeFillShade="D8"/>
            <w:noWrap/>
            <w:vAlign w:val="center"/>
          </w:tcPr>
          <w:p w14:paraId="4093541F">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eastAsia="Times New Roman" w:cstheme="minorBidi"/>
                <w:b/>
                <w:bCs w:val="0"/>
                <w:color w:val="auto"/>
                <w:kern w:val="2"/>
                <w:sz w:val="20"/>
                <w:szCs w:val="20"/>
                <w:highlight w:val="lightGray"/>
                <w:lang w:val="en-US" w:eastAsia="zh-CN" w:bidi="ar-SA"/>
              </w:rPr>
            </w:pPr>
            <w:r>
              <w:rPr>
                <w:rFonts w:hint="eastAsia" w:ascii="Times New Roman" w:hAnsi="Times New Roman" w:eastAsia="Times New Roman" w:cstheme="minorBidi"/>
                <w:b/>
                <w:bCs w:val="0"/>
                <w:color w:val="auto"/>
                <w:kern w:val="2"/>
                <w:sz w:val="20"/>
                <w:szCs w:val="20"/>
                <w:highlight w:val="none"/>
                <w:lang w:val="en-US" w:eastAsia="zh-CN" w:bidi="ar-SA"/>
              </w:rPr>
              <w:t>稳健性检验中的其他变量</w:t>
            </w:r>
          </w:p>
        </w:tc>
      </w:tr>
      <w:tr w14:paraId="290ADF01">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tcBorders>
              <w:top w:val="single" w:color="auto" w:sz="4" w:space="0"/>
            </w:tcBorders>
            <w:shd w:val="clear" w:color="auto" w:fill="auto"/>
            <w:noWrap/>
            <w:vAlign w:val="center"/>
          </w:tcPr>
          <w:p w14:paraId="37AD7F59">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eastAsia="Times New Roman" w:cstheme="minorBidi"/>
                <w:bCs/>
                <w:i/>
                <w:iCs/>
                <w:color w:val="auto"/>
                <w:kern w:val="2"/>
                <w:sz w:val="20"/>
                <w:szCs w:val="20"/>
                <w:highlight w:val="none"/>
                <w:lang w:val="en-US" w:eastAsia="zh-CN" w:bidi="ar-SA"/>
              </w:rPr>
            </w:pPr>
            <w:r>
              <w:rPr>
                <w:rFonts w:hint="eastAsia" w:ascii="Times New Roman" w:hAnsi="Times New Roman" w:eastAsia="Times New Roman" w:cstheme="minorBidi"/>
                <w:bCs/>
                <w:i/>
                <w:iCs/>
                <w:color w:val="auto"/>
                <w:kern w:val="2"/>
                <w:sz w:val="20"/>
                <w:szCs w:val="20"/>
                <w:highlight w:val="none"/>
                <w:lang w:val="en-US" w:eastAsia="zh-CN" w:bidi="ar-SA"/>
              </w:rPr>
              <w:t>op</w:t>
            </w:r>
          </w:p>
        </w:tc>
        <w:tc>
          <w:tcPr>
            <w:tcW w:w="7818" w:type="dxa"/>
            <w:gridSpan w:val="2"/>
            <w:tcBorders>
              <w:top w:val="single" w:color="auto" w:sz="4" w:space="0"/>
            </w:tcBorders>
            <w:shd w:val="clear" w:color="auto" w:fill="auto"/>
            <w:noWrap/>
            <w:vAlign w:val="bottom"/>
          </w:tcPr>
          <w:p w14:paraId="2AB4C88D">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eastAsia" w:ascii="Times New Roman" w:hAnsi="Times New Roman" w:eastAsia="Times New Roman" w:cstheme="minorBidi"/>
                <w:bCs/>
                <w:color w:val="auto"/>
                <w:kern w:val="2"/>
                <w:sz w:val="20"/>
                <w:szCs w:val="20"/>
                <w:highlight w:val="none"/>
                <w:lang w:val="en-US" w:eastAsia="zh-CN" w:bidi="ar-SA"/>
              </w:rPr>
            </w:pPr>
            <w:r>
              <w:rPr>
                <w:rFonts w:ascii="Times New Roman" w:hAnsi="Times New Roman" w:eastAsia="Times New Roman" w:cstheme="minorBidi"/>
                <w:bCs/>
                <w:color w:val="auto"/>
                <w:kern w:val="2"/>
                <w:sz w:val="20"/>
                <w:szCs w:val="20"/>
                <w:highlight w:val="none"/>
                <w:lang w:val="en-US" w:eastAsia="zh-CN" w:bidi="ar-SA"/>
              </w:rPr>
              <w:t>以二级市场价格作为基准，通过发行票面利率与上市首日到期收益率的差值测算得城投债一二级价差</w:t>
            </w:r>
            <w:r>
              <w:rPr>
                <w:rFonts w:ascii="Times New Roman" w:hAnsi="Times New Roman" w:eastAsia="Times New Roman" w:cstheme="minorBidi"/>
                <w:bCs/>
                <w:i/>
                <w:iCs/>
                <w:color w:val="auto"/>
                <w:kern w:val="2"/>
                <w:sz w:val="20"/>
                <w:szCs w:val="20"/>
                <w:highlight w:val="none"/>
                <w:lang w:val="en-US" w:eastAsia="zh-CN" w:bidi="ar-SA"/>
              </w:rPr>
              <w:t>op</w:t>
            </w:r>
          </w:p>
        </w:tc>
      </w:tr>
      <w:tr w14:paraId="43E92419">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357BA2DB">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eastAsia" w:ascii="Times New Roman" w:hAnsi="Times New Roman" w:eastAsia="Times New Roman" w:cstheme="minorBidi"/>
                <w:bCs/>
                <w:i/>
                <w:iCs/>
                <w:color w:val="auto"/>
                <w:kern w:val="2"/>
                <w:sz w:val="20"/>
                <w:szCs w:val="20"/>
                <w:highlight w:val="none"/>
                <w:lang w:val="en-US" w:eastAsia="zh-CN" w:bidi="ar-SA"/>
              </w:rPr>
            </w:pPr>
            <w:r>
              <w:rPr>
                <w:rFonts w:hint="eastAsia" w:ascii="Times New Roman" w:hAnsi="Times New Roman" w:eastAsia="Times New Roman" w:cstheme="minorBidi"/>
                <w:bCs/>
                <w:i/>
                <w:iCs/>
                <w:color w:val="auto"/>
                <w:kern w:val="2"/>
                <w:sz w:val="20"/>
                <w:szCs w:val="20"/>
                <w:highlight w:val="none"/>
                <w:lang w:val="en-US" w:eastAsia="zh-CN" w:bidi="ar-SA"/>
              </w:rPr>
              <w:t>trend_gpd</w:t>
            </w:r>
          </w:p>
        </w:tc>
        <w:tc>
          <w:tcPr>
            <w:tcW w:w="7818" w:type="dxa"/>
            <w:gridSpan w:val="2"/>
            <w:shd w:val="clear" w:color="auto" w:fill="auto"/>
            <w:noWrap/>
            <w:vAlign w:val="bottom"/>
          </w:tcPr>
          <w:p w14:paraId="2A48C79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eastAsia" w:ascii="Times New Roman" w:hAnsi="Times New Roman" w:eastAsia="Times New Roman" w:cstheme="minorBidi"/>
                <w:bCs/>
                <w:color w:val="auto"/>
                <w:kern w:val="2"/>
                <w:sz w:val="20"/>
                <w:szCs w:val="20"/>
                <w:highlight w:val="none"/>
                <w:lang w:val="en-US" w:eastAsia="zh-CN" w:bidi="ar-SA"/>
              </w:rPr>
            </w:pPr>
            <w:r>
              <w:rPr>
                <w:rFonts w:ascii="Times New Roman" w:hAnsi="Times New Roman" w:eastAsia="Times New Roman" w:cstheme="minorBidi"/>
                <w:bCs/>
                <w:color w:val="auto"/>
                <w:kern w:val="2"/>
                <w:sz w:val="20"/>
                <w:szCs w:val="20"/>
                <w:highlight w:val="none"/>
                <w:lang w:val="en-US" w:eastAsia="zh-CN" w:bidi="ar-SA"/>
              </w:rPr>
              <w:t>经济发展因素</w:t>
            </w:r>
            <w:r>
              <w:rPr>
                <w:rFonts w:hint="eastAsia" w:ascii="Times New Roman" w:hAnsi="Times New Roman" w:eastAsia="Times New Roman" w:cstheme="minorBidi"/>
                <w:bCs/>
                <w:i/>
                <w:iCs/>
                <w:color w:val="auto"/>
                <w:kern w:val="2"/>
                <w:sz w:val="20"/>
                <w:szCs w:val="20"/>
                <w:highlight w:val="none"/>
                <w:lang w:val="en-US" w:eastAsia="zh-CN" w:bidi="ar-SA"/>
              </w:rPr>
              <w:t>gdp</w:t>
            </w:r>
            <w:r>
              <w:rPr>
                <w:rFonts w:ascii="Times New Roman" w:hAnsi="Times New Roman" w:eastAsia="Times New Roman" w:cstheme="minorBidi"/>
                <w:bCs/>
                <w:color w:val="auto"/>
                <w:kern w:val="2"/>
                <w:sz w:val="20"/>
                <w:szCs w:val="20"/>
                <w:highlight w:val="none"/>
                <w:lang w:val="en-US" w:eastAsia="zh-CN" w:bidi="ar-SA"/>
              </w:rPr>
              <w:t>与时间趋势项</w:t>
            </w:r>
            <w:r>
              <w:rPr>
                <w:rFonts w:hint="eastAsia" w:ascii="Times New Roman" w:hAnsi="Times New Roman" w:eastAsia="Times New Roman" w:cstheme="minorBidi"/>
                <w:bCs/>
                <w:i/>
                <w:iCs/>
                <w:color w:val="auto"/>
                <w:kern w:val="2"/>
                <w:sz w:val="20"/>
                <w:szCs w:val="20"/>
                <w:highlight w:val="none"/>
                <w:lang w:val="en-US" w:eastAsia="zh-CN" w:bidi="ar-SA"/>
              </w:rPr>
              <w:t>trend</w:t>
            </w:r>
            <w:r>
              <w:rPr>
                <w:rFonts w:ascii="Times New Roman" w:hAnsi="Times New Roman" w:eastAsia="Times New Roman" w:cstheme="minorBidi"/>
                <w:bCs/>
                <w:color w:val="auto"/>
                <w:kern w:val="2"/>
                <w:sz w:val="20"/>
                <w:szCs w:val="20"/>
                <w:highlight w:val="none"/>
                <w:lang w:val="en-US" w:eastAsia="zh-CN" w:bidi="ar-SA"/>
              </w:rPr>
              <w:t>的交乘项</w:t>
            </w:r>
            <w:r>
              <w:rPr>
                <w:rFonts w:hint="eastAsia" w:ascii="Times New Roman" w:hAnsi="Times New Roman" w:eastAsia="Times New Roman" w:cstheme="minorBidi"/>
                <w:bCs/>
                <w:color w:val="auto"/>
                <w:kern w:val="2"/>
                <w:sz w:val="20"/>
                <w:szCs w:val="20"/>
                <w:highlight w:val="none"/>
                <w:lang w:val="en-US" w:eastAsia="zh-CN" w:bidi="ar-SA"/>
              </w:rPr>
              <w:t>，</w:t>
            </w:r>
            <w:r>
              <w:rPr>
                <w:rFonts w:ascii="Times New Roman" w:hAnsi="Times New Roman" w:eastAsia="Times New Roman" w:cstheme="minorBidi"/>
                <w:bCs/>
                <w:color w:val="auto"/>
                <w:kern w:val="2"/>
                <w:sz w:val="20"/>
                <w:szCs w:val="20"/>
                <w:highlight w:val="none"/>
                <w:lang w:val="en-US" w:eastAsia="zh-CN" w:bidi="ar-SA"/>
              </w:rPr>
              <w:t>其中，经济发展因素</w:t>
            </w:r>
            <w:r>
              <w:rPr>
                <w:rFonts w:hint="eastAsia" w:ascii="Times New Roman" w:hAnsi="Times New Roman" w:eastAsia="Times New Roman" w:cstheme="minorBidi"/>
                <w:bCs/>
                <w:i/>
                <w:iCs/>
                <w:color w:val="auto"/>
                <w:kern w:val="2"/>
                <w:sz w:val="20"/>
                <w:szCs w:val="20"/>
                <w:highlight w:val="none"/>
                <w:lang w:val="en-US" w:eastAsia="zh-CN" w:bidi="ar-SA"/>
              </w:rPr>
              <w:t>gdp</w:t>
            </w:r>
            <w:r>
              <w:rPr>
                <w:rFonts w:hint="eastAsia" w:ascii="Times New Roman" w:hAnsi="Times New Roman" w:eastAsia="Times New Roman" w:cstheme="minorBidi"/>
                <w:bCs/>
                <w:color w:val="auto"/>
                <w:kern w:val="2"/>
                <w:sz w:val="20"/>
                <w:szCs w:val="20"/>
                <w:highlight w:val="none"/>
                <w:lang w:val="en-US" w:eastAsia="zh-CN" w:bidi="ar-SA"/>
              </w:rPr>
              <w:t>为</w:t>
            </w:r>
            <w:r>
              <w:rPr>
                <w:rFonts w:ascii="Times New Roman" w:hAnsi="Times New Roman" w:eastAsia="Times New Roman" w:cstheme="minorBidi"/>
                <w:bCs/>
                <w:color w:val="auto"/>
                <w:kern w:val="2"/>
                <w:sz w:val="20"/>
                <w:szCs w:val="20"/>
                <w:highlight w:val="none"/>
                <w:lang w:val="en-US" w:eastAsia="zh-CN" w:bidi="ar-SA"/>
              </w:rPr>
              <w:t>2012年的地区生产总值（取对数）</w:t>
            </w:r>
          </w:p>
        </w:tc>
      </w:tr>
      <w:tr w14:paraId="17641291">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1A0A82C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default" w:ascii="Times New Roman" w:hAnsi="Times New Roman" w:eastAsia="Times New Roman" w:cstheme="minorBidi"/>
                <w:bCs/>
                <w:i/>
                <w:iCs/>
                <w:color w:val="auto"/>
                <w:kern w:val="2"/>
                <w:sz w:val="20"/>
                <w:szCs w:val="20"/>
                <w:highlight w:val="none"/>
                <w:lang w:val="en-US" w:eastAsia="zh-CN" w:bidi="ar-SA"/>
              </w:rPr>
            </w:pPr>
            <w:r>
              <w:rPr>
                <w:rFonts w:hint="eastAsia" w:ascii="Times New Roman" w:hAnsi="Times New Roman" w:eastAsia="Times New Roman" w:cstheme="minorBidi"/>
                <w:bCs/>
                <w:i/>
                <w:iCs/>
                <w:color w:val="auto"/>
                <w:kern w:val="2"/>
                <w:sz w:val="20"/>
                <w:szCs w:val="20"/>
                <w:highlight w:val="none"/>
                <w:lang w:val="en-US" w:eastAsia="zh-CN" w:bidi="ar-SA"/>
              </w:rPr>
              <w:t>trend_poverty</w:t>
            </w:r>
          </w:p>
        </w:tc>
        <w:tc>
          <w:tcPr>
            <w:tcW w:w="7818" w:type="dxa"/>
            <w:gridSpan w:val="2"/>
            <w:shd w:val="clear" w:color="auto" w:fill="auto"/>
            <w:noWrap/>
            <w:vAlign w:val="bottom"/>
          </w:tcPr>
          <w:p w14:paraId="6FCB94FE">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eastAsia" w:ascii="Times New Roman" w:hAnsi="Times New Roman" w:eastAsia="Times New Roman" w:cstheme="minorBidi"/>
                <w:bCs/>
                <w:color w:val="auto"/>
                <w:kern w:val="2"/>
                <w:sz w:val="20"/>
                <w:szCs w:val="20"/>
                <w:highlight w:val="none"/>
                <w:lang w:val="en-US" w:eastAsia="zh-CN" w:bidi="ar-SA"/>
              </w:rPr>
            </w:pPr>
            <w:r>
              <w:rPr>
                <w:rFonts w:ascii="Times New Roman" w:hAnsi="Times New Roman" w:eastAsia="Times New Roman" w:cstheme="minorBidi"/>
                <w:bCs/>
                <w:color w:val="auto"/>
                <w:kern w:val="2"/>
                <w:sz w:val="20"/>
                <w:szCs w:val="20"/>
                <w:highlight w:val="none"/>
                <w:lang w:val="en-US" w:eastAsia="zh-CN" w:bidi="ar-SA"/>
              </w:rPr>
              <w:t>经济发展因素</w:t>
            </w:r>
            <w:r>
              <w:rPr>
                <w:rFonts w:hint="eastAsia" w:ascii="Times New Roman" w:hAnsi="Times New Roman" w:eastAsia="Times New Roman" w:cstheme="minorBidi"/>
                <w:bCs/>
                <w:i/>
                <w:iCs/>
                <w:color w:val="auto"/>
                <w:kern w:val="2"/>
                <w:sz w:val="20"/>
                <w:szCs w:val="20"/>
                <w:highlight w:val="none"/>
                <w:lang w:val="en-US" w:eastAsia="zh-CN" w:bidi="ar-SA"/>
              </w:rPr>
              <w:t>poverty</w:t>
            </w:r>
            <w:r>
              <w:rPr>
                <w:rFonts w:ascii="Times New Roman" w:hAnsi="Times New Roman" w:eastAsia="Times New Roman" w:cstheme="minorBidi"/>
                <w:bCs/>
                <w:color w:val="auto"/>
                <w:kern w:val="2"/>
                <w:sz w:val="20"/>
                <w:szCs w:val="20"/>
                <w:highlight w:val="none"/>
                <w:lang w:val="en-US" w:eastAsia="zh-CN" w:bidi="ar-SA"/>
              </w:rPr>
              <w:t>与时间趋势项</w:t>
            </w:r>
            <w:r>
              <w:rPr>
                <w:rFonts w:hint="eastAsia" w:ascii="Times New Roman" w:hAnsi="Times New Roman" w:eastAsia="Times New Roman" w:cstheme="minorBidi"/>
                <w:bCs/>
                <w:i/>
                <w:iCs/>
                <w:color w:val="auto"/>
                <w:kern w:val="2"/>
                <w:sz w:val="20"/>
                <w:szCs w:val="20"/>
                <w:highlight w:val="none"/>
                <w:lang w:val="en-US" w:eastAsia="zh-CN" w:bidi="ar-SA"/>
              </w:rPr>
              <w:t>trend</w:t>
            </w:r>
            <w:r>
              <w:rPr>
                <w:rFonts w:ascii="Times New Roman" w:hAnsi="Times New Roman" w:eastAsia="Times New Roman" w:cstheme="minorBidi"/>
                <w:bCs/>
                <w:color w:val="auto"/>
                <w:kern w:val="2"/>
                <w:sz w:val="20"/>
                <w:szCs w:val="20"/>
                <w:highlight w:val="none"/>
                <w:lang w:val="en-US" w:eastAsia="zh-CN" w:bidi="ar-SA"/>
              </w:rPr>
              <w:t>的交乘项</w:t>
            </w:r>
            <w:r>
              <w:rPr>
                <w:rFonts w:hint="eastAsia" w:ascii="Times New Roman" w:hAnsi="Times New Roman" w:eastAsia="Times New Roman" w:cstheme="minorBidi"/>
                <w:bCs/>
                <w:color w:val="auto"/>
                <w:kern w:val="2"/>
                <w:sz w:val="20"/>
                <w:szCs w:val="20"/>
                <w:highlight w:val="none"/>
                <w:lang w:val="en-US" w:eastAsia="zh-CN" w:bidi="ar-SA"/>
              </w:rPr>
              <w:t>，</w:t>
            </w:r>
            <w:r>
              <w:rPr>
                <w:rFonts w:ascii="Times New Roman" w:hAnsi="Times New Roman" w:eastAsia="Times New Roman" w:cstheme="minorBidi"/>
                <w:bCs/>
                <w:color w:val="auto"/>
                <w:kern w:val="2"/>
                <w:sz w:val="20"/>
                <w:szCs w:val="20"/>
                <w:highlight w:val="none"/>
                <w:lang w:val="en-US" w:eastAsia="zh-CN" w:bidi="ar-SA"/>
              </w:rPr>
              <w:t>其中，经济发展因素</w:t>
            </w:r>
            <w:r>
              <w:rPr>
                <w:rFonts w:hint="eastAsia" w:ascii="Times New Roman" w:hAnsi="Times New Roman" w:eastAsia="Times New Roman" w:cstheme="minorBidi"/>
                <w:bCs/>
                <w:i/>
                <w:iCs/>
                <w:color w:val="auto"/>
                <w:kern w:val="2"/>
                <w:sz w:val="20"/>
                <w:szCs w:val="20"/>
                <w:highlight w:val="none"/>
                <w:lang w:val="en-US" w:eastAsia="zh-CN" w:bidi="ar-SA"/>
              </w:rPr>
              <w:t>poverty</w:t>
            </w:r>
            <w:r>
              <w:rPr>
                <w:rFonts w:hint="eastAsia" w:ascii="Times New Roman" w:hAnsi="Times New Roman" w:eastAsia="Times New Roman" w:cstheme="minorBidi"/>
                <w:bCs/>
                <w:color w:val="auto"/>
                <w:kern w:val="2"/>
                <w:sz w:val="20"/>
                <w:szCs w:val="20"/>
                <w:highlight w:val="none"/>
                <w:lang w:val="en-US" w:eastAsia="zh-CN" w:bidi="ar-SA"/>
              </w:rPr>
              <w:t>为</w:t>
            </w:r>
            <w:r>
              <w:rPr>
                <w:rFonts w:ascii="Times New Roman" w:hAnsi="Times New Roman" w:eastAsia="Times New Roman" w:cstheme="minorBidi"/>
                <w:bCs/>
                <w:color w:val="auto"/>
                <w:kern w:val="2"/>
                <w:sz w:val="20"/>
                <w:szCs w:val="20"/>
                <w:highlight w:val="none"/>
                <w:lang w:val="en-US" w:eastAsia="zh-CN" w:bidi="ar-SA"/>
              </w:rPr>
              <w:t>2012年地级市中的国家级贫困县数量</w:t>
            </w:r>
          </w:p>
        </w:tc>
      </w:tr>
      <w:tr w14:paraId="3F6367AC">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jc w:val="center"/>
        </w:trPr>
        <w:tc>
          <w:tcPr>
            <w:tcW w:w="1380" w:type="dxa"/>
            <w:shd w:val="clear" w:color="auto" w:fill="auto"/>
            <w:noWrap/>
            <w:vAlign w:val="center"/>
          </w:tcPr>
          <w:p w14:paraId="0EB7FA40">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ascii="Times New Roman" w:hAnsi="Times New Roman" w:eastAsia="Times New Roman" w:cstheme="minorBidi"/>
                <w:bCs/>
                <w:i/>
                <w:iCs/>
                <w:color w:val="auto"/>
                <w:kern w:val="2"/>
                <w:sz w:val="20"/>
                <w:szCs w:val="20"/>
                <w:highlight w:val="none"/>
                <w:lang w:val="en-US" w:eastAsia="zh-CN" w:bidi="ar-SA"/>
              </w:rPr>
            </w:pPr>
            <w:r>
              <w:rPr>
                <w:rFonts w:hint="eastAsia" w:ascii="Times New Roman" w:hAnsi="Times New Roman" w:eastAsia="Times New Roman" w:cstheme="minorBidi"/>
                <w:bCs/>
                <w:i/>
                <w:iCs/>
                <w:color w:val="auto"/>
                <w:kern w:val="2"/>
                <w:sz w:val="20"/>
                <w:szCs w:val="20"/>
                <w:highlight w:val="none"/>
                <w:lang w:val="en-US" w:eastAsia="zh-CN" w:bidi="ar-SA"/>
              </w:rPr>
              <w:t>s</w:t>
            </w:r>
            <w:r>
              <w:rPr>
                <w:rFonts w:ascii="Times New Roman" w:hAnsi="Times New Roman" w:eastAsia="Times New Roman" w:cstheme="minorBidi"/>
                <w:bCs/>
                <w:i/>
                <w:iCs/>
                <w:color w:val="auto"/>
                <w:kern w:val="2"/>
                <w:sz w:val="20"/>
                <w:szCs w:val="20"/>
                <w:highlight w:val="none"/>
                <w:lang w:val="en-US" w:eastAsia="zh-CN" w:bidi="ar-SA"/>
              </w:rPr>
              <w:t>pread</w:t>
            </w:r>
            <w:r>
              <w:rPr>
                <w:rFonts w:hint="eastAsia" w:ascii="Times New Roman" w:hAnsi="Times New Roman" w:eastAsia="Times New Roman" w:cstheme="minorBidi"/>
                <w:bCs/>
                <w:i/>
                <w:iCs/>
                <w:color w:val="auto"/>
                <w:kern w:val="2"/>
                <w:sz w:val="20"/>
                <w:szCs w:val="20"/>
                <w:highlight w:val="none"/>
                <w:lang w:val="en-US" w:eastAsia="zh-CN" w:bidi="ar-SA"/>
              </w:rPr>
              <w:t>1</w:t>
            </w:r>
          </w:p>
        </w:tc>
        <w:tc>
          <w:tcPr>
            <w:tcW w:w="7818" w:type="dxa"/>
            <w:gridSpan w:val="2"/>
            <w:shd w:val="clear" w:color="auto" w:fill="auto"/>
            <w:noWrap/>
            <w:vAlign w:val="bottom"/>
          </w:tcPr>
          <w:p w14:paraId="57DEEFB4">
            <w:pPr>
              <w:keepNext w:val="0"/>
              <w:keepLines w:val="0"/>
              <w:pageBreakBefore w:val="0"/>
              <w:kinsoku/>
              <w:wordWrap/>
              <w:overflowPunct/>
              <w:topLinePunct w:val="0"/>
              <w:autoSpaceDE/>
              <w:autoSpaceDN/>
              <w:bidi w:val="0"/>
              <w:adjustRightInd/>
              <w:snapToGrid/>
              <w:spacing w:before="73" w:beforeLines="20" w:after="73" w:afterLines="20" w:line="240" w:lineRule="auto"/>
              <w:jc w:val="left"/>
              <w:rPr>
                <w:rFonts w:hint="eastAsia" w:ascii="Times New Roman" w:hAnsi="Times New Roman" w:eastAsia="Times New Roman" w:cstheme="minorBidi"/>
                <w:bCs/>
                <w:color w:val="auto"/>
                <w:kern w:val="2"/>
                <w:sz w:val="20"/>
                <w:szCs w:val="20"/>
                <w:highlight w:val="none"/>
                <w:lang w:val="en-US" w:eastAsia="zh-CN" w:bidi="ar-SA"/>
              </w:rPr>
            </w:pPr>
            <w:r>
              <w:rPr>
                <w:rFonts w:ascii="Times New Roman" w:hAnsi="Times New Roman" w:eastAsia="Times New Roman" w:cstheme="minorBidi"/>
                <w:bCs/>
                <w:color w:val="auto"/>
                <w:kern w:val="2"/>
                <w:sz w:val="20"/>
                <w:szCs w:val="20"/>
                <w:highlight w:val="none"/>
                <w:lang w:val="en-US" w:eastAsia="zh-CN" w:bidi="ar-SA"/>
              </w:rPr>
              <w:t>债券发行信用利差</w:t>
            </w:r>
            <w:r>
              <w:rPr>
                <w:rFonts w:hint="eastAsia" w:ascii="Times New Roman" w:hAnsi="Times New Roman" w:eastAsia="Times New Roman" w:cstheme="minorBidi"/>
                <w:bCs/>
                <w:color w:val="auto"/>
                <w:kern w:val="2"/>
                <w:sz w:val="20"/>
                <w:szCs w:val="20"/>
                <w:highlight w:val="none"/>
                <w:lang w:val="en-US" w:eastAsia="zh-CN" w:bidi="ar-SA"/>
              </w:rPr>
              <w:t>，等于</w:t>
            </w:r>
            <w:r>
              <w:rPr>
                <w:rFonts w:ascii="Times New Roman" w:hAnsi="Times New Roman" w:eastAsia="Times New Roman" w:cstheme="minorBidi"/>
                <w:bCs/>
                <w:color w:val="auto"/>
                <w:kern w:val="2"/>
                <w:sz w:val="20"/>
                <w:szCs w:val="20"/>
                <w:highlight w:val="none"/>
                <w:lang w:val="en-US" w:eastAsia="zh-CN" w:bidi="ar-SA"/>
              </w:rPr>
              <w:t>债券发行利率</w:t>
            </w:r>
            <w:r>
              <w:rPr>
                <w:rFonts w:hint="eastAsia" w:ascii="Times New Roman" w:hAnsi="Times New Roman" w:eastAsia="Times New Roman" w:cstheme="minorBidi"/>
                <w:bCs/>
                <w:color w:val="auto"/>
                <w:kern w:val="2"/>
                <w:sz w:val="20"/>
                <w:szCs w:val="20"/>
                <w:highlight w:val="none"/>
                <w:lang w:val="en-US" w:eastAsia="zh-CN" w:bidi="ar-SA"/>
              </w:rPr>
              <w:t>减</w:t>
            </w:r>
            <w:r>
              <w:rPr>
                <w:rFonts w:ascii="Times New Roman" w:hAnsi="Times New Roman" w:eastAsia="Times New Roman" w:cstheme="minorBidi"/>
                <w:bCs/>
                <w:color w:val="auto"/>
                <w:kern w:val="2"/>
                <w:sz w:val="20"/>
                <w:szCs w:val="20"/>
                <w:highlight w:val="none"/>
                <w:lang w:val="en-US" w:eastAsia="zh-CN" w:bidi="ar-SA"/>
              </w:rPr>
              <w:t>发行当日相同期限国开债到期收益率</w:t>
            </w:r>
            <w:r>
              <w:rPr>
                <w:rFonts w:hint="eastAsia" w:ascii="Times New Roman" w:hAnsi="Times New Roman" w:eastAsia="Times New Roman" w:cstheme="minorBidi"/>
                <w:bCs/>
                <w:color w:val="auto"/>
                <w:kern w:val="2"/>
                <w:sz w:val="20"/>
                <w:szCs w:val="20"/>
                <w:highlight w:val="none"/>
                <w:lang w:val="en-US" w:eastAsia="zh-CN" w:bidi="ar-SA"/>
              </w:rPr>
              <w:t>（%）</w:t>
            </w:r>
          </w:p>
        </w:tc>
      </w:tr>
    </w:tbl>
    <w:p w14:paraId="1D5CE719">
      <w:pPr>
        <w:keepNext w:val="0"/>
        <w:keepLines w:val="0"/>
        <w:pageBreakBefore w:val="0"/>
        <w:widowControl w:val="0"/>
        <w:kinsoku/>
        <w:wordWrap/>
        <w:overflowPunct/>
        <w:topLinePunct w:val="0"/>
        <w:autoSpaceDE/>
        <w:autoSpaceDN/>
        <w:bidi w:val="0"/>
        <w:adjustRightInd/>
        <w:snapToGrid/>
        <w:spacing w:line="276" w:lineRule="auto"/>
        <w:ind w:firstLine="280" w:firstLineChars="200"/>
        <w:textAlignment w:val="auto"/>
        <w:rPr>
          <w:rFonts w:hint="default" w:ascii="微软雅黑" w:hAnsi="微软雅黑" w:eastAsia="微软雅黑" w:cs="微软雅黑"/>
          <w:i w:val="0"/>
          <w:iCs w:val="0"/>
          <w:caps w:val="0"/>
          <w:color w:val="666666"/>
          <w:spacing w:val="0"/>
          <w:sz w:val="14"/>
          <w:szCs w:val="14"/>
          <w:shd w:val="clear" w:fill="FFFFFF"/>
          <w:lang w:val="en-US" w:eastAsia="zh-CN"/>
        </w:rPr>
      </w:pPr>
    </w:p>
    <w:sectPr>
      <w:footnotePr>
        <w:numFmt w:val="decimalEnclosedCircleChinese"/>
        <w:numRestart w:val="eachPage"/>
      </w:footnotePr>
      <w:pgSz w:w="12240" w:h="15840"/>
      <w:pgMar w:top="1440" w:right="1803" w:bottom="1440" w:left="1803" w:header="708" w:footer="709"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CA6E8D"/>
    <w:multiLevelType w:val="singleLevel"/>
    <w:tmpl w:val="D6CA6E8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xZWQxNmMyMGU0ZmE3MzQ4MTA3MDNhOTAwYjg0NWYifQ=="/>
  </w:docVars>
  <w:rsids>
    <w:rsidRoot w:val="00000000"/>
    <w:rsid w:val="000A002F"/>
    <w:rsid w:val="01802C9E"/>
    <w:rsid w:val="026B1259"/>
    <w:rsid w:val="029C1412"/>
    <w:rsid w:val="02BC3862"/>
    <w:rsid w:val="03011BBD"/>
    <w:rsid w:val="034B2E38"/>
    <w:rsid w:val="03836A76"/>
    <w:rsid w:val="03A34A22"/>
    <w:rsid w:val="03F4702C"/>
    <w:rsid w:val="0482288A"/>
    <w:rsid w:val="053A4F12"/>
    <w:rsid w:val="056D7096"/>
    <w:rsid w:val="05AE3027"/>
    <w:rsid w:val="06982838"/>
    <w:rsid w:val="06B34F7C"/>
    <w:rsid w:val="06C4362D"/>
    <w:rsid w:val="070752C8"/>
    <w:rsid w:val="07177C01"/>
    <w:rsid w:val="07AF1BE8"/>
    <w:rsid w:val="07EA2C20"/>
    <w:rsid w:val="07F41CF0"/>
    <w:rsid w:val="08512C9F"/>
    <w:rsid w:val="087E15BA"/>
    <w:rsid w:val="088C1F29"/>
    <w:rsid w:val="08DA03F7"/>
    <w:rsid w:val="090E6DE2"/>
    <w:rsid w:val="097E14B2"/>
    <w:rsid w:val="09DE67B4"/>
    <w:rsid w:val="0A122902"/>
    <w:rsid w:val="0A434869"/>
    <w:rsid w:val="0A546A76"/>
    <w:rsid w:val="0A621193"/>
    <w:rsid w:val="0A825391"/>
    <w:rsid w:val="0B9F3D21"/>
    <w:rsid w:val="0BB5252A"/>
    <w:rsid w:val="0BE81B6C"/>
    <w:rsid w:val="0C012C2E"/>
    <w:rsid w:val="0CA710DF"/>
    <w:rsid w:val="0D957AD2"/>
    <w:rsid w:val="0E230C39"/>
    <w:rsid w:val="0E5C05EF"/>
    <w:rsid w:val="0EC73CBB"/>
    <w:rsid w:val="0F3155D8"/>
    <w:rsid w:val="0F76748F"/>
    <w:rsid w:val="0F87344A"/>
    <w:rsid w:val="10C34956"/>
    <w:rsid w:val="11082369"/>
    <w:rsid w:val="11CC3396"/>
    <w:rsid w:val="11D34725"/>
    <w:rsid w:val="1211524D"/>
    <w:rsid w:val="121A05A5"/>
    <w:rsid w:val="12307395"/>
    <w:rsid w:val="137D703E"/>
    <w:rsid w:val="13DC1FB6"/>
    <w:rsid w:val="13E64BE3"/>
    <w:rsid w:val="13E7095B"/>
    <w:rsid w:val="13F84916"/>
    <w:rsid w:val="14092680"/>
    <w:rsid w:val="142851FC"/>
    <w:rsid w:val="14EA425F"/>
    <w:rsid w:val="156F29B6"/>
    <w:rsid w:val="15C060C7"/>
    <w:rsid w:val="16201F02"/>
    <w:rsid w:val="165247B2"/>
    <w:rsid w:val="174165D4"/>
    <w:rsid w:val="17822E75"/>
    <w:rsid w:val="179D7CAF"/>
    <w:rsid w:val="17B2302E"/>
    <w:rsid w:val="18003D99"/>
    <w:rsid w:val="18DA0A8E"/>
    <w:rsid w:val="194B373A"/>
    <w:rsid w:val="19524AC9"/>
    <w:rsid w:val="1A424B3D"/>
    <w:rsid w:val="1A907657"/>
    <w:rsid w:val="1A9B129F"/>
    <w:rsid w:val="1AAE5D2F"/>
    <w:rsid w:val="1AE96D67"/>
    <w:rsid w:val="1C0C5403"/>
    <w:rsid w:val="1C3C104C"/>
    <w:rsid w:val="1C6A2129"/>
    <w:rsid w:val="1CBD66FD"/>
    <w:rsid w:val="1CFE11EF"/>
    <w:rsid w:val="1D646B79"/>
    <w:rsid w:val="1D8F0099"/>
    <w:rsid w:val="1DB573D4"/>
    <w:rsid w:val="1DE86925"/>
    <w:rsid w:val="1E3649B9"/>
    <w:rsid w:val="1E62130A"/>
    <w:rsid w:val="1E6A6411"/>
    <w:rsid w:val="1F291E28"/>
    <w:rsid w:val="1F645556"/>
    <w:rsid w:val="204038CD"/>
    <w:rsid w:val="204C4020"/>
    <w:rsid w:val="20743577"/>
    <w:rsid w:val="2079293B"/>
    <w:rsid w:val="20B56069"/>
    <w:rsid w:val="20E9477C"/>
    <w:rsid w:val="211865F8"/>
    <w:rsid w:val="21311468"/>
    <w:rsid w:val="21771570"/>
    <w:rsid w:val="21CE6CB6"/>
    <w:rsid w:val="21ED1832"/>
    <w:rsid w:val="22192627"/>
    <w:rsid w:val="22511DC1"/>
    <w:rsid w:val="225E44DE"/>
    <w:rsid w:val="226E2973"/>
    <w:rsid w:val="22C407E5"/>
    <w:rsid w:val="22C5455D"/>
    <w:rsid w:val="238241FC"/>
    <w:rsid w:val="24F20F0E"/>
    <w:rsid w:val="24FF6042"/>
    <w:rsid w:val="252B4B4C"/>
    <w:rsid w:val="257D111F"/>
    <w:rsid w:val="25F807A6"/>
    <w:rsid w:val="25FC0296"/>
    <w:rsid w:val="25FD5DBC"/>
    <w:rsid w:val="26176E7E"/>
    <w:rsid w:val="26EA4592"/>
    <w:rsid w:val="27111B1F"/>
    <w:rsid w:val="27271343"/>
    <w:rsid w:val="27402404"/>
    <w:rsid w:val="2769195B"/>
    <w:rsid w:val="27BB7CDD"/>
    <w:rsid w:val="284321AC"/>
    <w:rsid w:val="286914E7"/>
    <w:rsid w:val="28862099"/>
    <w:rsid w:val="289B3D96"/>
    <w:rsid w:val="28BF09DE"/>
    <w:rsid w:val="29121B7F"/>
    <w:rsid w:val="29361D11"/>
    <w:rsid w:val="29932CBF"/>
    <w:rsid w:val="29AC3D81"/>
    <w:rsid w:val="2A461AE0"/>
    <w:rsid w:val="2AED28A3"/>
    <w:rsid w:val="2B2C517A"/>
    <w:rsid w:val="2B3E4EAD"/>
    <w:rsid w:val="2B4029D3"/>
    <w:rsid w:val="2B6761B2"/>
    <w:rsid w:val="2B8F74B6"/>
    <w:rsid w:val="2BA016C4"/>
    <w:rsid w:val="2BA80578"/>
    <w:rsid w:val="2BD1187D"/>
    <w:rsid w:val="2C7217DF"/>
    <w:rsid w:val="2C7A1F15"/>
    <w:rsid w:val="2CCA2E9C"/>
    <w:rsid w:val="2CDD482A"/>
    <w:rsid w:val="2D1B54A6"/>
    <w:rsid w:val="2D6329A9"/>
    <w:rsid w:val="2D686211"/>
    <w:rsid w:val="2DD92C6B"/>
    <w:rsid w:val="2DFB7085"/>
    <w:rsid w:val="2E0423DE"/>
    <w:rsid w:val="2E251DDB"/>
    <w:rsid w:val="2E6C1D31"/>
    <w:rsid w:val="2E782484"/>
    <w:rsid w:val="2F666780"/>
    <w:rsid w:val="2FA31782"/>
    <w:rsid w:val="2FB43990"/>
    <w:rsid w:val="2FD45DE0"/>
    <w:rsid w:val="300246FB"/>
    <w:rsid w:val="307355F9"/>
    <w:rsid w:val="30CE282F"/>
    <w:rsid w:val="30DC13F0"/>
    <w:rsid w:val="31745184"/>
    <w:rsid w:val="3195334D"/>
    <w:rsid w:val="328F13DA"/>
    <w:rsid w:val="32D54349"/>
    <w:rsid w:val="32D83E39"/>
    <w:rsid w:val="3307027A"/>
    <w:rsid w:val="34052A0C"/>
    <w:rsid w:val="341E7629"/>
    <w:rsid w:val="34496D9C"/>
    <w:rsid w:val="34580D8D"/>
    <w:rsid w:val="345E3ECA"/>
    <w:rsid w:val="34871673"/>
    <w:rsid w:val="357C4F4F"/>
    <w:rsid w:val="35D95EFE"/>
    <w:rsid w:val="36146F36"/>
    <w:rsid w:val="3628478F"/>
    <w:rsid w:val="36DA1F9A"/>
    <w:rsid w:val="37256F21"/>
    <w:rsid w:val="374675C3"/>
    <w:rsid w:val="37D921E5"/>
    <w:rsid w:val="37EB1F18"/>
    <w:rsid w:val="383E64EC"/>
    <w:rsid w:val="3882287D"/>
    <w:rsid w:val="3894435E"/>
    <w:rsid w:val="38A24CCD"/>
    <w:rsid w:val="395A7356"/>
    <w:rsid w:val="39671A73"/>
    <w:rsid w:val="39B34CB8"/>
    <w:rsid w:val="39CE641A"/>
    <w:rsid w:val="39DA0497"/>
    <w:rsid w:val="3A443B62"/>
    <w:rsid w:val="3A5B3385"/>
    <w:rsid w:val="3A647D60"/>
    <w:rsid w:val="3AA34D2C"/>
    <w:rsid w:val="3AB900AC"/>
    <w:rsid w:val="3AD60C5E"/>
    <w:rsid w:val="3AE27603"/>
    <w:rsid w:val="3C432323"/>
    <w:rsid w:val="3CD70CBD"/>
    <w:rsid w:val="3CFB49AC"/>
    <w:rsid w:val="3D4F6AA6"/>
    <w:rsid w:val="3DAE01CF"/>
    <w:rsid w:val="3EC82FB3"/>
    <w:rsid w:val="3F4F7231"/>
    <w:rsid w:val="3FD339BE"/>
    <w:rsid w:val="40063D93"/>
    <w:rsid w:val="40073668"/>
    <w:rsid w:val="407C4056"/>
    <w:rsid w:val="40CF23D7"/>
    <w:rsid w:val="40DF6392"/>
    <w:rsid w:val="41393870"/>
    <w:rsid w:val="41B33AA7"/>
    <w:rsid w:val="41D41C6F"/>
    <w:rsid w:val="42770F78"/>
    <w:rsid w:val="430D5439"/>
    <w:rsid w:val="43A538C3"/>
    <w:rsid w:val="43CF0940"/>
    <w:rsid w:val="43FD54AD"/>
    <w:rsid w:val="44507CD3"/>
    <w:rsid w:val="44753296"/>
    <w:rsid w:val="44A71F87"/>
    <w:rsid w:val="44AB4F09"/>
    <w:rsid w:val="44D81A76"/>
    <w:rsid w:val="44FC39B7"/>
    <w:rsid w:val="45E05087"/>
    <w:rsid w:val="466F1F67"/>
    <w:rsid w:val="467F21AA"/>
    <w:rsid w:val="472745EF"/>
    <w:rsid w:val="476F66C2"/>
    <w:rsid w:val="484D0086"/>
    <w:rsid w:val="489A776F"/>
    <w:rsid w:val="48C06AA9"/>
    <w:rsid w:val="49431BB4"/>
    <w:rsid w:val="49B760FE"/>
    <w:rsid w:val="49CD5922"/>
    <w:rsid w:val="4A7144FF"/>
    <w:rsid w:val="4A897A9B"/>
    <w:rsid w:val="4ABE46B5"/>
    <w:rsid w:val="4AC16991"/>
    <w:rsid w:val="4AC26B09"/>
    <w:rsid w:val="4ADF3B5F"/>
    <w:rsid w:val="4AE95975"/>
    <w:rsid w:val="4AF15640"/>
    <w:rsid w:val="4B0233A9"/>
    <w:rsid w:val="4B3F0159"/>
    <w:rsid w:val="4B906C07"/>
    <w:rsid w:val="4BAE52DF"/>
    <w:rsid w:val="4C0D64AA"/>
    <w:rsid w:val="4C7E1155"/>
    <w:rsid w:val="4C804ECE"/>
    <w:rsid w:val="4C910E89"/>
    <w:rsid w:val="4CA3296A"/>
    <w:rsid w:val="4CFB27A6"/>
    <w:rsid w:val="4D027691"/>
    <w:rsid w:val="4D1D44CA"/>
    <w:rsid w:val="4D221E91"/>
    <w:rsid w:val="4D331F40"/>
    <w:rsid w:val="4D616AAD"/>
    <w:rsid w:val="4DB766CD"/>
    <w:rsid w:val="4DCD5EF0"/>
    <w:rsid w:val="4DFA2A5E"/>
    <w:rsid w:val="4EA84268"/>
    <w:rsid w:val="4EB946C7"/>
    <w:rsid w:val="4EBE65E6"/>
    <w:rsid w:val="4EE2777A"/>
    <w:rsid w:val="4F381A8F"/>
    <w:rsid w:val="4FA113E3"/>
    <w:rsid w:val="4FE63299"/>
    <w:rsid w:val="50830AE8"/>
    <w:rsid w:val="50D77086"/>
    <w:rsid w:val="510078F8"/>
    <w:rsid w:val="512A5408"/>
    <w:rsid w:val="51C4585C"/>
    <w:rsid w:val="51FC4FF6"/>
    <w:rsid w:val="523F1387"/>
    <w:rsid w:val="52B07B8F"/>
    <w:rsid w:val="52C61160"/>
    <w:rsid w:val="52E33AC0"/>
    <w:rsid w:val="530C1269"/>
    <w:rsid w:val="531719BC"/>
    <w:rsid w:val="53177C0E"/>
    <w:rsid w:val="534E1882"/>
    <w:rsid w:val="53503344"/>
    <w:rsid w:val="54134879"/>
    <w:rsid w:val="549A28A4"/>
    <w:rsid w:val="54A83213"/>
    <w:rsid w:val="54E83610"/>
    <w:rsid w:val="54F94081"/>
    <w:rsid w:val="550348EE"/>
    <w:rsid w:val="55432F3C"/>
    <w:rsid w:val="558F1CDD"/>
    <w:rsid w:val="55AF412E"/>
    <w:rsid w:val="55C951EF"/>
    <w:rsid w:val="55D41DE6"/>
    <w:rsid w:val="55F304BE"/>
    <w:rsid w:val="56242D6E"/>
    <w:rsid w:val="56707D61"/>
    <w:rsid w:val="567535C9"/>
    <w:rsid w:val="56C105BC"/>
    <w:rsid w:val="56EB388B"/>
    <w:rsid w:val="57034731"/>
    <w:rsid w:val="57566F57"/>
    <w:rsid w:val="57AC4DC9"/>
    <w:rsid w:val="5809221B"/>
    <w:rsid w:val="585D27D8"/>
    <w:rsid w:val="58D2260D"/>
    <w:rsid w:val="58EB1921"/>
    <w:rsid w:val="58FE08DF"/>
    <w:rsid w:val="59036C6A"/>
    <w:rsid w:val="59C04B5B"/>
    <w:rsid w:val="5ABB5323"/>
    <w:rsid w:val="5B101B12"/>
    <w:rsid w:val="5B9C6F02"/>
    <w:rsid w:val="5BF3746A"/>
    <w:rsid w:val="5C1967A5"/>
    <w:rsid w:val="5C6E6AF1"/>
    <w:rsid w:val="5CB65AD3"/>
    <w:rsid w:val="5CBD1826"/>
    <w:rsid w:val="5CC640AE"/>
    <w:rsid w:val="5D2418A5"/>
    <w:rsid w:val="5D3A2E77"/>
    <w:rsid w:val="5D8A795A"/>
    <w:rsid w:val="5DFB43B4"/>
    <w:rsid w:val="5E954808"/>
    <w:rsid w:val="5EF3152F"/>
    <w:rsid w:val="5F6B7317"/>
    <w:rsid w:val="5F7E0DDA"/>
    <w:rsid w:val="5FBA3DFB"/>
    <w:rsid w:val="5FC133DB"/>
    <w:rsid w:val="5FF217E7"/>
    <w:rsid w:val="60025ECE"/>
    <w:rsid w:val="60687CFB"/>
    <w:rsid w:val="61447E20"/>
    <w:rsid w:val="61811074"/>
    <w:rsid w:val="61923281"/>
    <w:rsid w:val="623936FD"/>
    <w:rsid w:val="62467BC8"/>
    <w:rsid w:val="62500A46"/>
    <w:rsid w:val="625E7607"/>
    <w:rsid w:val="62AE40EB"/>
    <w:rsid w:val="63604CB9"/>
    <w:rsid w:val="63620A31"/>
    <w:rsid w:val="63D57455"/>
    <w:rsid w:val="63ED29F1"/>
    <w:rsid w:val="646B1B68"/>
    <w:rsid w:val="64801AB7"/>
    <w:rsid w:val="64A77044"/>
    <w:rsid w:val="651641C9"/>
    <w:rsid w:val="660202AA"/>
    <w:rsid w:val="66544FA9"/>
    <w:rsid w:val="666845B1"/>
    <w:rsid w:val="66A17AC3"/>
    <w:rsid w:val="66D71736"/>
    <w:rsid w:val="670C5884"/>
    <w:rsid w:val="67670D0C"/>
    <w:rsid w:val="678E0047"/>
    <w:rsid w:val="67C9107F"/>
    <w:rsid w:val="67DF4D46"/>
    <w:rsid w:val="67EC2FBF"/>
    <w:rsid w:val="6837248C"/>
    <w:rsid w:val="6884144A"/>
    <w:rsid w:val="68A22C5D"/>
    <w:rsid w:val="68A35D74"/>
    <w:rsid w:val="69601EB7"/>
    <w:rsid w:val="6A0C7949"/>
    <w:rsid w:val="6A935974"/>
    <w:rsid w:val="6AC16985"/>
    <w:rsid w:val="6AE65E85"/>
    <w:rsid w:val="6AEB3A02"/>
    <w:rsid w:val="6B20545A"/>
    <w:rsid w:val="6B8A321B"/>
    <w:rsid w:val="6BA22313"/>
    <w:rsid w:val="6BCA186A"/>
    <w:rsid w:val="6BFF7765"/>
    <w:rsid w:val="6C0C3C30"/>
    <w:rsid w:val="6C384A25"/>
    <w:rsid w:val="6C97174C"/>
    <w:rsid w:val="6CD429A0"/>
    <w:rsid w:val="6D2F7BD6"/>
    <w:rsid w:val="6D657A9C"/>
    <w:rsid w:val="6DA265FA"/>
    <w:rsid w:val="6DD8026E"/>
    <w:rsid w:val="6E777A87"/>
    <w:rsid w:val="6E906D9A"/>
    <w:rsid w:val="6EE449F0"/>
    <w:rsid w:val="6F2727B3"/>
    <w:rsid w:val="6F375468"/>
    <w:rsid w:val="6F3C2A7E"/>
    <w:rsid w:val="6F7B5355"/>
    <w:rsid w:val="6FFE7D34"/>
    <w:rsid w:val="70147557"/>
    <w:rsid w:val="703E4ED1"/>
    <w:rsid w:val="70441BEA"/>
    <w:rsid w:val="71193077"/>
    <w:rsid w:val="714F4CEB"/>
    <w:rsid w:val="726E73F3"/>
    <w:rsid w:val="72A746B3"/>
    <w:rsid w:val="72C214EC"/>
    <w:rsid w:val="72C45265"/>
    <w:rsid w:val="731955B0"/>
    <w:rsid w:val="731C0BFD"/>
    <w:rsid w:val="73426189"/>
    <w:rsid w:val="739F35DC"/>
    <w:rsid w:val="73CD1EF7"/>
    <w:rsid w:val="743B3304"/>
    <w:rsid w:val="7476433D"/>
    <w:rsid w:val="74BF5CE3"/>
    <w:rsid w:val="75A629FF"/>
    <w:rsid w:val="762F50EB"/>
    <w:rsid w:val="766A6123"/>
    <w:rsid w:val="76DA32A9"/>
    <w:rsid w:val="76E00193"/>
    <w:rsid w:val="77613082"/>
    <w:rsid w:val="77A17922"/>
    <w:rsid w:val="77BC650A"/>
    <w:rsid w:val="78126A72"/>
    <w:rsid w:val="782D11B6"/>
    <w:rsid w:val="78745037"/>
    <w:rsid w:val="78E201F2"/>
    <w:rsid w:val="79202AC9"/>
    <w:rsid w:val="7930196F"/>
    <w:rsid w:val="79773031"/>
    <w:rsid w:val="79BD2A0E"/>
    <w:rsid w:val="79C1605A"/>
    <w:rsid w:val="79C773E8"/>
    <w:rsid w:val="79CE4C1B"/>
    <w:rsid w:val="79DA536E"/>
    <w:rsid w:val="7A9E45ED"/>
    <w:rsid w:val="7AAD2A82"/>
    <w:rsid w:val="7B0703E4"/>
    <w:rsid w:val="7B0C59FB"/>
    <w:rsid w:val="7B18439F"/>
    <w:rsid w:val="7BC63DFB"/>
    <w:rsid w:val="7C06244A"/>
    <w:rsid w:val="7C541407"/>
    <w:rsid w:val="7C920181"/>
    <w:rsid w:val="7DBD122E"/>
    <w:rsid w:val="7E1D1BAF"/>
    <w:rsid w:val="7E865AC4"/>
    <w:rsid w:val="7ED14F91"/>
    <w:rsid w:val="7ED92098"/>
    <w:rsid w:val="7FB126CD"/>
    <w:rsid w:val="7FB36445"/>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heme="minorBidi"/>
      <w:bCs/>
      <w:kern w:val="2"/>
      <w:sz w:val="21"/>
      <w:szCs w:val="24"/>
      <w:lang w:val="en-US" w:eastAsia="zh-CN" w:bidi="ar-SA"/>
    </w:rPr>
  </w:style>
  <w:style w:type="paragraph" w:styleId="2">
    <w:name w:val="heading 2"/>
    <w:basedOn w:val="1"/>
    <w:next w:val="1"/>
    <w:unhideWhenUsed/>
    <w:qFormat/>
    <w:uiPriority w:val="9"/>
    <w:pPr>
      <w:keepNext/>
      <w:keepLines/>
      <w:spacing w:before="50" w:beforeLines="50" w:after="50" w:afterLines="50"/>
      <w:ind w:left="200" w:leftChars="200"/>
      <w:jc w:val="left"/>
      <w:outlineLvl w:val="1"/>
    </w:pPr>
    <w:rPr>
      <w:rFonts w:ascii="Arial" w:hAnsi="Arial"/>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caption"/>
    <w:basedOn w:val="1"/>
    <w:next w:val="1"/>
    <w:qFormat/>
    <w:uiPriority w:val="99"/>
    <w:rPr>
      <w:rFonts w:ascii="Arial" w:hAnsi="Arial" w:eastAsia="黑体"/>
      <w:sz w:val="20"/>
      <w:szCs w:val="20"/>
    </w:rPr>
  </w:style>
  <w:style w:type="paragraph" w:styleId="4">
    <w:name w:val="annotation text"/>
    <w:basedOn w:val="1"/>
    <w:qFormat/>
    <w:uiPriority w:val="0"/>
    <w:pPr>
      <w:jc w:val="left"/>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2224</Words>
  <Characters>2687</Characters>
  <Lines>0</Lines>
  <Paragraphs>0</Paragraphs>
  <TotalTime>1</TotalTime>
  <ScaleCrop>false</ScaleCrop>
  <LinksUpToDate>false</LinksUpToDate>
  <CharactersWithSpaces>2690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2023-02-04T05:38:00Z</dcterms:created>
  <dc:creator>lwj</dc:creator>
  <cp:lastModifiedBy>Liang</cp:lastModifiedBy>
  <dcterms:modified xsi:type="dcterms:W3CDTF">2024-11-08T20:09:00Z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4C0BE81A505D43E786AD1A932DAEB6AA</vt:lpwstr>
  </property>
</Properties>
</file>