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sz w:val="28"/>
          <w:szCs w:val="28"/>
        </w:rPr>
      </w:pPr>
      <w:r>
        <w:rPr>
          <w:rFonts w:hint="eastAsia" w:ascii="仿宋" w:hAnsi="仿宋" w:eastAsia="仿宋"/>
          <w:sz w:val="28"/>
          <w:szCs w:val="28"/>
        </w:rPr>
        <w:t>说明文档</w:t>
      </w:r>
    </w:p>
    <w:p>
      <w:pPr>
        <w:spacing w:line="276" w:lineRule="auto"/>
        <w:rPr>
          <w:rFonts w:hint="eastAsia" w:ascii="仿宋" w:hAnsi="仿宋" w:eastAsia="仿宋"/>
        </w:rPr>
      </w:pPr>
      <w:r>
        <w:rPr>
          <w:rFonts w:hint="eastAsia" w:ascii="仿宋" w:hAnsi="仿宋" w:eastAsia="仿宋"/>
        </w:rPr>
        <w:t>（一）文件说明</w:t>
      </w:r>
    </w:p>
    <w:p>
      <w:pPr>
        <w:spacing w:line="276" w:lineRule="auto"/>
        <w:ind w:firstLine="420" w:firstLineChars="200"/>
        <w:rPr>
          <w:rFonts w:hint="eastAsia" w:ascii="仿宋" w:hAnsi="仿宋" w:eastAsia="仿宋"/>
        </w:rPr>
      </w:pPr>
      <w:r>
        <w:rPr>
          <w:rFonts w:hint="eastAsia" w:ascii="仿宋" w:hAnsi="仿宋" w:eastAsia="仿宋"/>
        </w:rPr>
        <w:t>本论文使用的数据代码压缩包命名为“</w:t>
      </w:r>
      <w:r>
        <w:rPr>
          <w:rFonts w:hint="eastAsia" w:ascii="Times New Roman" w:hAnsi="Times New Roman" w:eastAsia="仿宋"/>
        </w:rPr>
        <w:t>2024-00928</w:t>
      </w:r>
      <w:r>
        <w:rPr>
          <w:rFonts w:hint="eastAsia" w:ascii="仿宋" w:hAnsi="仿宋" w:eastAsia="仿宋"/>
        </w:rPr>
        <w:t>+数据”，解压之后里面有“</w:t>
      </w:r>
      <w:r>
        <w:rPr>
          <w:rFonts w:hint="eastAsia" w:ascii="Times New Roman" w:hAnsi="Times New Roman" w:eastAsia="仿宋"/>
        </w:rPr>
        <w:t>2024-00928</w:t>
      </w:r>
      <w:r>
        <w:rPr>
          <w:rFonts w:hint="eastAsia" w:ascii="仿宋" w:hAnsi="仿宋" w:eastAsia="仿宋"/>
        </w:rPr>
        <w:t>+</w:t>
      </w:r>
      <w:r>
        <w:rPr>
          <w:rFonts w:hint="eastAsia" w:ascii="仿宋" w:hAnsi="仿宋" w:eastAsia="仿宋"/>
          <w:b/>
          <w:bCs/>
        </w:rPr>
        <w:t>程序代码</w:t>
      </w:r>
      <w:r>
        <w:rPr>
          <w:rFonts w:hint="eastAsia" w:ascii="仿宋" w:hAnsi="仿宋" w:eastAsia="仿宋"/>
        </w:rPr>
        <w:t>”、“</w:t>
      </w:r>
      <w:r>
        <w:rPr>
          <w:rFonts w:hint="eastAsia" w:ascii="Times New Roman" w:hAnsi="Times New Roman" w:eastAsia="仿宋"/>
        </w:rPr>
        <w:t>2024-00928</w:t>
      </w:r>
      <w:r>
        <w:rPr>
          <w:rFonts w:hint="eastAsia" w:ascii="仿宋" w:hAnsi="仿宋" w:eastAsia="仿宋"/>
        </w:rPr>
        <w:t>+</w:t>
      </w:r>
      <w:r>
        <w:rPr>
          <w:rFonts w:hint="eastAsia" w:ascii="仿宋" w:hAnsi="仿宋" w:eastAsia="仿宋"/>
          <w:b/>
          <w:bCs/>
        </w:rPr>
        <w:t>日志文件</w:t>
      </w:r>
      <w:r>
        <w:rPr>
          <w:rFonts w:hint="eastAsia" w:ascii="仿宋" w:hAnsi="仿宋" w:eastAsia="仿宋"/>
        </w:rPr>
        <w:t>”和“</w:t>
      </w:r>
      <w:r>
        <w:rPr>
          <w:rFonts w:hint="eastAsia" w:ascii="Times New Roman" w:hAnsi="Times New Roman" w:eastAsia="仿宋"/>
        </w:rPr>
        <w:t>2024-00928</w:t>
      </w:r>
      <w:r>
        <w:rPr>
          <w:rFonts w:hint="eastAsia" w:ascii="仿宋" w:hAnsi="仿宋" w:eastAsia="仿宋"/>
        </w:rPr>
        <w:t>+</w:t>
      </w:r>
      <w:r>
        <w:rPr>
          <w:rFonts w:hint="eastAsia" w:ascii="仿宋" w:hAnsi="仿宋" w:eastAsia="仿宋"/>
          <w:b/>
          <w:bCs/>
        </w:rPr>
        <w:t>说明文档</w:t>
      </w:r>
      <w:r>
        <w:rPr>
          <w:rFonts w:hint="eastAsia" w:ascii="仿宋" w:hAnsi="仿宋" w:eastAsia="仿宋"/>
        </w:rPr>
        <w:t>”</w:t>
      </w:r>
      <w:r>
        <w:rPr>
          <w:rFonts w:hint="eastAsia" w:ascii="Times New Roman" w:hAnsi="Times New Roman" w:eastAsia="仿宋"/>
        </w:rPr>
        <w:t>3</w:t>
      </w:r>
      <w:r>
        <w:rPr>
          <w:rFonts w:hint="eastAsia" w:ascii="仿宋" w:hAnsi="仿宋" w:eastAsia="仿宋"/>
        </w:rPr>
        <w:t>个部分。</w:t>
      </w:r>
    </w:p>
    <w:p>
      <w:pPr>
        <w:spacing w:line="276" w:lineRule="auto"/>
        <w:ind w:firstLine="420" w:firstLineChars="200"/>
        <w:rPr>
          <w:rFonts w:hint="eastAsia" w:ascii="仿宋" w:hAnsi="仿宋" w:eastAsia="仿宋"/>
        </w:rPr>
      </w:pPr>
      <w:bookmarkStart w:id="0" w:name="_GoBack"/>
      <w:bookmarkEnd w:id="0"/>
    </w:p>
    <w:p>
      <w:pPr>
        <w:ind w:firstLine="420" w:firstLineChars="200"/>
        <w:rPr>
          <w:rFonts w:hint="eastAsia" w:ascii="仿宋" w:hAnsi="仿宋" w:eastAsia="仿宋" w:cs="Times New Roman"/>
          <w:lang w:val="en-US" w:eastAsia="zh-CN"/>
        </w:rPr>
      </w:pPr>
      <w:r>
        <w:rPr>
          <w:rFonts w:hint="eastAsia" w:ascii="仿宋" w:hAnsi="仿宋" w:eastAsia="仿宋"/>
        </w:rPr>
        <w:t>（</w:t>
      </w:r>
      <w:r>
        <w:rPr>
          <w:rFonts w:hint="eastAsia" w:ascii="Times New Roman" w:hAnsi="Times New Roman" w:eastAsia="仿宋"/>
        </w:rPr>
        <w:t>1</w:t>
      </w:r>
      <w:r>
        <w:rPr>
          <w:rFonts w:hint="eastAsia" w:ascii="仿宋" w:hAnsi="仿宋" w:eastAsia="仿宋"/>
        </w:rPr>
        <w:t>）“</w:t>
      </w:r>
      <w:r>
        <w:rPr>
          <w:rFonts w:hint="eastAsia" w:ascii="Times New Roman" w:hAnsi="Times New Roman" w:eastAsia="仿宋"/>
        </w:rPr>
        <w:t>2024-00928</w:t>
      </w:r>
      <w:r>
        <w:rPr>
          <w:rFonts w:hint="eastAsia" w:ascii="仿宋" w:hAnsi="仿宋" w:eastAsia="仿宋"/>
        </w:rPr>
        <w:t>+</w:t>
      </w:r>
      <w:r>
        <w:rPr>
          <w:rFonts w:hint="eastAsia" w:ascii="仿宋" w:hAnsi="仿宋" w:eastAsia="仿宋"/>
          <w:b/>
          <w:bCs/>
        </w:rPr>
        <w:t>程序代码</w:t>
      </w:r>
      <w:r>
        <w:rPr>
          <w:rFonts w:hint="eastAsia" w:ascii="仿宋" w:hAnsi="仿宋" w:eastAsia="仿宋"/>
        </w:rPr>
        <w:t>”里面包括</w:t>
      </w:r>
      <w:r>
        <w:rPr>
          <w:rFonts w:hint="eastAsia" w:ascii="Times New Roman" w:hAnsi="Times New Roman" w:eastAsia="仿宋"/>
          <w:lang w:val="en-US" w:eastAsia="zh-CN"/>
        </w:rPr>
        <w:t>1</w:t>
      </w:r>
      <w:r>
        <w:rPr>
          <w:rFonts w:hint="eastAsia" w:ascii="仿宋" w:hAnsi="仿宋" w:eastAsia="仿宋"/>
        </w:rPr>
        <w:t>个文件，是</w:t>
      </w:r>
      <w:r>
        <w:rPr>
          <w:rFonts w:ascii="仿宋" w:hAnsi="仿宋" w:eastAsia="仿宋" w:cs="Times New Roman"/>
        </w:rPr>
        <w:t>“</w:t>
      </w:r>
      <w:r>
        <w:rPr>
          <w:rFonts w:ascii="Times New Roman" w:hAnsi="Times New Roman" w:eastAsia="仿宋" w:cs="Times New Roman"/>
        </w:rPr>
        <w:t>statis</w:t>
      </w:r>
      <w:r>
        <w:rPr>
          <w:rFonts w:hint="eastAsia" w:ascii="Times New Roman" w:hAnsi="Times New Roman" w:eastAsia="仿宋" w:cs="Times New Roman"/>
        </w:rPr>
        <w:t>ti</w:t>
      </w:r>
      <w:r>
        <w:rPr>
          <w:rFonts w:ascii="Times New Roman" w:hAnsi="Times New Roman" w:eastAsia="仿宋" w:cs="Times New Roman"/>
        </w:rPr>
        <w:t>c</w:t>
      </w:r>
      <w:r>
        <w:rPr>
          <w:rFonts w:ascii="仿宋" w:hAnsi="仿宋" w:eastAsia="仿宋" w:cs="Times New Roman"/>
        </w:rPr>
        <w:t>”</w:t>
      </w:r>
      <w:r>
        <w:rPr>
          <w:rFonts w:hint="eastAsia" w:ascii="仿宋" w:hAnsi="仿宋" w:eastAsia="仿宋" w:cs="Times New Roman"/>
          <w:lang w:eastAsia="zh-CN"/>
        </w:rPr>
        <w:t>：</w:t>
      </w:r>
      <w:r>
        <w:rPr>
          <w:rFonts w:hint="eastAsia" w:ascii="仿宋" w:hAnsi="仿宋" w:eastAsia="仿宋" w:cs="Times New Roman"/>
          <w:lang w:val="en-US" w:eastAsia="zh-CN"/>
        </w:rPr>
        <w:t>为正文和附录表格和图形的运行文件。</w:t>
      </w:r>
    </w:p>
    <w:p>
      <w:pPr>
        <w:spacing w:line="276" w:lineRule="auto"/>
        <w:ind w:firstLine="420" w:firstLineChars="200"/>
        <w:rPr>
          <w:rFonts w:hint="eastAsia" w:ascii="仿宋" w:hAnsi="仿宋" w:eastAsia="仿宋" w:cs="Times New Roman"/>
        </w:rPr>
      </w:pPr>
      <w:r>
        <w:rPr>
          <w:rFonts w:hint="eastAsia" w:ascii="仿宋" w:hAnsi="仿宋" w:eastAsia="仿宋"/>
        </w:rPr>
        <w:t>（</w:t>
      </w:r>
      <w:r>
        <w:rPr>
          <w:rFonts w:hint="eastAsia" w:ascii="Times New Roman" w:hAnsi="Times New Roman" w:eastAsia="仿宋"/>
        </w:rPr>
        <w:t>2</w:t>
      </w:r>
      <w:r>
        <w:rPr>
          <w:rFonts w:hint="eastAsia" w:ascii="仿宋" w:hAnsi="仿宋" w:eastAsia="仿宋"/>
        </w:rPr>
        <w:t>）“</w:t>
      </w:r>
      <w:r>
        <w:rPr>
          <w:rFonts w:hint="eastAsia" w:ascii="Times New Roman" w:hAnsi="Times New Roman" w:eastAsia="仿宋"/>
        </w:rPr>
        <w:t>2024-00928</w:t>
      </w:r>
      <w:r>
        <w:rPr>
          <w:rFonts w:hint="eastAsia" w:ascii="仿宋" w:hAnsi="仿宋" w:eastAsia="仿宋"/>
        </w:rPr>
        <w:t>+</w:t>
      </w:r>
      <w:r>
        <w:rPr>
          <w:rFonts w:hint="eastAsia" w:ascii="仿宋" w:hAnsi="仿宋" w:eastAsia="仿宋"/>
          <w:b/>
          <w:bCs/>
        </w:rPr>
        <w:t>日志文件</w:t>
      </w:r>
      <w:r>
        <w:rPr>
          <w:rFonts w:hint="eastAsia" w:ascii="仿宋" w:hAnsi="仿宋" w:eastAsia="仿宋"/>
        </w:rPr>
        <w:t>”中的“</w:t>
      </w:r>
      <w:r>
        <w:rPr>
          <w:rFonts w:hint="eastAsia" w:ascii="Times New Roman" w:hAnsi="Times New Roman" w:eastAsia="仿宋"/>
        </w:rPr>
        <w:t>Myfile</w:t>
      </w:r>
      <w:r>
        <w:rPr>
          <w:rFonts w:hint="eastAsia" w:ascii="仿宋" w:hAnsi="仿宋" w:eastAsia="仿宋"/>
        </w:rPr>
        <w:t>”是表</w:t>
      </w:r>
      <w:r>
        <w:rPr>
          <w:rFonts w:hint="eastAsia" w:ascii="Times New Roman" w:hAnsi="Times New Roman" w:eastAsia="仿宋"/>
        </w:rPr>
        <w:t>1</w:t>
      </w:r>
      <w:r>
        <w:rPr>
          <w:rFonts w:hint="eastAsia" w:ascii="仿宋" w:hAnsi="仿宋" w:eastAsia="仿宋"/>
        </w:rPr>
        <w:t>描述性统计；“</w:t>
      </w:r>
      <w:r>
        <w:rPr>
          <w:rFonts w:hint="eastAsia" w:ascii="Times New Roman" w:hAnsi="Times New Roman" w:eastAsia="仿宋"/>
        </w:rPr>
        <w:t>table2</w:t>
      </w:r>
      <w:r>
        <w:rPr>
          <w:rFonts w:hint="eastAsia" w:ascii="仿宋" w:hAnsi="仿宋" w:eastAsia="仿宋"/>
        </w:rPr>
        <w:t>”-“</w:t>
      </w:r>
      <w:r>
        <w:rPr>
          <w:rFonts w:hint="eastAsia" w:ascii="Times New Roman" w:hAnsi="Times New Roman" w:eastAsia="仿宋"/>
        </w:rPr>
        <w:t>table6</w:t>
      </w:r>
      <w:r>
        <w:rPr>
          <w:rFonts w:hint="eastAsia" w:ascii="仿宋" w:hAnsi="仿宋" w:eastAsia="仿宋"/>
        </w:rPr>
        <w:t>”分别是</w:t>
      </w:r>
      <w:r>
        <w:rPr>
          <w:rFonts w:hint="eastAsia" w:ascii="仿宋" w:hAnsi="仿宋" w:eastAsia="仿宋" w:cs="Times New Roman"/>
        </w:rPr>
        <w:t>表</w:t>
      </w:r>
      <w:r>
        <w:rPr>
          <w:rFonts w:hint="eastAsia" w:ascii="Times New Roman" w:hAnsi="Times New Roman" w:eastAsia="仿宋" w:cs="Times New Roman"/>
        </w:rPr>
        <w:t>2</w:t>
      </w:r>
      <w:r>
        <w:rPr>
          <w:rFonts w:hint="eastAsia" w:ascii="仿宋" w:hAnsi="仿宋" w:eastAsia="仿宋" w:cs="Times New Roman"/>
        </w:rPr>
        <w:t>-表</w:t>
      </w:r>
      <w:r>
        <w:rPr>
          <w:rFonts w:hint="eastAsia" w:ascii="Times New Roman" w:hAnsi="Times New Roman" w:eastAsia="仿宋" w:cs="Times New Roman"/>
        </w:rPr>
        <w:t>6</w:t>
      </w:r>
      <w:r>
        <w:rPr>
          <w:rFonts w:hint="eastAsia" w:ascii="仿宋" w:hAnsi="仿宋" w:eastAsia="仿宋" w:cs="Times New Roman"/>
        </w:rPr>
        <w:t>的运行结果；“图</w:t>
      </w:r>
      <w:r>
        <w:rPr>
          <w:rFonts w:hint="eastAsia" w:ascii="Times New Roman" w:hAnsi="Times New Roman" w:eastAsia="仿宋" w:cs="Times New Roman"/>
          <w:lang w:val="en-US" w:eastAsia="zh-CN"/>
        </w:rPr>
        <w:t>1</w:t>
      </w:r>
      <w:r>
        <w:rPr>
          <w:rFonts w:hint="eastAsia" w:ascii="仿宋" w:hAnsi="仿宋" w:eastAsia="仿宋" w:cs="Times New Roman"/>
        </w:rPr>
        <w:t>_</w:t>
      </w:r>
      <w:r>
        <w:rPr>
          <w:rFonts w:hint="eastAsia" w:ascii="Times New Roman" w:hAnsi="Times New Roman" w:eastAsia="仿宋" w:cs="Times New Roman"/>
          <w:lang w:val="en-US" w:eastAsia="zh-CN"/>
        </w:rPr>
        <w:t>1</w:t>
      </w:r>
      <w:r>
        <w:rPr>
          <w:rFonts w:hint="eastAsia" w:ascii="仿宋" w:hAnsi="仿宋" w:eastAsia="仿宋" w:cs="Times New Roman"/>
        </w:rPr>
        <w:t>”和“图</w:t>
      </w:r>
      <w:r>
        <w:rPr>
          <w:rFonts w:hint="eastAsia" w:ascii="Times New Roman" w:hAnsi="Times New Roman" w:eastAsia="仿宋" w:cs="Times New Roman"/>
          <w:lang w:val="en-US" w:eastAsia="zh-CN"/>
        </w:rPr>
        <w:t>1</w:t>
      </w:r>
      <w:r>
        <w:rPr>
          <w:rFonts w:hint="eastAsia" w:ascii="仿宋" w:hAnsi="仿宋" w:eastAsia="仿宋" w:cs="Times New Roman"/>
        </w:rPr>
        <w:t>_</w:t>
      </w:r>
      <w:r>
        <w:rPr>
          <w:rFonts w:hint="eastAsia" w:ascii="Times New Roman" w:hAnsi="Times New Roman" w:eastAsia="仿宋" w:cs="Times New Roman"/>
          <w:lang w:val="en-US" w:eastAsia="zh-CN"/>
        </w:rPr>
        <w:t>2</w:t>
      </w:r>
      <w:r>
        <w:rPr>
          <w:rFonts w:hint="eastAsia" w:ascii="仿宋" w:hAnsi="仿宋" w:eastAsia="仿宋" w:cs="Times New Roman"/>
        </w:rPr>
        <w:t>”是正文中图</w:t>
      </w:r>
      <w:r>
        <w:rPr>
          <w:rFonts w:hint="eastAsia" w:ascii="Times New Roman" w:hAnsi="Times New Roman" w:eastAsia="仿宋" w:cs="Times New Roman"/>
          <w:lang w:val="en-US" w:eastAsia="zh-CN"/>
        </w:rPr>
        <w:t>1</w:t>
      </w:r>
      <w:r>
        <w:rPr>
          <w:rFonts w:hint="eastAsia" w:ascii="仿宋" w:hAnsi="仿宋" w:eastAsia="仿宋" w:cs="Times New Roman"/>
        </w:rPr>
        <w:t>的结果；“图</w:t>
      </w:r>
      <w:r>
        <w:rPr>
          <w:rFonts w:hint="eastAsia" w:ascii="仿宋" w:hAnsi="仿宋" w:eastAsia="仿宋" w:cs="Times New Roman"/>
          <w:lang w:val="en-US" w:eastAsia="zh-CN"/>
        </w:rPr>
        <w:t>I1_1</w:t>
      </w:r>
      <w:r>
        <w:rPr>
          <w:rFonts w:hint="eastAsia" w:ascii="仿宋" w:hAnsi="仿宋" w:eastAsia="仿宋" w:cs="Times New Roman"/>
        </w:rPr>
        <w:t>”和“图</w:t>
      </w:r>
      <w:r>
        <w:rPr>
          <w:rFonts w:hint="eastAsia" w:ascii="仿宋" w:hAnsi="仿宋" w:eastAsia="仿宋" w:cs="Times New Roman"/>
          <w:lang w:val="en-US" w:eastAsia="zh-CN"/>
        </w:rPr>
        <w:t>I1_2</w:t>
      </w:r>
      <w:r>
        <w:rPr>
          <w:rFonts w:hint="eastAsia" w:ascii="仿宋" w:hAnsi="仿宋" w:eastAsia="仿宋" w:cs="Times New Roman"/>
        </w:rPr>
        <w:t>”是</w:t>
      </w:r>
      <w:r>
        <w:rPr>
          <w:rFonts w:hint="eastAsia" w:ascii="仿宋" w:hAnsi="仿宋" w:eastAsia="仿宋" w:cs="Times New Roman"/>
          <w:lang w:val="en-US" w:eastAsia="zh-CN"/>
        </w:rPr>
        <w:t>附录</w:t>
      </w:r>
      <w:r>
        <w:rPr>
          <w:rFonts w:hint="eastAsia" w:ascii="仿宋" w:hAnsi="仿宋" w:eastAsia="仿宋" w:cs="Times New Roman"/>
        </w:rPr>
        <w:t>中图</w:t>
      </w:r>
      <w:r>
        <w:rPr>
          <w:rFonts w:hint="eastAsia" w:ascii="仿宋" w:hAnsi="仿宋" w:eastAsia="仿宋" w:cs="Times New Roman"/>
          <w:lang w:val="en-US" w:eastAsia="zh-CN"/>
        </w:rPr>
        <w:t>I1</w:t>
      </w:r>
      <w:r>
        <w:rPr>
          <w:rFonts w:hint="eastAsia" w:ascii="仿宋" w:hAnsi="仿宋" w:eastAsia="仿宋" w:cs="Times New Roman"/>
        </w:rPr>
        <w:t>的结果。</w:t>
      </w:r>
    </w:p>
    <w:p>
      <w:pPr>
        <w:spacing w:line="276" w:lineRule="auto"/>
        <w:ind w:firstLine="420" w:firstLineChars="200"/>
        <w:rPr>
          <w:rFonts w:hint="eastAsia" w:ascii="仿宋" w:hAnsi="仿宋" w:eastAsia="仿宋"/>
        </w:rPr>
      </w:pPr>
      <w:r>
        <w:rPr>
          <w:rFonts w:hint="eastAsia" w:ascii="仿宋" w:hAnsi="仿宋" w:eastAsia="仿宋"/>
        </w:rPr>
        <w:t>（</w:t>
      </w:r>
      <w:r>
        <w:rPr>
          <w:rFonts w:hint="eastAsia" w:ascii="Times New Roman" w:hAnsi="Times New Roman" w:eastAsia="仿宋"/>
        </w:rPr>
        <w:t>3</w:t>
      </w:r>
      <w:r>
        <w:rPr>
          <w:rFonts w:hint="eastAsia" w:ascii="仿宋" w:hAnsi="仿宋" w:eastAsia="仿宋"/>
        </w:rPr>
        <w:t>）“</w:t>
      </w:r>
      <w:r>
        <w:rPr>
          <w:rFonts w:hint="eastAsia" w:ascii="Times New Roman" w:hAnsi="Times New Roman" w:eastAsia="仿宋"/>
        </w:rPr>
        <w:t>2024</w:t>
      </w:r>
      <w:r>
        <w:rPr>
          <w:rFonts w:hint="eastAsia" w:ascii="仿宋" w:hAnsi="仿宋" w:eastAsia="仿宋"/>
        </w:rPr>
        <w:t>-</w:t>
      </w:r>
      <w:r>
        <w:rPr>
          <w:rFonts w:hint="eastAsia" w:ascii="Times New Roman" w:hAnsi="Times New Roman" w:eastAsia="仿宋"/>
        </w:rPr>
        <w:t>00207</w:t>
      </w:r>
      <w:r>
        <w:rPr>
          <w:rFonts w:hint="eastAsia" w:ascii="仿宋" w:hAnsi="仿宋" w:eastAsia="仿宋"/>
        </w:rPr>
        <w:t>+</w:t>
      </w:r>
      <w:r>
        <w:rPr>
          <w:rFonts w:hint="eastAsia" w:ascii="仿宋" w:hAnsi="仿宋" w:eastAsia="仿宋"/>
          <w:b/>
          <w:bCs/>
        </w:rPr>
        <w:t>说明文档</w:t>
      </w:r>
      <w:r>
        <w:rPr>
          <w:rFonts w:hint="eastAsia" w:ascii="仿宋" w:hAnsi="仿宋" w:eastAsia="仿宋"/>
        </w:rPr>
        <w:t>”即是本说明文档。</w:t>
      </w:r>
    </w:p>
    <w:p>
      <w:pPr>
        <w:spacing w:line="276" w:lineRule="auto"/>
        <w:rPr>
          <w:rFonts w:hint="eastAsia" w:ascii="仿宋" w:hAnsi="仿宋" w:eastAsia="仿宋"/>
        </w:rPr>
      </w:pPr>
      <w:r>
        <w:rPr>
          <w:rFonts w:hint="eastAsia" w:ascii="仿宋" w:hAnsi="仿宋" w:eastAsia="仿宋"/>
        </w:rPr>
        <w:t>（二）数据来源</w:t>
      </w:r>
    </w:p>
    <w:p>
      <w:pPr>
        <w:spacing w:line="276" w:lineRule="auto"/>
        <w:ind w:firstLine="420" w:firstLineChars="200"/>
        <w:rPr>
          <w:rFonts w:hint="eastAsia" w:ascii="仿宋" w:hAnsi="仿宋" w:eastAsia="仿宋" w:cs="Times New Roman"/>
          <w:color w:val="000000"/>
        </w:rPr>
      </w:pPr>
      <w:r>
        <w:rPr>
          <w:rFonts w:ascii="仿宋" w:hAnsi="仿宋" w:eastAsia="仿宋" w:cs="Times New Roman"/>
          <w:color w:val="000000"/>
        </w:rPr>
        <w:t>本文使用的数据包括</w:t>
      </w:r>
      <w:r>
        <w:rPr>
          <w:rFonts w:hint="eastAsia" w:ascii="仿宋" w:hAnsi="仿宋" w:eastAsia="仿宋" w:cs="Times New Roman"/>
          <w:color w:val="000000"/>
          <w:lang w:val="en-US" w:eastAsia="zh-CN"/>
        </w:rPr>
        <w:t>三</w:t>
      </w:r>
      <w:r>
        <w:rPr>
          <w:rFonts w:ascii="仿宋" w:hAnsi="仿宋" w:eastAsia="仿宋" w:cs="Times New Roman"/>
          <w:color w:val="000000"/>
        </w:rPr>
        <w:t>部分：</w:t>
      </w:r>
    </w:p>
    <w:p>
      <w:pPr>
        <w:ind w:firstLine="420" w:firstLineChars="200"/>
        <w:rPr>
          <w:rFonts w:hint="eastAsia" w:ascii="仿宋" w:hAnsi="仿宋" w:eastAsia="仿宋" w:cs="Times New Roman Regular"/>
          <w:color w:val="000000" w:themeColor="text1"/>
          <w:szCs w:val="21"/>
          <w:lang w:eastAsia="zh-Hans"/>
          <w14:textFill>
            <w14:solidFill>
              <w14:schemeClr w14:val="tx1"/>
            </w14:solidFill>
          </w14:textFill>
        </w:rPr>
      </w:pPr>
      <w:r>
        <w:rPr>
          <w:rFonts w:hint="eastAsia" w:ascii="仿宋" w:hAnsi="仿宋" w:eastAsia="仿宋" w:cs="Times New Roman"/>
          <w:lang w:val="en-US" w:eastAsia="zh-CN"/>
        </w:rPr>
        <w:t>（1）上市公司并购数据：</w:t>
      </w:r>
      <w:r>
        <w:rPr>
          <w:rFonts w:hint="eastAsia" w:ascii="仿宋" w:hAnsi="仿宋" w:eastAsia="仿宋" w:cs="Times New Roman Regular"/>
          <w:color w:val="000000" w:themeColor="text1"/>
          <w:szCs w:val="21"/>
          <w:lang w:eastAsia="zh-Hans"/>
          <w14:textFill>
            <w14:solidFill>
              <w14:schemeClr w14:val="tx1"/>
            </w14:solidFill>
          </w14:textFill>
        </w:rPr>
        <w:t>选取2</w:t>
      </w:r>
      <w:r>
        <w:rPr>
          <w:rFonts w:ascii="仿宋" w:hAnsi="仿宋" w:eastAsia="仿宋" w:cs="Times New Roman Regular"/>
          <w:color w:val="000000" w:themeColor="text1"/>
          <w:szCs w:val="21"/>
          <w:lang w:eastAsia="zh-Hans"/>
          <w14:textFill>
            <w14:solidFill>
              <w14:schemeClr w14:val="tx1"/>
            </w14:solidFill>
          </w14:textFill>
        </w:rPr>
        <w:t>013</w:t>
      </w:r>
      <w:r>
        <w:rPr>
          <w:rFonts w:hint="eastAsia" w:ascii="仿宋" w:hAnsi="仿宋" w:eastAsia="仿宋" w:cs="Times New Roman Regular"/>
          <w:color w:val="000000" w:themeColor="text1"/>
          <w:szCs w:val="21"/>
          <w:lang w:eastAsia="zh-Hans"/>
          <w14:textFill>
            <w14:solidFill>
              <w14:schemeClr w14:val="tx1"/>
            </w14:solidFill>
          </w14:textFill>
        </w:rPr>
        <w:t>-</w:t>
      </w:r>
      <w:r>
        <w:rPr>
          <w:rFonts w:ascii="仿宋" w:hAnsi="仿宋" w:eastAsia="仿宋" w:cs="Times New Roman Regular"/>
          <w:color w:val="000000" w:themeColor="text1"/>
          <w:szCs w:val="21"/>
          <w:lang w:eastAsia="zh-Hans"/>
          <w14:textFill>
            <w14:solidFill>
              <w14:schemeClr w14:val="tx1"/>
            </w14:solidFill>
          </w14:textFill>
        </w:rPr>
        <w:t>2021</w:t>
      </w:r>
      <w:r>
        <w:rPr>
          <w:rFonts w:hint="eastAsia" w:ascii="仿宋" w:hAnsi="仿宋" w:eastAsia="仿宋" w:cs="Times New Roman Regular"/>
          <w:color w:val="000000" w:themeColor="text1"/>
          <w:szCs w:val="21"/>
          <w:lang w:eastAsia="zh-Hans"/>
          <w14:textFill>
            <w14:solidFill>
              <w14:schemeClr w14:val="tx1"/>
            </w14:solidFill>
          </w14:textFill>
        </w:rPr>
        <w:t>年沪深A股上市公司并购数据作为初始研究样本。</w:t>
      </w:r>
      <w:r>
        <w:rPr>
          <w:rFonts w:hint="eastAsia" w:ascii="仿宋" w:hAnsi="仿宋" w:eastAsia="仿宋" w:cs="Times New Roman Regular"/>
          <w:color w:val="000000" w:themeColor="text1"/>
          <w:szCs w:val="21"/>
          <w:lang w:val="en-US" w:eastAsia="zh-CN"/>
          <w14:textFill>
            <w14:solidFill>
              <w14:schemeClr w14:val="tx1"/>
            </w14:solidFill>
          </w14:textFill>
        </w:rPr>
        <w:t>并以此用下列步骤对原始数据进行处理</w:t>
      </w:r>
      <w:r>
        <w:rPr>
          <w:rFonts w:hint="eastAsia" w:ascii="仿宋" w:hAnsi="仿宋" w:eastAsia="仿宋" w:cs="Times New Roman Regular"/>
          <w:color w:val="000000" w:themeColor="text1"/>
          <w:szCs w:val="21"/>
          <w:lang w:eastAsia="zh-Hans"/>
          <w14:textFill>
            <w14:solidFill>
              <w14:schemeClr w14:val="tx1"/>
            </w14:solidFill>
          </w14:textFill>
        </w:rPr>
        <w:t>：剔除金融业公司；剔除关键指标缺失和财务变量明显错误的公司；要求上市公司交易地位为“买方”，确保实证研究以主并公司的视角展开；剔除并购交易金额小于</w:t>
      </w:r>
      <w:r>
        <w:rPr>
          <w:rFonts w:ascii="仿宋" w:hAnsi="仿宋" w:eastAsia="仿宋" w:cs="Times New Roman Regular"/>
          <w:color w:val="000000" w:themeColor="text1"/>
          <w:szCs w:val="21"/>
          <w:lang w:eastAsia="zh-Hans"/>
          <w14:textFill>
            <w14:solidFill>
              <w14:schemeClr w14:val="tx1"/>
            </w14:solidFill>
          </w14:textFill>
        </w:rPr>
        <w:t>100</w:t>
      </w:r>
      <w:r>
        <w:rPr>
          <w:rFonts w:hint="eastAsia" w:ascii="仿宋" w:hAnsi="仿宋" w:eastAsia="仿宋" w:cs="Times New Roman Regular"/>
          <w:color w:val="000000" w:themeColor="text1"/>
          <w:szCs w:val="21"/>
          <w:lang w:eastAsia="zh-Hans"/>
          <w14:textFill>
            <w14:solidFill>
              <w14:schemeClr w14:val="tx1"/>
            </w14:solidFill>
          </w14:textFill>
        </w:rPr>
        <w:t>万人民币的并购样本；上市公司一年发起多次并购，仅保留首次并购事件；保留最终完成交易的并购样本。考虑可能存在的样本选择性偏差干扰，本文进一步剔除被行权公司以及被行权公司高管在行权事件之后重新任职的公司样本。数据来源于国泰安（CSMAR）数据库。</w:t>
      </w:r>
    </w:p>
    <w:p>
      <w:pPr>
        <w:ind w:firstLine="420" w:firstLineChars="200"/>
        <w:rPr>
          <w:rFonts w:hint="eastAsia" w:ascii="仿宋" w:hAnsi="仿宋" w:eastAsia="仿宋" w:cs="Times New Roman Regular"/>
          <w:color w:val="000000" w:themeColor="text1"/>
          <w:szCs w:val="21"/>
          <w:lang w:eastAsia="zh-Hans"/>
          <w14:textFill>
            <w14:solidFill>
              <w14:schemeClr w14:val="tx1"/>
            </w14:solidFill>
          </w14:textFill>
        </w:rPr>
      </w:pPr>
      <w:r>
        <w:rPr>
          <w:rFonts w:hint="eastAsia" w:ascii="仿宋" w:hAnsi="仿宋" w:eastAsia="仿宋" w:cs="Times New Roman Regular"/>
          <w:color w:val="000000" w:themeColor="text1"/>
          <w:szCs w:val="21"/>
          <w:lang w:val="en-US" w:eastAsia="zh-CN"/>
          <w14:textFill>
            <w14:solidFill>
              <w14:schemeClr w14:val="tx1"/>
            </w14:solidFill>
          </w14:textFill>
        </w:rPr>
        <w:t>（2）</w:t>
      </w:r>
      <w:r>
        <w:rPr>
          <w:rFonts w:hint="eastAsia" w:ascii="仿宋" w:hAnsi="仿宋" w:eastAsia="仿宋" w:cs="Times New Roman Regular"/>
          <w:color w:val="000000" w:themeColor="text1"/>
          <w:szCs w:val="21"/>
          <w:lang w:eastAsia="zh-Hans"/>
          <w14:textFill>
            <w14:solidFill>
              <w14:schemeClr w14:val="tx1"/>
            </w14:solidFill>
          </w14:textFill>
        </w:rPr>
        <w:t>中证投服的行权数据</w:t>
      </w:r>
      <w:r>
        <w:rPr>
          <w:rFonts w:hint="eastAsia" w:ascii="仿宋" w:hAnsi="仿宋" w:eastAsia="仿宋" w:cs="Times New Roman Regular"/>
          <w:color w:val="000000" w:themeColor="text1"/>
          <w:szCs w:val="21"/>
          <w:lang w:eastAsia="zh-CN"/>
          <w14:textFill>
            <w14:solidFill>
              <w14:schemeClr w14:val="tx1"/>
            </w14:solidFill>
          </w14:textFill>
        </w:rPr>
        <w:t>：</w:t>
      </w:r>
      <w:r>
        <w:rPr>
          <w:rFonts w:hint="eastAsia" w:ascii="仿宋" w:hAnsi="仿宋" w:eastAsia="仿宋" w:cs="Times New Roman Regular"/>
          <w:color w:val="000000" w:themeColor="text1"/>
          <w:szCs w:val="21"/>
          <w:lang w:eastAsia="zh-Hans"/>
          <w14:textFill>
            <w14:solidFill>
              <w14:schemeClr w14:val="tx1"/>
            </w14:solidFill>
          </w14:textFill>
        </w:rPr>
        <w:t>本文从中国投资者网“行权服务”栏目手工整理获得中证投服的行权数据，得到共计367行权事项，包括被行权公司股票代码、行权时间和行权事项等信息。</w:t>
      </w:r>
    </w:p>
    <w:p>
      <w:pPr>
        <w:ind w:firstLine="420" w:firstLineChars="200"/>
        <w:rPr>
          <w:rFonts w:hint="eastAsia" w:ascii="仿宋" w:hAnsi="仿宋" w:eastAsia="仿宋" w:cs="Times New Roman Regular"/>
          <w:color w:val="000000" w:themeColor="text1"/>
          <w:szCs w:val="21"/>
          <w:lang w:eastAsia="zh-Hans"/>
          <w14:textFill>
            <w14:solidFill>
              <w14:schemeClr w14:val="tx1"/>
            </w14:solidFill>
          </w14:textFill>
        </w:rPr>
      </w:pPr>
      <w:r>
        <w:rPr>
          <w:rFonts w:hint="eastAsia" w:ascii="仿宋" w:hAnsi="仿宋" w:eastAsia="仿宋" w:cs="Times New Roman Regular"/>
          <w:color w:val="000000" w:themeColor="text1"/>
          <w:szCs w:val="21"/>
          <w:lang w:eastAsia="zh-CN"/>
          <w14:textFill>
            <w14:solidFill>
              <w14:schemeClr w14:val="tx1"/>
            </w14:solidFill>
          </w14:textFill>
        </w:rPr>
        <w:t>（</w:t>
      </w:r>
      <w:r>
        <w:rPr>
          <w:rFonts w:hint="eastAsia" w:ascii="仿宋" w:hAnsi="仿宋" w:eastAsia="仿宋" w:cs="Times New Roman Regular"/>
          <w:color w:val="000000" w:themeColor="text1"/>
          <w:szCs w:val="21"/>
          <w:lang w:val="en-US" w:eastAsia="zh-CN"/>
          <w14:textFill>
            <w14:solidFill>
              <w14:schemeClr w14:val="tx1"/>
            </w14:solidFill>
          </w14:textFill>
        </w:rPr>
        <w:t>3</w:t>
      </w:r>
      <w:r>
        <w:rPr>
          <w:rFonts w:hint="eastAsia" w:ascii="仿宋" w:hAnsi="仿宋" w:eastAsia="仿宋" w:cs="Times New Roman Regular"/>
          <w:color w:val="000000" w:themeColor="text1"/>
          <w:szCs w:val="21"/>
          <w:lang w:eastAsia="zh-CN"/>
          <w14:textFill>
            <w14:solidFill>
              <w14:schemeClr w14:val="tx1"/>
            </w14:solidFill>
          </w14:textFill>
        </w:rPr>
        <w:t>）</w:t>
      </w:r>
      <w:r>
        <w:rPr>
          <w:rFonts w:hint="eastAsia" w:ascii="仿宋" w:hAnsi="仿宋" w:eastAsia="仿宋" w:cs="Times New Roman Regular"/>
          <w:color w:val="000000" w:themeColor="text1"/>
          <w:szCs w:val="21"/>
          <w:lang w:val="en-US" w:eastAsia="zh-CN"/>
          <w14:textFill>
            <w14:solidFill>
              <w14:schemeClr w14:val="tx1"/>
            </w14:solidFill>
          </w14:textFill>
        </w:rPr>
        <w:t>高管联结数据：</w:t>
      </w:r>
      <w:r>
        <w:rPr>
          <w:rFonts w:hint="eastAsia" w:ascii="仿宋" w:hAnsi="仿宋" w:eastAsia="仿宋" w:cs="Times New Roman Regular"/>
          <w:color w:val="000000" w:themeColor="text1"/>
          <w:szCs w:val="21"/>
          <w:lang w:eastAsia="zh-Hans"/>
          <w14:textFill>
            <w14:solidFill>
              <w14:schemeClr w14:val="tx1"/>
            </w14:solidFill>
          </w14:textFill>
        </w:rPr>
        <w:t>将国泰安数据库（CSMAR）中的董监高个人特征文件和董监高任职情况表与行权数据匹配，识别在中证投服行权监管当年被行权公司的高管名单，并根据该高管名单得出与被行权公司存在高管联结关系的联结公司名单。</w:t>
      </w:r>
    </w:p>
    <w:p>
      <w:pPr>
        <w:ind w:firstLine="420" w:firstLineChars="200"/>
        <w:rPr>
          <w:rFonts w:hint="eastAsia" w:ascii="仿宋" w:hAnsi="仿宋" w:eastAsia="仿宋" w:cs="Times New Roman Regular"/>
          <w:color w:val="000000" w:themeColor="text1"/>
          <w:szCs w:val="21"/>
          <w:lang w:eastAsia="zh-Hans"/>
          <w14:textFill>
            <w14:solidFill>
              <w14:schemeClr w14:val="tx1"/>
            </w14:solidFill>
          </w14:textFill>
        </w:rPr>
      </w:pPr>
    </w:p>
    <w:p>
      <w:pPr>
        <w:ind w:firstLine="420" w:firstLineChars="200"/>
        <w:rPr>
          <w:rFonts w:hint="eastAsia" w:ascii="仿宋" w:hAnsi="仿宋" w:eastAsia="仿宋" w:cs="Times New Roman Regular"/>
          <w:color w:val="000000" w:themeColor="text1"/>
          <w:szCs w:val="21"/>
          <w:lang w:eastAsia="zh-Hans"/>
          <w14:textFill>
            <w14:solidFill>
              <w14:schemeClr w14:val="tx1"/>
            </w14:solidFill>
          </w14:textFill>
        </w:rPr>
      </w:pPr>
    </w:p>
    <w:p>
      <w:pPr>
        <w:spacing w:line="276" w:lineRule="auto"/>
        <w:rPr>
          <w:rFonts w:hint="eastAsia" w:ascii="仿宋" w:hAnsi="仿宋" w:eastAsia="仿宋"/>
        </w:rPr>
      </w:pPr>
      <w:r>
        <w:rPr>
          <w:rFonts w:hint="eastAsia" w:ascii="Times New Roman" w:hAnsi="Times New Roman" w:eastAsia="仿宋"/>
        </w:rPr>
        <w:t>（三）Dofile</w:t>
      </w:r>
      <w:r>
        <w:rPr>
          <w:rFonts w:hint="eastAsia" w:ascii="仿宋" w:hAnsi="仿宋" w:eastAsia="仿宋"/>
        </w:rPr>
        <w:t>里面使用的指标说明</w:t>
      </w:r>
    </w:p>
    <w:p>
      <w:pPr>
        <w:rPr>
          <w:rFonts w:hint="default" w:ascii="仿宋" w:hAnsi="仿宋" w:eastAsia="仿宋" w:cs="Times New Roman Regular"/>
          <w:color w:val="000000" w:themeColor="text1"/>
          <w:szCs w:val="21"/>
          <w:lang w:val="en-US" w:eastAsia="zh-CN"/>
          <w14:textFill>
            <w14:solidFill>
              <w14:schemeClr w14:val="tx1"/>
            </w14:solidFill>
          </w14:textFill>
        </w:rPr>
      </w:pP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CAR3: 首次宣告日前后1天的累计超额报酬率,对应正文CAR[-1,1]</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CAR5: 首次宣告日前后2天的股票累计超额报酬率,对应正文CAR[-2,2]</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ab/>
      </w:r>
      <w:r>
        <w:rPr>
          <w:rFonts w:hint="default" w:ascii="仿宋" w:hAnsi="仿宋" w:eastAsia="仿宋" w:cs="Times New Roman Regular"/>
          <w:color w:val="000000" w:themeColor="text1"/>
          <w:szCs w:val="21"/>
          <w:lang w:val="en-US" w:eastAsia="zh-CN"/>
          <w14:textFill>
            <w14:solidFill>
              <w14:schemeClr w14:val="tx1"/>
            </w14:solidFill>
          </w14:textFill>
        </w:rPr>
        <w:t>CAR11: 首次宣告日前后5天的股票累计超额报酬率,对应正文CAR[-5,5]</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BHAR12:</w:t>
      </w:r>
      <w:r>
        <w:rPr>
          <w:rFonts w:hint="default" w:ascii="仿宋" w:hAnsi="仿宋" w:eastAsia="仿宋" w:cs="Times New Roman Regular"/>
          <w:color w:val="000000" w:themeColor="text1"/>
          <w:szCs w:val="21"/>
          <w:lang w:val="en-US" w:eastAsia="zh-CN"/>
          <w14:textFill>
            <w14:solidFill>
              <w14:schemeClr w14:val="tx1"/>
            </w14:solidFill>
          </w14:textFill>
        </w:rPr>
        <w:tab/>
      </w:r>
      <w:r>
        <w:rPr>
          <w:rFonts w:hint="default" w:ascii="仿宋" w:hAnsi="仿宋" w:eastAsia="仿宋" w:cs="Times New Roman Regular"/>
          <w:color w:val="000000" w:themeColor="text1"/>
          <w:szCs w:val="21"/>
          <w:lang w:val="en-US" w:eastAsia="zh-CN"/>
          <w14:textFill>
            <w14:solidFill>
              <w14:schemeClr w14:val="tx1"/>
            </w14:solidFill>
          </w14:textFill>
        </w:rPr>
        <w:t>12 个月超额收益率</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BHAR24:</w:t>
      </w:r>
      <w:r>
        <w:rPr>
          <w:rFonts w:hint="default" w:ascii="仿宋" w:hAnsi="仿宋" w:eastAsia="仿宋" w:cs="Times New Roman Regular"/>
          <w:color w:val="000000" w:themeColor="text1"/>
          <w:szCs w:val="21"/>
          <w:lang w:val="en-US" w:eastAsia="zh-CN"/>
          <w14:textFill>
            <w14:solidFill>
              <w14:schemeClr w14:val="tx1"/>
            </w14:solidFill>
          </w14:textFill>
        </w:rPr>
        <w:tab/>
      </w:r>
      <w:r>
        <w:rPr>
          <w:rFonts w:hint="default" w:ascii="仿宋" w:hAnsi="仿宋" w:eastAsia="仿宋" w:cs="Times New Roman Regular"/>
          <w:color w:val="000000" w:themeColor="text1"/>
          <w:szCs w:val="21"/>
          <w:lang w:val="en-US" w:eastAsia="zh-CN"/>
          <w14:textFill>
            <w14:solidFill>
              <w14:schemeClr w14:val="tx1"/>
            </w14:solidFill>
          </w14:textFill>
        </w:rPr>
        <w:t>24 个月超额收益率</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BHAR36:</w:t>
      </w:r>
      <w:r>
        <w:rPr>
          <w:rFonts w:hint="default" w:ascii="仿宋" w:hAnsi="仿宋" w:eastAsia="仿宋" w:cs="Times New Roman Regular"/>
          <w:color w:val="000000" w:themeColor="text1"/>
          <w:szCs w:val="21"/>
          <w:lang w:val="en-US" w:eastAsia="zh-CN"/>
          <w14:textFill>
            <w14:solidFill>
              <w14:schemeClr w14:val="tx1"/>
            </w14:solidFill>
          </w14:textFill>
        </w:rPr>
        <w:tab/>
      </w:r>
      <w:r>
        <w:rPr>
          <w:rFonts w:hint="default" w:ascii="仿宋" w:hAnsi="仿宋" w:eastAsia="仿宋" w:cs="Times New Roman Regular"/>
          <w:color w:val="000000" w:themeColor="text1"/>
          <w:szCs w:val="21"/>
          <w:lang w:val="en-US" w:eastAsia="zh-CN"/>
          <w14:textFill>
            <w14:solidFill>
              <w14:schemeClr w14:val="tx1"/>
            </w14:solidFill>
          </w14:textFill>
        </w:rPr>
        <w:t>36 个月超额收益率</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treat:</w:t>
      </w:r>
      <w:r>
        <w:rPr>
          <w:rFonts w:hint="default" w:ascii="仿宋" w:hAnsi="仿宋" w:eastAsia="仿宋" w:cs="Times New Roman Regular"/>
          <w:color w:val="000000" w:themeColor="text1"/>
          <w:szCs w:val="21"/>
          <w:lang w:val="en-US" w:eastAsia="zh-CN"/>
          <w14:textFill>
            <w14:solidFill>
              <w14:schemeClr w14:val="tx1"/>
            </w14:solidFill>
          </w14:textFill>
        </w:rPr>
        <w:tab/>
      </w:r>
      <w:r>
        <w:rPr>
          <w:rFonts w:hint="default" w:ascii="仿宋" w:hAnsi="仿宋" w:eastAsia="仿宋" w:cs="Times New Roman Regular"/>
          <w:color w:val="000000" w:themeColor="text1"/>
          <w:szCs w:val="21"/>
          <w:lang w:val="en-US" w:eastAsia="zh-CN"/>
          <w14:textFill>
            <w14:solidFill>
              <w14:schemeClr w14:val="tx1"/>
            </w14:solidFill>
          </w14:textFill>
        </w:rPr>
        <w:t>与被行权企业已经存在高管联结的公司，赋值为1，否则为0</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post:</w:t>
      </w:r>
      <w:r>
        <w:rPr>
          <w:rFonts w:hint="default" w:ascii="仿宋" w:hAnsi="仿宋" w:eastAsia="仿宋" w:cs="Times New Roman Regular"/>
          <w:color w:val="000000" w:themeColor="text1"/>
          <w:szCs w:val="21"/>
          <w:lang w:val="en-US" w:eastAsia="zh-CN"/>
          <w14:textFill>
            <w14:solidFill>
              <w14:schemeClr w14:val="tx1"/>
            </w14:solidFill>
          </w14:textFill>
        </w:rPr>
        <w:tab/>
      </w:r>
      <w:r>
        <w:rPr>
          <w:rFonts w:hint="default" w:ascii="仿宋" w:hAnsi="仿宋" w:eastAsia="仿宋" w:cs="Times New Roman Regular"/>
          <w:color w:val="000000" w:themeColor="text1"/>
          <w:szCs w:val="21"/>
          <w:lang w:val="en-US" w:eastAsia="zh-CN"/>
          <w14:textFill>
            <w14:solidFill>
              <w14:schemeClr w14:val="tx1"/>
            </w14:solidFill>
          </w14:textFill>
        </w:rPr>
        <w:t>行权监管实施当年及以后年度，赋值为1，否则为0</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treatpost:</w:t>
      </w:r>
      <w:r>
        <w:rPr>
          <w:rFonts w:hint="default" w:ascii="仿宋" w:hAnsi="仿宋" w:eastAsia="仿宋" w:cs="Times New Roman Regular"/>
          <w:color w:val="000000" w:themeColor="text1"/>
          <w:szCs w:val="21"/>
          <w:lang w:val="en-US" w:eastAsia="zh-CN"/>
          <w14:textFill>
            <w14:solidFill>
              <w14:schemeClr w14:val="tx1"/>
            </w14:solidFill>
          </w14:textFill>
        </w:rPr>
        <w:tab/>
      </w:r>
      <w:r>
        <w:rPr>
          <w:rFonts w:hint="default" w:ascii="仿宋" w:hAnsi="仿宋" w:eastAsia="仿宋" w:cs="Times New Roman Regular"/>
          <w:color w:val="000000" w:themeColor="text1"/>
          <w:szCs w:val="21"/>
          <w:lang w:val="en-US" w:eastAsia="zh-CN"/>
          <w14:textFill>
            <w14:solidFill>
              <w14:schemeClr w14:val="tx1"/>
            </w14:solidFill>
          </w14:textFill>
        </w:rPr>
        <w:t>Treat与Post的交互项</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TQ: 公司市场价值/企业总资产（滞后一期）</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CF:</w:t>
      </w:r>
      <w:r>
        <w:rPr>
          <w:rFonts w:hint="default" w:ascii="仿宋" w:hAnsi="仿宋" w:eastAsia="仿宋" w:cs="Times New Roman Regular"/>
          <w:color w:val="000000" w:themeColor="text1"/>
          <w:szCs w:val="21"/>
          <w:lang w:val="en-US" w:eastAsia="zh-CN"/>
          <w14:textFill>
            <w14:solidFill>
              <w14:schemeClr w14:val="tx1"/>
            </w14:solidFill>
          </w14:textFill>
        </w:rPr>
        <w:tab/>
      </w:r>
      <w:r>
        <w:rPr>
          <w:rFonts w:hint="default" w:ascii="仿宋" w:hAnsi="仿宋" w:eastAsia="仿宋" w:cs="Times New Roman Regular"/>
          <w:color w:val="000000" w:themeColor="text1"/>
          <w:szCs w:val="21"/>
          <w:lang w:val="en-US" w:eastAsia="zh-CN"/>
          <w14:textFill>
            <w14:solidFill>
              <w14:schemeClr w14:val="tx1"/>
            </w14:solidFill>
          </w14:textFill>
        </w:rPr>
        <w:t>经营现金流净额/总资产（滞后一期）</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Size: 公司总资产的自然对数（滞后一期）</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Age: 公司自上市起的年份数</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Leverage: 公司总负债/总资产（滞后一期）</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MB: 股东权益/公司市值（滞后一期）</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Top1: 第一大股东持股比例（滞后一期）</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Top Minus: 第一、二股东持股比例之差（滞后一期）</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Lnsalary: 高管薪酬的自然对数（滞后一期）</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Boardsize: 董事总人数的自然对数（滞后一期）</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Independent Ratio: 独立董事人数/董事总人数（滞后一期）</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Dual: 董事长和 CEO 是同一个人为1，否则为0（滞后一期）</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Separation: 控制权与所有权差值（滞后一期）</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Payment: 纯现金支付为1，否则为0</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Underlying Type: 股票并购为1，否则为0</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Related Mergers: 关联交易为1，否则为0</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Merger Size: 并购交易价值除以收购方的总资产</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Area: 位于东部地区为1，否则为0</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Pilot: 中证投服试点持股为1，否则为0</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 xml:space="preserve">    Second City: 所在城市是二线及以上城市为1，否则为0</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ab/>
      </w:r>
      <w:r>
        <w:rPr>
          <w:rFonts w:hint="default" w:ascii="仿宋" w:hAnsi="仿宋" w:eastAsia="仿宋" w:cs="Times New Roman Regular"/>
          <w:color w:val="000000" w:themeColor="text1"/>
          <w:szCs w:val="21"/>
          <w:lang w:val="en-US" w:eastAsia="zh-CN"/>
          <w14:textFill>
            <w14:solidFill>
              <w14:schemeClr w14:val="tx1"/>
            </w14:solidFill>
          </w14:textFill>
        </w:rPr>
        <w:t>connect_dummy: 是否存在高管联结网络关系</w:t>
      </w:r>
    </w:p>
    <w:p>
      <w:pPr>
        <w:rPr>
          <w:rFonts w:hint="default" w:ascii="仿宋" w:hAnsi="仿宋" w:eastAsia="仿宋" w:cs="Times New Roman Regular"/>
          <w:color w:val="000000" w:themeColor="text1"/>
          <w:szCs w:val="21"/>
          <w:lang w:val="en-US" w:eastAsia="zh-CN"/>
          <w14:textFill>
            <w14:solidFill>
              <w14:schemeClr w14:val="tx1"/>
            </w14:solidFill>
          </w14:textFill>
        </w:rPr>
      </w:pPr>
      <w:r>
        <w:rPr>
          <w:rFonts w:hint="default" w:ascii="仿宋" w:hAnsi="仿宋" w:eastAsia="仿宋" w:cs="Times New Roman Regular"/>
          <w:color w:val="000000" w:themeColor="text1"/>
          <w:szCs w:val="21"/>
          <w:lang w:val="en-US" w:eastAsia="zh-CN"/>
          <w14:textFill>
            <w14:solidFill>
              <w14:schemeClr w14:val="tx1"/>
            </w14:solidFill>
          </w14:textFill>
        </w:rPr>
        <w:tab/>
      </w:r>
      <w:r>
        <w:rPr>
          <w:rFonts w:hint="default" w:ascii="仿宋" w:hAnsi="仿宋" w:eastAsia="仿宋" w:cs="Times New Roman Regular"/>
          <w:color w:val="000000" w:themeColor="text1"/>
          <w:szCs w:val="21"/>
          <w:lang w:val="en-US" w:eastAsia="zh-CN"/>
          <w14:textFill>
            <w14:solidFill>
              <w14:schemeClr w14:val="tx1"/>
            </w14:solidFill>
          </w14:textFill>
        </w:rPr>
        <w:t>connect_count: 高管兼任职务的其他上市公司的数量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imes New Roman Bold">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Times New Roman Regular">
    <w:panose1 w:val="02020603050405020304"/>
    <w:charset w:val="00"/>
    <w:family w:val="auto"/>
    <w:pitch w:val="default"/>
    <w:sig w:usb0="E0002AEF" w:usb1="C0007841"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7F53CC2"/>
    <w:rsid w:val="777F9DE2"/>
    <w:rsid w:val="E7F5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caption"/>
    <w:basedOn w:val="1"/>
    <w:next w:val="1"/>
    <w:semiHidden/>
    <w:unhideWhenUsed/>
    <w:qFormat/>
    <w:uiPriority w:val="0"/>
    <w:pPr>
      <w:adjustRightInd w:val="0"/>
      <w:snapToGrid w:val="0"/>
      <w:spacing w:line="360" w:lineRule="auto"/>
      <w:ind w:right="0" w:rightChars="0"/>
      <w:jc w:val="center"/>
    </w:pPr>
    <w:rPr>
      <w:rFonts w:ascii="Times New Roman Bold" w:hAnsi="Times New Roman Bold" w:eastAsia="Times New Roman Bold"/>
      <w:b/>
      <w:sz w:val="24"/>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2025-04-06T18:53:00Z</dcterms:created>
  <dc:creator>Ren JY</dc:creator>
  <cp:lastModifiedBy>Ren JY</cp:lastModifiedBy>
  <dcterms:modified xsi:type="dcterms:W3CDTF">2025-04-06T19:04:22Z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880108BE87DE5496145DF267C3C0B62F_41</vt:lpwstr>
  </property>
</Properties>
</file>