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4BB29">
      <w:pPr>
        <w:spacing w:line="276" w:lineRule="auto"/>
        <w:jc w:val="center"/>
        <w:rPr>
          <w:rFonts w:hint="eastAsia" w:ascii="仿宋" w:hAnsi="仿宋" w:eastAsia="仿宋"/>
          <w:sz w:val="28"/>
          <w:szCs w:val="28"/>
        </w:rPr>
      </w:pPr>
      <w:r>
        <w:rPr>
          <w:rFonts w:hint="eastAsia" w:ascii="仿宋" w:hAnsi="仿宋" w:eastAsia="仿宋"/>
          <w:sz w:val="28"/>
          <w:szCs w:val="28"/>
        </w:rPr>
        <w:t>说明文档</w:t>
      </w:r>
    </w:p>
    <w:p w14:paraId="772E4063">
      <w:pPr>
        <w:spacing w:line="276" w:lineRule="auto"/>
        <w:jc w:val="both"/>
        <w:rPr>
          <w:rFonts w:hint="eastAsia" w:ascii="仿宋" w:hAnsi="仿宋" w:eastAsia="仿宋"/>
          <w:sz w:val="28"/>
          <w:szCs w:val="28"/>
        </w:rPr>
      </w:pPr>
    </w:p>
    <w:p w14:paraId="4341CDD2">
      <w:pPr>
        <w:spacing w:line="276" w:lineRule="auto"/>
        <w:jc w:val="both"/>
        <w:rPr>
          <w:rFonts w:hint="eastAsia" w:ascii="仿宋" w:hAnsi="仿宋" w:eastAsia="仿宋"/>
          <w:b/>
          <w:bCs/>
        </w:rPr>
      </w:pPr>
      <w:r>
        <w:rPr>
          <w:rFonts w:hint="eastAsia" w:ascii="仿宋" w:hAnsi="仿宋" w:eastAsia="仿宋"/>
          <w:b/>
          <w:bCs/>
          <w:lang w:eastAsia="zh-CN"/>
        </w:rPr>
        <w:t>（</w:t>
      </w:r>
      <w:r>
        <w:rPr>
          <w:rFonts w:hint="eastAsia" w:ascii="仿宋" w:hAnsi="仿宋" w:eastAsia="仿宋"/>
          <w:b/>
          <w:bCs/>
          <w:lang w:val="en-US" w:eastAsia="zh-CN"/>
        </w:rPr>
        <w:t>一</w:t>
      </w:r>
      <w:r>
        <w:rPr>
          <w:rFonts w:hint="eastAsia" w:ascii="仿宋" w:hAnsi="仿宋" w:eastAsia="仿宋"/>
          <w:b/>
          <w:bCs/>
          <w:lang w:eastAsia="zh-CN"/>
        </w:rPr>
        <w:t>）</w:t>
      </w:r>
      <w:r>
        <w:rPr>
          <w:rFonts w:hint="eastAsia" w:ascii="仿宋" w:hAnsi="仿宋" w:eastAsia="仿宋"/>
          <w:b/>
          <w:bCs/>
        </w:rPr>
        <w:t>文件说明</w:t>
      </w:r>
    </w:p>
    <w:p w14:paraId="7195213E">
      <w:pPr>
        <w:keepNext w:val="0"/>
        <w:keepLines w:val="0"/>
        <w:pageBreakBefore w:val="0"/>
        <w:widowControl w:val="0"/>
        <w:numPr>
          <w:ilvl w:val="0"/>
          <w:numId w:val="0"/>
        </w:numPr>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文章使用的数据代码压缩包命名为“2024-01346_数据”，</w:t>
      </w:r>
      <w:r>
        <w:rPr>
          <w:rFonts w:hint="eastAsia" w:ascii="Times New Roman" w:hAnsi="Times New Roman" w:eastAsia="仿宋" w:cs="Times New Roman"/>
          <w:lang w:val="en-US" w:eastAsia="zh-CN"/>
        </w:rPr>
        <w:t>打开</w:t>
      </w:r>
      <w:r>
        <w:rPr>
          <w:rFonts w:hint="default" w:ascii="Times New Roman" w:hAnsi="Times New Roman" w:eastAsia="仿宋" w:cs="Times New Roman"/>
          <w:lang w:val="en-US" w:eastAsia="zh-CN"/>
        </w:rPr>
        <w:t>之后里面有“2024-01346+程序代码”、“2024-01346+日志文件”</w:t>
      </w:r>
      <w:r>
        <w:rPr>
          <w:rFonts w:hint="eastAsia" w:ascii="Times New Roman" w:hAnsi="Times New Roman" w:eastAsia="仿宋" w:cs="Times New Roman"/>
          <w:lang w:val="en-US" w:eastAsia="zh-CN"/>
        </w:rPr>
        <w:t>、</w:t>
      </w:r>
      <w:r>
        <w:rPr>
          <w:rFonts w:hint="default" w:ascii="Times New Roman" w:hAnsi="Times New Roman" w:eastAsia="仿宋" w:cs="Times New Roman"/>
          <w:lang w:val="en-US" w:eastAsia="zh-CN"/>
        </w:rPr>
        <w:t>“2024-01346+说明文档”</w:t>
      </w:r>
      <w:r>
        <w:rPr>
          <w:rFonts w:hint="eastAsia" w:ascii="Times New Roman" w:hAnsi="Times New Roman" w:eastAsia="仿宋" w:cs="Times New Roman"/>
          <w:lang w:val="en-US" w:eastAsia="zh-CN"/>
        </w:rPr>
        <w:t>和“2024-0136_生成文章图表的截图”4</w:t>
      </w:r>
      <w:r>
        <w:rPr>
          <w:rFonts w:hint="default" w:ascii="Times New Roman" w:hAnsi="Times New Roman" w:eastAsia="仿宋" w:cs="Times New Roman"/>
          <w:lang w:val="en-US" w:eastAsia="zh-CN"/>
        </w:rPr>
        <w:t>个部分。</w:t>
      </w:r>
    </w:p>
    <w:p w14:paraId="21770751">
      <w:pPr>
        <w:keepNext w:val="0"/>
        <w:keepLines w:val="0"/>
        <w:pageBreakBefore w:val="0"/>
        <w:widowControl w:val="0"/>
        <w:numPr>
          <w:ilvl w:val="0"/>
          <w:numId w:val="0"/>
        </w:numPr>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（1）“2024-01346+程序代码”里面包括2个文件，分别是“statistic_vertical_tables”和“statistic_vertical_figures”文件：</w:t>
      </w:r>
    </w:p>
    <w:p w14:paraId="5283E022">
      <w:pPr>
        <w:keepNext w:val="0"/>
        <w:keepLines w:val="0"/>
        <w:pageBreakBefore w:val="0"/>
        <w:widowControl w:val="0"/>
        <w:numPr>
          <w:ilvl w:val="0"/>
          <w:numId w:val="0"/>
        </w:numPr>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黑体" w:cs="Times New Roman"/>
          <w:lang w:val="en-US" w:eastAsia="zh-CN"/>
        </w:rPr>
      </w:pPr>
      <w:r>
        <w:rPr>
          <w:rFonts w:hint="default" w:ascii="Times New Roman" w:hAnsi="Times New Roman" w:eastAsia="仿宋" w:cs="Times New Roman"/>
          <w:lang w:val="en-US" w:eastAsia="zh-CN"/>
        </w:rPr>
        <w:t>“statistic_vertical_tables”是表格运行</w:t>
      </w:r>
      <w:r>
        <w:rPr>
          <w:rFonts w:hint="eastAsia" w:ascii="Times New Roman" w:hAnsi="Times New Roman" w:eastAsia="仿宋" w:cs="Times New Roman"/>
          <w:lang w:val="en-US" w:eastAsia="zh-CN"/>
        </w:rPr>
        <w:t>代码</w:t>
      </w:r>
      <w:r>
        <w:rPr>
          <w:rFonts w:hint="default" w:ascii="Times New Roman" w:hAnsi="Times New Roman" w:eastAsia="仿宋" w:cs="Times New Roman"/>
          <w:lang w:val="en-US" w:eastAsia="zh-CN"/>
        </w:rPr>
        <w:t>，主要生成正文中的表1-表3以及在线附录中的表</w:t>
      </w:r>
      <w:r>
        <w:rPr>
          <w:rFonts w:hint="eastAsia" w:ascii="Times New Roman" w:hAnsi="Times New Roman" w:eastAsia="仿宋" w:cs="Times New Roman"/>
          <w:lang w:val="en-US" w:eastAsia="zh-CN"/>
        </w:rPr>
        <w:t>Ⅵ1</w:t>
      </w:r>
      <w:r>
        <w:rPr>
          <w:rFonts w:hint="default" w:ascii="Times New Roman" w:hAnsi="Times New Roman" w:eastAsia="仿宋" w:cs="Times New Roman"/>
          <w:lang w:val="en-US" w:eastAsia="zh-CN"/>
        </w:rPr>
        <w:t>、表</w:t>
      </w:r>
      <w:r>
        <w:rPr>
          <w:rFonts w:hint="eastAsia" w:ascii="Times New Roman" w:hAnsi="Times New Roman" w:eastAsia="仿宋" w:cs="Times New Roman"/>
          <w:lang w:val="en-US" w:eastAsia="zh-CN"/>
        </w:rPr>
        <w:t>Ⅶ1</w:t>
      </w:r>
      <w:r>
        <w:rPr>
          <w:rFonts w:hint="default" w:ascii="Times New Roman" w:hAnsi="Times New Roman" w:eastAsia="仿宋" w:cs="Times New Roman"/>
          <w:lang w:val="en-US" w:eastAsia="zh-CN"/>
        </w:rPr>
        <w:t>-</w:t>
      </w:r>
      <w:r>
        <w:rPr>
          <w:rFonts w:hint="eastAsia" w:ascii="Times New Roman" w:hAnsi="Times New Roman" w:eastAsia="仿宋" w:cs="Times New Roman"/>
          <w:lang w:val="en-US" w:eastAsia="zh-CN"/>
        </w:rPr>
        <w:t>表Ⅶ5</w:t>
      </w:r>
      <w:r>
        <w:rPr>
          <w:rFonts w:hint="default" w:ascii="Times New Roman" w:hAnsi="Times New Roman" w:eastAsia="仿宋" w:cs="Times New Roman"/>
          <w:lang w:val="en-US" w:eastAsia="zh-CN"/>
        </w:rPr>
        <w:t>、表</w:t>
      </w:r>
      <w:r>
        <w:rPr>
          <w:rFonts w:hint="eastAsia" w:ascii="Times New Roman" w:hAnsi="Times New Roman" w:eastAsia="仿宋" w:cs="Times New Roman"/>
          <w:lang w:val="en-US" w:eastAsia="zh-CN"/>
        </w:rPr>
        <w:t>Ⅷ1</w:t>
      </w:r>
      <w:r>
        <w:rPr>
          <w:rFonts w:hint="default" w:ascii="Times New Roman" w:hAnsi="Times New Roman" w:eastAsia="仿宋" w:cs="Times New Roman"/>
          <w:lang w:val="en-US" w:eastAsia="zh-CN"/>
        </w:rPr>
        <w:t>的运行结果；“statistic_vertical_figures”是图运行</w:t>
      </w:r>
      <w:r>
        <w:rPr>
          <w:rFonts w:hint="eastAsia" w:ascii="Times New Roman" w:hAnsi="Times New Roman" w:eastAsia="仿宋" w:cs="Times New Roman"/>
          <w:lang w:val="en-US" w:eastAsia="zh-CN"/>
        </w:rPr>
        <w:t>代码</w:t>
      </w:r>
      <w:r>
        <w:rPr>
          <w:rFonts w:hint="default" w:ascii="Times New Roman" w:hAnsi="Times New Roman" w:eastAsia="仿宋" w:cs="Times New Roman"/>
          <w:lang w:val="en-US" w:eastAsia="zh-CN"/>
        </w:rPr>
        <w:t>，主要生成正文中的图</w:t>
      </w:r>
      <w:r>
        <w:rPr>
          <w:rFonts w:hint="eastAsia" w:ascii="Times New Roman" w:hAnsi="Times New Roman" w:eastAsia="仿宋" w:cs="Times New Roman"/>
          <w:lang w:val="en-US" w:eastAsia="zh-CN"/>
        </w:rPr>
        <w:t>4</w:t>
      </w:r>
      <w:r>
        <w:rPr>
          <w:rFonts w:hint="default" w:ascii="Times New Roman" w:hAnsi="Times New Roman" w:eastAsia="仿宋" w:cs="Times New Roman"/>
          <w:lang w:val="en-US" w:eastAsia="zh-CN"/>
        </w:rPr>
        <w:t>、图</w:t>
      </w:r>
      <w:r>
        <w:rPr>
          <w:rFonts w:hint="eastAsia" w:ascii="Times New Roman" w:hAnsi="Times New Roman" w:eastAsia="仿宋" w:cs="Times New Roman"/>
          <w:lang w:val="en-US" w:eastAsia="zh-CN"/>
        </w:rPr>
        <w:t>5</w:t>
      </w:r>
      <w:r>
        <w:rPr>
          <w:rFonts w:hint="default" w:ascii="Times New Roman" w:hAnsi="Times New Roman" w:eastAsia="仿宋" w:cs="Times New Roman"/>
          <w:lang w:val="en-US" w:eastAsia="zh-CN"/>
        </w:rPr>
        <w:t>和</w:t>
      </w:r>
      <w:r>
        <w:rPr>
          <w:rFonts w:hint="eastAsia" w:ascii="Times New Roman" w:hAnsi="Times New Roman" w:eastAsia="仿宋" w:cs="Times New Roman"/>
          <w:lang w:val="en-US" w:eastAsia="zh-CN"/>
        </w:rPr>
        <w:t>在线附录中的图</w:t>
      </w:r>
      <w:r>
        <w:rPr>
          <w:rFonts w:hint="default" w:ascii="Times New Roman" w:hAnsi="Times New Roman" w:eastAsia="仿宋" w:cs="Times New Roman"/>
          <w:lang w:val="en-US" w:eastAsia="zh-CN"/>
        </w:rPr>
        <w:t>Ⅴ1</w:t>
      </w:r>
      <w:r>
        <w:rPr>
          <w:rFonts w:hint="eastAsia" w:ascii="Times New Roman" w:hAnsi="Times New Roman" w:eastAsia="仿宋" w:cs="Times New Roman"/>
          <w:lang w:val="en-US" w:eastAsia="zh-CN"/>
        </w:rPr>
        <w:t>和图</w:t>
      </w:r>
      <w:r>
        <w:rPr>
          <w:rFonts w:hint="default" w:ascii="Times New Roman" w:hAnsi="Times New Roman" w:eastAsia="仿宋" w:cs="Times New Roman"/>
          <w:lang w:val="en-US" w:eastAsia="zh-CN"/>
        </w:rPr>
        <w:t>Ⅴ</w:t>
      </w:r>
      <w:r>
        <w:rPr>
          <w:rFonts w:hint="eastAsia" w:ascii="Times New Roman" w:hAnsi="Times New Roman" w:eastAsia="仿宋" w:cs="Times New Roman"/>
          <w:lang w:val="en-US" w:eastAsia="zh-CN"/>
        </w:rPr>
        <w:t>2。</w:t>
      </w:r>
    </w:p>
    <w:p w14:paraId="74DE249E">
      <w:pPr>
        <w:keepNext w:val="0"/>
        <w:keepLines w:val="0"/>
        <w:pageBreakBefore w:val="0"/>
        <w:widowControl w:val="0"/>
        <w:numPr>
          <w:ilvl w:val="0"/>
          <w:numId w:val="1"/>
        </w:numPr>
        <w:kinsoku/>
        <w:wordWrap/>
        <w:overflowPunct/>
        <w:topLinePunct w:val="0"/>
        <w:autoSpaceDE/>
        <w:autoSpaceDN/>
        <w:bidi w:val="0"/>
        <w:adjustRightInd/>
        <w:snapToGrid/>
        <w:spacing w:line="276" w:lineRule="auto"/>
        <w:ind w:firstLine="420" w:firstLineChars="200"/>
        <w:textAlignment w:val="auto"/>
        <w:rPr>
          <w:rFonts w:hint="default" w:ascii="Times New Roman" w:hAnsi="Times New Roman" w:eastAsia="仿宋" w:cs="Times New Roman"/>
        </w:rPr>
      </w:pPr>
      <w:r>
        <w:rPr>
          <w:rFonts w:hint="default" w:ascii="Times New Roman" w:hAnsi="Times New Roman" w:eastAsia="仿宋" w:cs="Times New Roman"/>
        </w:rPr>
        <w:t>“2024-0</w:t>
      </w:r>
      <w:r>
        <w:rPr>
          <w:rFonts w:hint="default" w:ascii="Times New Roman" w:hAnsi="Times New Roman" w:eastAsia="仿宋" w:cs="Times New Roman"/>
          <w:lang w:val="en-US" w:eastAsia="zh-CN"/>
        </w:rPr>
        <w:t>1346</w:t>
      </w:r>
      <w:r>
        <w:rPr>
          <w:rFonts w:hint="default" w:ascii="Times New Roman" w:hAnsi="Times New Roman" w:eastAsia="仿宋" w:cs="Times New Roman"/>
        </w:rPr>
        <w:t>+</w:t>
      </w:r>
      <w:r>
        <w:rPr>
          <w:rFonts w:hint="default" w:ascii="Times New Roman" w:hAnsi="Times New Roman" w:eastAsia="仿宋" w:cs="Times New Roman"/>
          <w:b/>
          <w:bCs/>
        </w:rPr>
        <w:t>日志文件</w:t>
      </w:r>
      <w:r>
        <w:rPr>
          <w:rFonts w:hint="default" w:ascii="Times New Roman" w:hAnsi="Times New Roman" w:eastAsia="仿宋" w:cs="Times New Roman"/>
        </w:rPr>
        <w:t>”中</w:t>
      </w:r>
      <w:r>
        <w:rPr>
          <w:rFonts w:hint="eastAsia" w:ascii="Times New Roman" w:hAnsi="Times New Roman" w:eastAsia="仿宋" w:cs="Times New Roman"/>
          <w:lang w:val="en-US" w:eastAsia="zh-CN"/>
        </w:rPr>
        <w:t>包括“log_figures_analysis”、“log_tables_analysis”和程序运行时生成的各类图和表。</w:t>
      </w:r>
    </w:p>
    <w:p w14:paraId="2E88DCDE">
      <w:pPr>
        <w:keepNext w:val="0"/>
        <w:keepLines w:val="0"/>
        <w:pageBreakBefore w:val="0"/>
        <w:widowControl w:val="0"/>
        <w:numPr>
          <w:ilvl w:val="0"/>
          <w:numId w:val="0"/>
        </w:numPr>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cs="Times New Roman"/>
          <w:lang w:val="en-US" w:eastAsia="zh-CN"/>
        </w:rPr>
      </w:pPr>
      <w:r>
        <w:rPr>
          <w:rFonts w:hint="eastAsia" w:ascii="Times New Roman" w:hAnsi="Times New Roman" w:eastAsia="仿宋" w:cs="Times New Roman"/>
          <w:lang w:val="en-US" w:eastAsia="zh-CN"/>
        </w:rPr>
        <w:t>其中，“log_figures_analysis”是文章所涉及所有图形部分的运行日志，运行输出的文件包括图4、图5和在线附录中的图Ⅴ1和图Ⅴ2。。</w:t>
      </w:r>
    </w:p>
    <w:p w14:paraId="6307FD7B">
      <w:pPr>
        <w:keepNext w:val="0"/>
        <w:keepLines w:val="0"/>
        <w:pageBreakBefore w:val="0"/>
        <w:widowControl w:val="0"/>
        <w:numPr>
          <w:ilvl w:val="0"/>
          <w:numId w:val="0"/>
        </w:numPr>
        <w:kinsoku/>
        <w:wordWrap/>
        <w:overflowPunct/>
        <w:topLinePunct w:val="0"/>
        <w:autoSpaceDE/>
        <w:autoSpaceDN/>
        <w:bidi w:val="0"/>
        <w:adjustRightInd/>
        <w:snapToGrid/>
        <w:spacing w:line="276" w:lineRule="auto"/>
        <w:ind w:firstLine="420" w:firstLineChars="200"/>
        <w:textAlignment w:val="auto"/>
        <w:rPr>
          <w:rFonts w:hint="eastAsia" w:ascii="Times New Roman" w:hAnsi="Times New Roman" w:eastAsia="仿宋" w:cs="Times New Roman"/>
          <w:lang w:val="en-US" w:eastAsia="zh-CN"/>
        </w:rPr>
      </w:pPr>
      <w:r>
        <w:rPr>
          <w:rFonts w:hint="eastAsia" w:ascii="Times New Roman" w:hAnsi="Times New Roman" w:eastAsia="仿宋" w:cs="Times New Roman"/>
          <w:lang w:val="en-US" w:eastAsia="zh-CN"/>
        </w:rPr>
        <w:t>“log_tables_analysis”是文章所有表格的运行日志文件。其中，包括正文中的表1-表3和在线附录中的</w:t>
      </w:r>
      <w:r>
        <w:rPr>
          <w:rFonts w:hint="default" w:ascii="Times New Roman" w:hAnsi="Times New Roman" w:eastAsia="仿宋" w:cs="Times New Roman"/>
          <w:lang w:val="en-US" w:eastAsia="zh-CN"/>
        </w:rPr>
        <w:t>Myfile</w:t>
      </w:r>
      <w:r>
        <w:rPr>
          <w:rFonts w:hint="eastAsia" w:ascii="Times New Roman" w:hAnsi="Times New Roman" w:eastAsia="仿宋" w:cs="Times New Roman"/>
          <w:lang w:val="en-US" w:eastAsia="zh-CN"/>
        </w:rPr>
        <w:t>（对应表Ⅵ1</w:t>
      </w:r>
      <w:r>
        <w:rPr>
          <w:rFonts w:hint="default" w:ascii="Times New Roman" w:hAnsi="Times New Roman" w:eastAsia="仿宋" w:cs="Times New Roman"/>
          <w:lang w:val="en-US" w:eastAsia="zh-CN"/>
        </w:rPr>
        <w:t>的</w:t>
      </w:r>
      <w:r>
        <w:rPr>
          <w:rFonts w:hint="eastAsia" w:ascii="Times New Roman" w:hAnsi="Times New Roman" w:eastAsia="仿宋" w:cs="Times New Roman"/>
          <w:lang w:val="en-US" w:eastAsia="zh-CN"/>
        </w:rPr>
        <w:t>描述性统计</w:t>
      </w:r>
      <w:r>
        <w:rPr>
          <w:rFonts w:hint="default" w:ascii="Times New Roman" w:hAnsi="Times New Roman" w:eastAsia="仿宋" w:cs="Times New Roman"/>
          <w:lang w:val="en-US" w:eastAsia="zh-CN"/>
        </w:rPr>
        <w:t>结果</w:t>
      </w:r>
      <w:r>
        <w:rPr>
          <w:rFonts w:hint="eastAsia" w:ascii="Times New Roman" w:hAnsi="Times New Roman" w:eastAsia="仿宋" w:cs="Times New Roman"/>
          <w:lang w:val="en-US" w:eastAsia="zh-CN"/>
        </w:rPr>
        <w:t>）、表Ⅶ1、表Ⅶ2、表Ⅶ3、表Ⅶ4、表Ⅶ5和表Ⅷ1。</w:t>
      </w:r>
      <w:r>
        <w:rPr>
          <w:rFonts w:hint="default" w:ascii="Times New Roman" w:hAnsi="Times New Roman" w:eastAsia="仿宋" w:cs="Times New Roman"/>
        </w:rPr>
        <w:t>需要说明的是，与正文中结果相比，</w:t>
      </w:r>
      <w:r>
        <w:rPr>
          <w:rFonts w:hint="eastAsia" w:ascii="Times New Roman" w:hAnsi="Times New Roman" w:eastAsia="仿宋" w:cs="Times New Roman"/>
          <w:lang w:val="en-US" w:eastAsia="zh-CN"/>
        </w:rPr>
        <w:t>日志文件中展示的</w:t>
      </w:r>
      <w:r>
        <w:rPr>
          <w:rFonts w:hint="default" w:ascii="Times New Roman" w:hAnsi="Times New Roman" w:eastAsia="仿宋" w:cs="Times New Roman"/>
        </w:rPr>
        <w:t>图4、图5和在线附录中的图Ⅴ1和图Ⅴ2</w:t>
      </w:r>
      <w:r>
        <w:rPr>
          <w:rFonts w:hint="eastAsia" w:ascii="Times New Roman" w:hAnsi="Times New Roman" w:eastAsia="仿宋" w:cs="Times New Roman"/>
          <w:lang w:val="en-US" w:eastAsia="zh-CN"/>
        </w:rPr>
        <w:t>是程序运行后的直接生成的结果，而在正文汇报中，我们又基于stata中的窗口化操作，对图形颜色、实虚线等进行微调，使其更美观。</w:t>
      </w:r>
    </w:p>
    <w:p w14:paraId="785502AA">
      <w:pPr>
        <w:keepNext w:val="0"/>
        <w:keepLines w:val="0"/>
        <w:pageBreakBefore w:val="0"/>
        <w:widowControl w:val="0"/>
        <w:numPr>
          <w:ilvl w:val="0"/>
          <w:numId w:val="0"/>
        </w:numPr>
        <w:kinsoku/>
        <w:wordWrap/>
        <w:overflowPunct/>
        <w:topLinePunct w:val="0"/>
        <w:autoSpaceDE/>
        <w:autoSpaceDN/>
        <w:bidi w:val="0"/>
        <w:adjustRightInd/>
        <w:snapToGrid/>
        <w:spacing w:line="276" w:lineRule="auto"/>
        <w:ind w:firstLine="420" w:firstLineChars="200"/>
        <w:textAlignment w:val="auto"/>
        <w:rPr>
          <w:rFonts w:hint="default" w:ascii="Times New Roman" w:hAnsi="Times New Roman" w:eastAsia="仿宋" w:cs="Times New Roman"/>
          <w:lang w:val="en-US" w:eastAsia="zh-CN"/>
        </w:rPr>
      </w:pPr>
      <w:r>
        <w:rPr>
          <w:rFonts w:hint="eastAsia" w:ascii="Times New Roman" w:hAnsi="Times New Roman" w:eastAsia="仿宋" w:cs="Times New Roman"/>
          <w:lang w:val="en-US" w:eastAsia="zh-CN"/>
        </w:rPr>
        <w:t>（3）“2024-0136_生成文章图表的截图”中包括“2024-01346_正文截图”和“2024-01346_附录截图”两部分。</w:t>
      </w:r>
    </w:p>
    <w:p w14:paraId="6B325481">
      <w:pPr>
        <w:keepNext w:val="0"/>
        <w:keepLines w:val="0"/>
        <w:pageBreakBefore w:val="0"/>
        <w:widowControl w:val="0"/>
        <w:numPr>
          <w:ilvl w:val="0"/>
          <w:numId w:val="0"/>
        </w:numPr>
        <w:kinsoku/>
        <w:wordWrap/>
        <w:overflowPunct/>
        <w:topLinePunct w:val="0"/>
        <w:autoSpaceDE/>
        <w:autoSpaceDN/>
        <w:bidi w:val="0"/>
        <w:adjustRightInd/>
        <w:snapToGrid/>
        <w:spacing w:line="276" w:lineRule="auto"/>
        <w:ind w:firstLine="420" w:firstLineChars="200"/>
        <w:textAlignment w:val="auto"/>
        <w:rPr>
          <w:rFonts w:hint="default" w:ascii="Times New Roman" w:hAnsi="Times New Roman" w:eastAsia="仿宋" w:cs="Times New Roman"/>
        </w:rPr>
      </w:pPr>
      <w:r>
        <w:rPr>
          <w:rFonts w:hint="eastAsia" w:ascii="Times New Roman" w:hAnsi="Times New Roman" w:eastAsia="仿宋" w:cs="Times New Roman"/>
          <w:lang w:eastAsia="zh-CN"/>
        </w:rPr>
        <w:t>（</w:t>
      </w:r>
      <w:r>
        <w:rPr>
          <w:rFonts w:hint="eastAsia" w:ascii="Times New Roman" w:hAnsi="Times New Roman" w:eastAsia="仿宋" w:cs="Times New Roman"/>
          <w:lang w:val="en-US" w:eastAsia="zh-CN"/>
        </w:rPr>
        <w:t>4</w:t>
      </w:r>
      <w:r>
        <w:rPr>
          <w:rFonts w:hint="eastAsia" w:ascii="Times New Roman" w:hAnsi="Times New Roman" w:eastAsia="仿宋" w:cs="Times New Roman"/>
          <w:lang w:eastAsia="zh-CN"/>
        </w:rPr>
        <w:t>）</w:t>
      </w:r>
      <w:r>
        <w:rPr>
          <w:rFonts w:hint="default" w:ascii="Times New Roman" w:hAnsi="Times New Roman" w:eastAsia="仿宋" w:cs="Times New Roman"/>
        </w:rPr>
        <w:t>“2024-0</w:t>
      </w:r>
      <w:r>
        <w:rPr>
          <w:rFonts w:hint="default" w:ascii="Times New Roman" w:hAnsi="Times New Roman" w:eastAsia="仿宋" w:cs="Times New Roman"/>
          <w:lang w:val="en-US" w:eastAsia="zh-CN"/>
        </w:rPr>
        <w:t>1346</w:t>
      </w:r>
      <w:r>
        <w:rPr>
          <w:rFonts w:hint="default" w:ascii="Times New Roman" w:hAnsi="Times New Roman" w:eastAsia="仿宋" w:cs="Times New Roman"/>
        </w:rPr>
        <w:t>+说明文档”即是本说明文档。</w:t>
      </w:r>
    </w:p>
    <w:p w14:paraId="48F2547C">
      <w:pPr>
        <w:spacing w:line="276" w:lineRule="auto"/>
        <w:rPr>
          <w:rFonts w:hint="eastAsia" w:ascii="仿宋" w:hAnsi="仿宋" w:eastAsia="仿宋"/>
          <w:b/>
          <w:bCs/>
        </w:rPr>
      </w:pPr>
    </w:p>
    <w:p w14:paraId="6778A9D9">
      <w:pPr>
        <w:spacing w:line="276" w:lineRule="auto"/>
        <w:rPr>
          <w:rFonts w:hint="eastAsia" w:ascii="仿宋" w:hAnsi="仿宋" w:eastAsia="仿宋"/>
        </w:rPr>
      </w:pPr>
      <w:r>
        <w:rPr>
          <w:rFonts w:hint="eastAsia" w:ascii="仿宋" w:hAnsi="仿宋" w:eastAsia="仿宋"/>
          <w:b/>
          <w:bCs/>
          <w:lang w:eastAsia="zh-CN"/>
        </w:rPr>
        <w:t>（</w:t>
      </w:r>
      <w:r>
        <w:rPr>
          <w:rFonts w:hint="eastAsia" w:ascii="仿宋" w:hAnsi="仿宋" w:eastAsia="仿宋"/>
          <w:b/>
          <w:bCs/>
          <w:lang w:val="en-US" w:eastAsia="zh-CN"/>
        </w:rPr>
        <w:t>二</w:t>
      </w:r>
      <w:r>
        <w:rPr>
          <w:rFonts w:hint="eastAsia" w:ascii="仿宋" w:hAnsi="仿宋" w:eastAsia="仿宋"/>
          <w:b/>
          <w:bCs/>
          <w:lang w:eastAsia="zh-CN"/>
        </w:rPr>
        <w:t>）</w:t>
      </w:r>
      <w:r>
        <w:rPr>
          <w:rFonts w:hint="eastAsia" w:ascii="仿宋" w:hAnsi="仿宋" w:eastAsia="仿宋"/>
          <w:b/>
          <w:bCs/>
        </w:rPr>
        <w:t>数据来源</w:t>
      </w:r>
    </w:p>
    <w:p w14:paraId="2F296FE3">
      <w:pPr>
        <w:spacing w:line="276" w:lineRule="auto"/>
        <w:ind w:firstLine="420" w:firstLineChars="200"/>
        <w:rPr>
          <w:rFonts w:hint="eastAsia" w:ascii="仿宋" w:hAnsi="仿宋" w:eastAsia="仿宋" w:cs="Times New Roman"/>
          <w:color w:val="000000"/>
          <w:szCs w:val="22"/>
          <w:lang w:val="en-US" w:eastAsia="zh-CN"/>
        </w:rPr>
      </w:pPr>
      <w:r>
        <w:rPr>
          <w:rFonts w:hint="eastAsia" w:ascii="仿宋" w:hAnsi="仿宋" w:eastAsia="仿宋" w:cs="Times New Roman"/>
          <w:color w:val="000000"/>
          <w:szCs w:val="22"/>
          <w:lang w:val="en-US" w:eastAsia="zh-CN"/>
        </w:rPr>
        <w:t>本文使用的数据主要包括以下3部分：</w:t>
      </w:r>
    </w:p>
    <w:p w14:paraId="75B66C22">
      <w:pPr>
        <w:numPr>
          <w:ilvl w:val="0"/>
          <w:numId w:val="2"/>
        </w:numPr>
        <w:spacing w:line="276" w:lineRule="auto"/>
        <w:ind w:firstLine="420" w:firstLineChars="200"/>
        <w:rPr>
          <w:rFonts w:hint="eastAsia" w:ascii="Times New Roman" w:hAnsi="Times New Roman" w:eastAsia="仿宋" w:cs="Times New Roman"/>
          <w:color w:val="auto"/>
          <w:szCs w:val="21"/>
          <w:lang w:eastAsia="zh-CN"/>
        </w:rPr>
      </w:pPr>
      <w:r>
        <w:rPr>
          <w:rFonts w:hint="eastAsia" w:ascii="Times New Roman" w:hAnsi="Times New Roman" w:eastAsia="仿宋" w:cs="Times New Roman"/>
          <w:color w:val="auto"/>
          <w:szCs w:val="21"/>
          <w:lang w:val="en-US" w:eastAsia="zh-CN"/>
        </w:rPr>
        <w:t>企业层面：</w:t>
      </w:r>
      <w:r>
        <w:rPr>
          <w:rFonts w:hint="default" w:ascii="Times New Roman" w:hAnsi="Times New Roman" w:eastAsia="仿宋" w:cs="Times New Roman"/>
          <w:color w:val="auto"/>
          <w:szCs w:val="21"/>
        </w:rPr>
        <w:t>企业层面的数据来源于国泰安数据库（CSMAR）和中国研究数据服务平台（CNRDS）</w:t>
      </w:r>
      <w:r>
        <w:rPr>
          <w:rFonts w:hint="eastAsia" w:ascii="Times New Roman" w:hAnsi="Times New Roman" w:eastAsia="仿宋" w:cs="Times New Roman"/>
          <w:color w:val="auto"/>
          <w:szCs w:val="21"/>
          <w:lang w:eastAsia="zh-CN"/>
        </w:rPr>
        <w:t>。</w:t>
      </w:r>
    </w:p>
    <w:p w14:paraId="6C58897E">
      <w:pPr>
        <w:numPr>
          <w:ilvl w:val="0"/>
          <w:numId w:val="2"/>
        </w:numPr>
        <w:spacing w:line="276" w:lineRule="auto"/>
        <w:ind w:firstLine="420" w:firstLineChars="200"/>
        <w:rPr>
          <w:rFonts w:hint="eastAsia" w:ascii="仿宋" w:hAnsi="仿宋" w:eastAsia="仿宋"/>
        </w:rPr>
      </w:pPr>
      <w:r>
        <w:rPr>
          <w:rFonts w:hint="eastAsia" w:ascii="Times New Roman" w:hAnsi="Times New Roman" w:eastAsia="仿宋" w:cs="Times New Roman"/>
          <w:color w:val="auto"/>
          <w:szCs w:val="21"/>
          <w:lang w:val="en-US" w:eastAsia="zh-CN"/>
        </w:rPr>
        <w:t>地区层面：第一，</w:t>
      </w:r>
      <w:r>
        <w:rPr>
          <w:rFonts w:hint="default" w:ascii="Times New Roman" w:hAnsi="Times New Roman" w:eastAsia="仿宋" w:cs="Times New Roman"/>
          <w:color w:val="auto"/>
          <w:szCs w:val="21"/>
        </w:rPr>
        <w:t>计算市场分割指数的基础数据来源于历年的《中国统计年鉴》中的</w:t>
      </w:r>
      <w:r>
        <w:rPr>
          <w:rFonts w:hint="eastAsia" w:ascii="Times New Roman" w:hAnsi="Times New Roman" w:eastAsia="仿宋" w:cs="Times New Roman"/>
          <w:color w:val="auto"/>
          <w:szCs w:val="21"/>
          <w:lang w:eastAsia="zh-CN"/>
        </w:rPr>
        <w:t>“</w:t>
      </w:r>
      <w:r>
        <w:rPr>
          <w:rFonts w:hint="default" w:ascii="Times New Roman" w:hAnsi="Times New Roman" w:eastAsia="仿宋" w:cs="Times New Roman"/>
          <w:color w:val="auto"/>
          <w:szCs w:val="21"/>
        </w:rPr>
        <w:t>分地区商品零售价格指数</w:t>
      </w:r>
      <w:r>
        <w:rPr>
          <w:rFonts w:hint="eastAsia" w:ascii="Times New Roman" w:hAnsi="Times New Roman" w:eastAsia="仿宋" w:cs="Times New Roman"/>
          <w:color w:val="auto"/>
          <w:szCs w:val="21"/>
          <w:lang w:eastAsia="zh-CN"/>
        </w:rPr>
        <w:t>”，</w:t>
      </w:r>
      <w:r>
        <w:rPr>
          <w:rFonts w:hint="eastAsia" w:ascii="Times New Roman" w:hAnsi="Times New Roman" w:eastAsia="仿宋" w:cs="Times New Roman"/>
          <w:color w:val="auto"/>
          <w:szCs w:val="21"/>
          <w:lang w:val="en-US" w:eastAsia="zh-CN"/>
        </w:rPr>
        <w:t>经过手工逐年收集整理并计算而成。第二，实证回归模型中的前定变量、异质性分析中的税收竞争数据来自于各省历年的统计年鉴。第三，异质性分析中的官员晋升激励数据源于作者的手工搜集整理。</w:t>
      </w:r>
    </w:p>
    <w:p w14:paraId="403DC495">
      <w:pPr>
        <w:numPr>
          <w:ilvl w:val="0"/>
          <w:numId w:val="2"/>
        </w:numPr>
        <w:spacing w:line="276" w:lineRule="auto"/>
        <w:ind w:firstLine="420" w:firstLineChars="200"/>
        <w:rPr>
          <w:rFonts w:hint="eastAsia" w:ascii="仿宋" w:hAnsi="仿宋" w:eastAsia="仿宋"/>
        </w:rPr>
      </w:pPr>
      <w:r>
        <w:rPr>
          <w:rFonts w:hint="eastAsia" w:ascii="Times New Roman" w:hAnsi="Times New Roman" w:eastAsia="仿宋" w:cs="Times New Roman"/>
          <w:color w:val="auto"/>
          <w:szCs w:val="21"/>
          <w:lang w:val="en-US" w:eastAsia="zh-CN"/>
        </w:rPr>
        <w:t>市场化指数的细分指标：机制分析部分的缓解资源错配机制中的按市场配置资源比例的高低分组的数据源于市场化指数中的细分指标—市场分配经济资源的比重；稳健性检验中更换核心解释变量测度方式的稳健性的检验中使用了市场化指数中的细分指标—政府对企业的干预程度。市场化指数的细分指标的数据来源网址为：</w:t>
      </w:r>
      <w:r>
        <w:rPr>
          <w:rStyle w:val="4"/>
          <w:rFonts w:hint="eastAsia" w:ascii="Times New Roman" w:hAnsi="Times New Roman" w:eastAsia="仿宋" w:cs="Times New Roman"/>
          <w:szCs w:val="21"/>
          <w:lang w:val="en-US" w:eastAsia="zh-CN"/>
        </w:rPr>
        <w:t>https://cmi.ssap.com.cn/dataQuery?type=1</w:t>
      </w:r>
      <w:r>
        <w:rPr>
          <w:rStyle w:val="4"/>
          <w:rFonts w:hint="eastAsia" w:ascii="Times New Roman" w:hAnsi="Times New Roman" w:eastAsia="仿宋" w:cs="Times New Roman"/>
          <w:szCs w:val="21"/>
          <w:u w:val="none"/>
          <w:lang w:val="en-US" w:eastAsia="zh-CN"/>
        </w:rPr>
        <w:t>。</w:t>
      </w:r>
    </w:p>
    <w:p w14:paraId="1241F603">
      <w:pPr>
        <w:spacing w:line="276" w:lineRule="auto"/>
        <w:rPr>
          <w:rFonts w:hint="eastAsia" w:ascii="仿宋" w:hAnsi="仿宋" w:eastAsia="仿宋"/>
          <w:b/>
          <w:bCs/>
        </w:rPr>
      </w:pPr>
    </w:p>
    <w:p w14:paraId="0687B4FA">
      <w:pPr>
        <w:spacing w:line="276" w:lineRule="auto"/>
        <w:rPr>
          <w:rFonts w:hint="eastAsia" w:ascii="仿宋" w:hAnsi="仿宋" w:eastAsia="仿宋"/>
          <w:b/>
          <w:bCs/>
          <w:lang w:val="en-US" w:eastAsia="zh-CN"/>
        </w:rPr>
      </w:pPr>
      <w:r>
        <w:rPr>
          <w:rFonts w:hint="eastAsia" w:ascii="仿宋" w:hAnsi="仿宋" w:eastAsia="仿宋"/>
          <w:b/>
          <w:bCs/>
          <w:lang w:eastAsia="zh-CN"/>
        </w:rPr>
        <w:t>（</w:t>
      </w:r>
      <w:r>
        <w:rPr>
          <w:rFonts w:hint="eastAsia" w:ascii="仿宋" w:hAnsi="仿宋" w:eastAsia="仿宋"/>
          <w:b/>
          <w:bCs/>
          <w:lang w:val="en-US" w:eastAsia="zh-CN"/>
        </w:rPr>
        <w:t>三</w:t>
      </w:r>
      <w:r>
        <w:rPr>
          <w:rFonts w:hint="eastAsia" w:ascii="仿宋" w:hAnsi="仿宋" w:eastAsia="仿宋"/>
          <w:b/>
          <w:bCs/>
          <w:lang w:eastAsia="zh-CN"/>
        </w:rPr>
        <w:t>）</w:t>
      </w:r>
      <w:r>
        <w:rPr>
          <w:rFonts w:hint="eastAsia" w:ascii="仿宋" w:hAnsi="仿宋" w:eastAsia="仿宋"/>
          <w:b/>
          <w:bCs/>
        </w:rPr>
        <w:t>Dof</w:t>
      </w:r>
      <w:bookmarkStart w:id="0" w:name="_GoBack"/>
      <w:bookmarkEnd w:id="0"/>
      <w:r>
        <w:rPr>
          <w:rFonts w:hint="eastAsia" w:ascii="仿宋" w:hAnsi="仿宋" w:eastAsia="仿宋"/>
          <w:b/>
          <w:bCs/>
        </w:rPr>
        <w:t>ile里面使用的指标说明</w:t>
      </w:r>
    </w:p>
    <w:p w14:paraId="1E510972">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eastAsia"/>
          <w:lang w:val="en-US" w:eastAsia="zh-CN"/>
        </w:rPr>
      </w:pPr>
    </w:p>
    <w:p w14:paraId="091D1F25">
      <w:pPr>
        <w:keepNext w:val="0"/>
        <w:keepLines w:val="0"/>
        <w:pageBreakBefore w:val="0"/>
        <w:widowControl w:val="0"/>
        <w:kinsoku/>
        <w:wordWrap/>
        <w:overflowPunct/>
        <w:topLinePunct w:val="0"/>
        <w:autoSpaceDE/>
        <w:autoSpaceDN/>
        <w:bidi w:val="0"/>
        <w:adjustRightInd/>
        <w:snapToGrid/>
        <w:spacing w:line="276" w:lineRule="auto"/>
        <w:ind w:firstLine="422" w:firstLineChars="200"/>
        <w:jc w:val="both"/>
        <w:textAlignment w:val="auto"/>
        <w:rPr>
          <w:rFonts w:hint="default" w:ascii="Times New Roman" w:hAnsi="Times New Roman" w:eastAsia="仿宋" w:cs="Times New Roman"/>
          <w:lang w:val="en-US" w:eastAsia="zh-CN"/>
        </w:rPr>
      </w:pPr>
      <w:r>
        <w:rPr>
          <w:rFonts w:hint="eastAsia" w:ascii="Times New Roman" w:hAnsi="Times New Roman" w:eastAsia="仿宋" w:cs="Times New Roman"/>
          <w:b/>
          <w:bCs/>
          <w:lang w:val="en-US" w:eastAsia="zh-CN"/>
        </w:rPr>
        <w:t>1.表格生成的代码“</w:t>
      </w:r>
      <w:r>
        <w:rPr>
          <w:rFonts w:hint="default" w:ascii="Times New Roman" w:hAnsi="Times New Roman" w:eastAsia="仿宋" w:cs="Times New Roman"/>
          <w:b/>
          <w:bCs/>
          <w:lang w:val="en-US" w:eastAsia="zh-CN"/>
        </w:rPr>
        <w:t>statistic_vertical_tables</w:t>
      </w:r>
      <w:r>
        <w:rPr>
          <w:rFonts w:hint="eastAsia" w:ascii="Times New Roman" w:hAnsi="Times New Roman" w:eastAsia="仿宋" w:cs="Times New Roman"/>
          <w:b/>
          <w:bCs/>
          <w:lang w:val="en-US" w:eastAsia="zh-CN"/>
        </w:rPr>
        <w:t>”中涉及的指标说明</w:t>
      </w:r>
    </w:p>
    <w:p w14:paraId="29EF162B">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innovation：采用研发支出与总资产比值乘以100来测度。</w:t>
      </w:r>
    </w:p>
    <w:p w14:paraId="3C47EC95">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treat：</w:t>
      </w:r>
      <w:r>
        <w:rPr>
          <w:rFonts w:hint="eastAsia" w:ascii="Times New Roman" w:hAnsi="Times New Roman" w:eastAsia="仿宋" w:cs="Times New Roman"/>
          <w:lang w:val="en-US" w:eastAsia="zh-CN"/>
        </w:rPr>
        <w:t>企业注册地位于</w:t>
      </w:r>
      <w:r>
        <w:rPr>
          <w:rFonts w:hint="default" w:ascii="Times New Roman" w:hAnsi="Times New Roman" w:eastAsia="仿宋" w:cs="Times New Roman"/>
          <w:lang w:val="en-US" w:eastAsia="zh-CN"/>
        </w:rPr>
        <w:t>政策出台前行政垄断程度高的地区为1，否则为0。</w:t>
      </w:r>
    </w:p>
    <w:p w14:paraId="0F714AC0">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post：公平竞争审查制度实施时间的虚拟变量，2016年及之后为1，否则为0。</w:t>
      </w:r>
    </w:p>
    <w:p w14:paraId="746A81D4">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b w:val="0"/>
          <w:bCs w:val="0"/>
          <w:lang w:val="en-US" w:eastAsia="zh-CN"/>
        </w:rPr>
      </w:pPr>
      <w:r>
        <w:rPr>
          <w:rFonts w:hint="default" w:ascii="Times New Roman" w:hAnsi="Times New Roman" w:eastAsia="仿宋" w:cs="Times New Roman"/>
          <w:lang w:val="en-US" w:eastAsia="zh-CN"/>
        </w:rPr>
        <w:t>did：生成的受行政垄断规制冲击的变量，是treat和post的交乘项</w:t>
      </w:r>
      <w:r>
        <w:rPr>
          <w:rFonts w:hint="eastAsia" w:ascii="Times New Roman" w:hAnsi="Times New Roman" w:eastAsia="仿宋" w:cs="Times New Roman"/>
          <w:lang w:val="en-US" w:eastAsia="zh-CN"/>
        </w:rPr>
        <w:t>，</w:t>
      </w:r>
      <w:r>
        <w:rPr>
          <w:rFonts w:hint="eastAsia" w:ascii="Times New Roman" w:hAnsi="Times New Roman" w:eastAsia="仿宋" w:cs="Times New Roman"/>
          <w:b w:val="0"/>
          <w:bCs w:val="0"/>
          <w:lang w:val="en-US" w:eastAsia="zh-CN"/>
        </w:rPr>
        <w:t>文章的回归表格中中用Treat</w:t>
      </w:r>
      <w:r>
        <w:rPr>
          <w:rFonts w:hint="eastAsia" w:ascii="Times New Roman" w:hAnsi="Times New Roman" w:eastAsia="仿宋" w:cs="Times New Roman"/>
          <w:b w:val="0"/>
          <w:bCs w:val="0"/>
          <w:vertAlign w:val="subscript"/>
          <w:lang w:val="en-US" w:eastAsia="zh-CN"/>
        </w:rPr>
        <w:t>i</w:t>
      </w:r>
      <w:r>
        <w:rPr>
          <w:rFonts w:hint="default" w:ascii="Arial" w:hAnsi="Arial" w:eastAsia="仿宋" w:cs="Arial"/>
          <w:b w:val="0"/>
          <w:bCs w:val="0"/>
          <w:lang w:val="en-US" w:eastAsia="zh-CN"/>
        </w:rPr>
        <w:t>×</w:t>
      </w:r>
      <w:r>
        <w:rPr>
          <w:rFonts w:hint="eastAsia" w:ascii="Times New Roman" w:hAnsi="Times New Roman" w:eastAsia="仿宋" w:cs="Times New Roman"/>
          <w:b w:val="0"/>
          <w:bCs w:val="0"/>
          <w:lang w:val="en-US" w:eastAsia="zh-CN"/>
        </w:rPr>
        <w:t>Post</w:t>
      </w:r>
      <w:r>
        <w:rPr>
          <w:rFonts w:hint="eastAsia" w:ascii="Times New Roman" w:hAnsi="Times New Roman" w:eastAsia="仿宋" w:cs="Times New Roman"/>
          <w:b w:val="0"/>
          <w:bCs w:val="0"/>
          <w:vertAlign w:val="subscript"/>
          <w:lang w:val="en-US" w:eastAsia="zh-CN"/>
        </w:rPr>
        <w:t>t</w:t>
      </w:r>
      <w:r>
        <w:rPr>
          <w:rFonts w:hint="eastAsia" w:ascii="Times New Roman" w:hAnsi="Times New Roman" w:eastAsia="仿宋" w:cs="Times New Roman"/>
          <w:b w:val="0"/>
          <w:bCs w:val="0"/>
          <w:lang w:val="en-US" w:eastAsia="zh-CN"/>
        </w:rPr>
        <w:t>表示</w:t>
      </w:r>
      <w:r>
        <w:rPr>
          <w:rFonts w:hint="default" w:ascii="Times New Roman" w:hAnsi="Times New Roman" w:eastAsia="仿宋" w:cs="Times New Roman"/>
          <w:b w:val="0"/>
          <w:bCs w:val="0"/>
          <w:lang w:val="en-US" w:eastAsia="zh-CN"/>
        </w:rPr>
        <w:t>。</w:t>
      </w:r>
    </w:p>
    <w:p w14:paraId="79652F71">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size:企业规模，企业总资产的对数值。</w:t>
      </w:r>
    </w:p>
    <w:p w14:paraId="44F482AD">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firmage:企业年龄，企业成立年份的对数值。</w:t>
      </w:r>
    </w:p>
    <w:p w14:paraId="29B0CCD5">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lev:资产负债率，企业负债与总资产的比例。</w:t>
      </w:r>
    </w:p>
    <w:p w14:paraId="2CC79023">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roe:资产收益率，净利润与总资产的比值。</w:t>
      </w:r>
    </w:p>
    <w:p w14:paraId="1AC7C522">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soe：企业性质，国有企业为1，非国有企业为0。</w:t>
      </w:r>
    </w:p>
    <w:p w14:paraId="45C6E7A2">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fixed:固定资产比例，固定资产与总资产比值。</w:t>
      </w:r>
    </w:p>
    <w:p w14:paraId="3860C38C">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top1:股权集中度，第一大股东持股比例。</w:t>
      </w:r>
    </w:p>
    <w:p w14:paraId="7755FD78">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gdpg:2012年各省份的gdp增长率。</w:t>
      </w:r>
    </w:p>
    <w:p w14:paraId="4BB21D90">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 xml:space="preserve">industr：2012年各省份产业结构，2012年第二产业增加值占gdp的比重。 </w:t>
      </w:r>
    </w:p>
    <w:p w14:paraId="37EB385B">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govexp：2012年的财政支出，2012年的财政支出占gdp的比重。</w:t>
      </w:r>
    </w:p>
    <w:p w14:paraId="72B954AA">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rentseek：企业寻租费用，业务招待费占营业收入的比重。</w:t>
      </w:r>
    </w:p>
    <w:p w14:paraId="35264820">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hhi：赫芬达尔指数，具体测度见正文。</w:t>
      </w:r>
    </w:p>
    <w:p w14:paraId="5E9BED3B">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markup：企业价格加成率，具体测度见正文。</w:t>
      </w:r>
    </w:p>
    <w:p w14:paraId="36929FC5">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eastAsia" w:ascii="Times New Roman" w:hAnsi="Times New Roman" w:eastAsia="仿宋" w:cs="Times New Roman"/>
          <w:lang w:val="en-US" w:eastAsia="zh-CN"/>
        </w:rPr>
      </w:pPr>
      <w:r>
        <w:rPr>
          <w:rFonts w:hint="default" w:ascii="Times New Roman" w:hAnsi="Times New Roman" w:eastAsia="仿宋" w:cs="Times New Roman"/>
          <w:lang w:val="en-US" w:eastAsia="zh-CN"/>
        </w:rPr>
        <w:t>market_alloc_share：市场配置经济资源的比重。当市场配置经济资源比例低时，赋值1，否则为0</w:t>
      </w:r>
      <w:r>
        <w:rPr>
          <w:rFonts w:hint="eastAsia" w:ascii="Times New Roman" w:hAnsi="Times New Roman" w:eastAsia="仿宋" w:cs="Times New Roman"/>
          <w:lang w:val="en-US" w:eastAsia="zh-CN"/>
        </w:rPr>
        <w:t>。</w:t>
      </w:r>
    </w:p>
    <w:p w14:paraId="5A79836D">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govsub：政府补贴的虚拟变量，当政府补贴高时赋值为1.否则为0。</w:t>
      </w:r>
    </w:p>
    <w:p w14:paraId="53493432">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finmis：企业金融资源错配程度，具体测算见正文。</w:t>
      </w:r>
    </w:p>
    <w:p w14:paraId="512F2178">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innovation1</w:t>
      </w:r>
      <w:r>
        <w:rPr>
          <w:rFonts w:hint="eastAsia" w:ascii="Times New Roman" w:hAnsi="Times New Roman" w:eastAsia="仿宋" w:cs="Times New Roman"/>
          <w:lang w:val="en-US" w:eastAsia="zh-CN"/>
        </w:rPr>
        <w:t>：</w:t>
      </w:r>
      <w:r>
        <w:rPr>
          <w:rFonts w:hint="default" w:ascii="Times New Roman" w:hAnsi="Times New Roman" w:eastAsia="仿宋" w:cs="Times New Roman"/>
          <w:lang w:val="en-US" w:eastAsia="zh-CN"/>
        </w:rPr>
        <w:t>研发支出与总资产比值对数化处理。</w:t>
      </w:r>
    </w:p>
    <w:p w14:paraId="35C636D9">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innovation2：研发支出的对数化处理。</w:t>
      </w:r>
    </w:p>
    <w:p w14:paraId="20278A1C">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innovation3：研发支出占营业收入的比值乘以100。</w:t>
      </w:r>
    </w:p>
    <w:p w14:paraId="156F8C29">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did2：重新选取商品价格指数计算得到的分组变量与post的交乘项形成的核心解释变量。</w:t>
      </w:r>
      <w:r>
        <w:rPr>
          <w:rFonts w:hint="eastAsia" w:ascii="Times New Roman" w:hAnsi="Times New Roman" w:eastAsia="仿宋" w:cs="Times New Roman"/>
          <w:lang w:val="en-US" w:eastAsia="zh-CN"/>
        </w:rPr>
        <w:t>文章的回归表格中用</w:t>
      </w:r>
      <w:r>
        <w:rPr>
          <w:rFonts w:hint="eastAsia" w:ascii="Times New Roman" w:hAnsi="Times New Roman" w:eastAsia="仿宋" w:cs="Times New Roman"/>
          <w:b w:val="0"/>
          <w:bCs w:val="0"/>
          <w:lang w:val="en-US" w:eastAsia="zh-CN"/>
        </w:rPr>
        <w:t>Treat2</w:t>
      </w:r>
      <w:r>
        <w:rPr>
          <w:rFonts w:hint="eastAsia" w:ascii="Times New Roman" w:hAnsi="Times New Roman" w:eastAsia="仿宋" w:cs="Times New Roman"/>
          <w:b w:val="0"/>
          <w:bCs w:val="0"/>
          <w:vertAlign w:val="subscript"/>
          <w:lang w:val="en-US" w:eastAsia="zh-CN"/>
        </w:rPr>
        <w:t>i</w:t>
      </w:r>
      <w:r>
        <w:rPr>
          <w:rFonts w:hint="default" w:ascii="Arial" w:hAnsi="Arial" w:eastAsia="仿宋" w:cs="Arial"/>
          <w:b w:val="0"/>
          <w:bCs w:val="0"/>
          <w:lang w:val="en-US" w:eastAsia="zh-CN"/>
        </w:rPr>
        <w:t>×</w:t>
      </w:r>
      <w:r>
        <w:rPr>
          <w:rFonts w:hint="eastAsia" w:ascii="Times New Roman" w:hAnsi="Times New Roman" w:eastAsia="仿宋" w:cs="Times New Roman"/>
          <w:b w:val="0"/>
          <w:bCs w:val="0"/>
          <w:lang w:val="en-US" w:eastAsia="zh-CN"/>
        </w:rPr>
        <w:t>Post</w:t>
      </w:r>
      <w:r>
        <w:rPr>
          <w:rFonts w:hint="eastAsia" w:ascii="Times New Roman" w:hAnsi="Times New Roman" w:eastAsia="仿宋" w:cs="Times New Roman"/>
          <w:b w:val="0"/>
          <w:bCs w:val="0"/>
          <w:vertAlign w:val="subscript"/>
          <w:lang w:val="en-US" w:eastAsia="zh-CN"/>
        </w:rPr>
        <w:t>t</w:t>
      </w:r>
      <w:r>
        <w:rPr>
          <w:rFonts w:hint="eastAsia" w:ascii="Times New Roman" w:hAnsi="Times New Roman" w:eastAsia="仿宋" w:cs="Times New Roman"/>
          <w:b w:val="0"/>
          <w:bCs w:val="0"/>
          <w:lang w:val="en-US" w:eastAsia="zh-CN"/>
        </w:rPr>
        <w:t>来表示。</w:t>
      </w:r>
    </w:p>
    <w:p w14:paraId="5D8C14FC">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did3：使用市场化指数细分指标—政府对企业干预程度分组后形成的核心解释变量。</w:t>
      </w:r>
      <w:r>
        <w:rPr>
          <w:rFonts w:hint="eastAsia" w:ascii="Times New Roman" w:hAnsi="Times New Roman" w:eastAsia="仿宋" w:cs="Times New Roman"/>
          <w:lang w:val="en-US" w:eastAsia="zh-CN"/>
        </w:rPr>
        <w:t>文章的回归表格中用</w:t>
      </w:r>
      <w:r>
        <w:rPr>
          <w:rFonts w:hint="eastAsia" w:ascii="Times New Roman" w:hAnsi="Times New Roman" w:eastAsia="仿宋" w:cs="Times New Roman"/>
          <w:b w:val="0"/>
          <w:bCs w:val="0"/>
          <w:lang w:val="en-US" w:eastAsia="zh-CN"/>
        </w:rPr>
        <w:t>Treat3</w:t>
      </w:r>
      <w:r>
        <w:rPr>
          <w:rFonts w:hint="eastAsia" w:ascii="Times New Roman" w:hAnsi="Times New Roman" w:eastAsia="仿宋" w:cs="Times New Roman"/>
          <w:b w:val="0"/>
          <w:bCs w:val="0"/>
          <w:vertAlign w:val="subscript"/>
          <w:lang w:val="en-US" w:eastAsia="zh-CN"/>
        </w:rPr>
        <w:t>i</w:t>
      </w:r>
      <w:r>
        <w:rPr>
          <w:rFonts w:hint="default" w:ascii="Arial" w:hAnsi="Arial" w:eastAsia="仿宋" w:cs="Arial"/>
          <w:b w:val="0"/>
          <w:bCs w:val="0"/>
          <w:lang w:val="en-US" w:eastAsia="zh-CN"/>
        </w:rPr>
        <w:t>×</w:t>
      </w:r>
      <w:r>
        <w:rPr>
          <w:rFonts w:hint="eastAsia" w:ascii="Times New Roman" w:hAnsi="Times New Roman" w:eastAsia="仿宋" w:cs="Times New Roman"/>
          <w:b w:val="0"/>
          <w:bCs w:val="0"/>
          <w:lang w:val="en-US" w:eastAsia="zh-CN"/>
        </w:rPr>
        <w:t>Post</w:t>
      </w:r>
      <w:r>
        <w:rPr>
          <w:rFonts w:hint="eastAsia" w:ascii="Times New Roman" w:hAnsi="Times New Roman" w:eastAsia="仿宋" w:cs="Times New Roman"/>
          <w:b w:val="0"/>
          <w:bCs w:val="0"/>
          <w:vertAlign w:val="subscript"/>
          <w:lang w:val="en-US" w:eastAsia="zh-CN"/>
        </w:rPr>
        <w:t>t</w:t>
      </w:r>
      <w:r>
        <w:rPr>
          <w:rFonts w:hint="eastAsia" w:ascii="Times New Roman" w:hAnsi="Times New Roman" w:eastAsia="仿宋" w:cs="Times New Roman"/>
          <w:b w:val="0"/>
          <w:bCs w:val="0"/>
          <w:lang w:val="en-US" w:eastAsia="zh-CN"/>
        </w:rPr>
        <w:t>来表示。</w:t>
      </w:r>
    </w:p>
    <w:p w14:paraId="6A133FF8">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etr：企业实际税负。</w:t>
      </w:r>
    </w:p>
    <w:p w14:paraId="715727EE">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firm_pcr：企业养老缴费负担。</w:t>
      </w:r>
    </w:p>
    <w:p w14:paraId="72EED91B">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key_industry：在政策实施年份内是否为重点产业，是赋值为1，否则为0.</w:t>
      </w:r>
    </w:p>
    <w:p w14:paraId="74A0916A">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patent_indep_total：</w:t>
      </w:r>
      <w:r>
        <w:rPr>
          <w:rFonts w:hint="eastAsia" w:ascii="Times New Roman" w:hAnsi="Times New Roman" w:eastAsia="仿宋" w:cs="Times New Roman"/>
          <w:lang w:val="en-US" w:eastAsia="zh-CN"/>
        </w:rPr>
        <w:t>企业</w:t>
      </w:r>
      <w:r>
        <w:rPr>
          <w:rFonts w:hint="default" w:ascii="Times New Roman" w:hAnsi="Times New Roman" w:eastAsia="仿宋" w:cs="Times New Roman"/>
          <w:lang w:val="en-US" w:eastAsia="zh-CN"/>
        </w:rPr>
        <w:t>独立申请的专利总数</w:t>
      </w:r>
      <w:r>
        <w:rPr>
          <w:rFonts w:hint="eastAsia" w:ascii="Times New Roman" w:hAnsi="Times New Roman" w:eastAsia="仿宋" w:cs="Times New Roman"/>
          <w:lang w:val="en-US" w:eastAsia="zh-CN"/>
        </w:rPr>
        <w:t>加1</w:t>
      </w:r>
      <w:r>
        <w:rPr>
          <w:rFonts w:hint="default" w:ascii="Times New Roman" w:hAnsi="Times New Roman" w:eastAsia="仿宋" w:cs="Times New Roman"/>
          <w:lang w:val="en-US" w:eastAsia="zh-CN"/>
        </w:rPr>
        <w:t>取对数。</w:t>
      </w:r>
    </w:p>
    <w:p w14:paraId="1095D5EB">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patent_inv_indep：</w:t>
      </w:r>
      <w:r>
        <w:rPr>
          <w:rFonts w:hint="eastAsia" w:ascii="Times New Roman" w:hAnsi="Times New Roman" w:eastAsia="仿宋" w:cs="Times New Roman"/>
          <w:lang w:val="en-US" w:eastAsia="zh-CN"/>
        </w:rPr>
        <w:t>企业</w:t>
      </w:r>
      <w:r>
        <w:rPr>
          <w:rFonts w:hint="default" w:ascii="Times New Roman" w:hAnsi="Times New Roman" w:eastAsia="仿宋" w:cs="Times New Roman"/>
          <w:lang w:val="en-US" w:eastAsia="zh-CN"/>
        </w:rPr>
        <w:t>独立申请的发明专利数</w:t>
      </w:r>
      <w:r>
        <w:rPr>
          <w:rFonts w:hint="eastAsia" w:ascii="Times New Roman" w:hAnsi="Times New Roman" w:eastAsia="仿宋" w:cs="Times New Roman"/>
          <w:lang w:val="en-US" w:eastAsia="zh-CN"/>
        </w:rPr>
        <w:t>加1</w:t>
      </w:r>
      <w:r>
        <w:rPr>
          <w:rFonts w:hint="default" w:ascii="Times New Roman" w:hAnsi="Times New Roman" w:eastAsia="仿宋" w:cs="Times New Roman"/>
          <w:lang w:val="en-US" w:eastAsia="zh-CN"/>
        </w:rPr>
        <w:t>取对数。</w:t>
      </w:r>
    </w:p>
    <w:p w14:paraId="01E21FCC">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ppi：政治晋升激励强度，政治晋升激励强度大为1，否则为0。</w:t>
      </w:r>
    </w:p>
    <w:p w14:paraId="01CD0D3E">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taxcompe：税收竞争强度的虚拟变量，税收竞争大的地区赋值为1，否则为0.</w:t>
      </w:r>
    </w:p>
    <w:p w14:paraId="04D97ED2">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nat_monopoly：是否为自然垄断行业，是为1，否则为0.</w:t>
      </w:r>
    </w:p>
    <w:p w14:paraId="3514CFB1">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id:上市企业的代码。</w:t>
      </w:r>
    </w:p>
    <w:p w14:paraId="463408E8">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year:年份。</w:t>
      </w:r>
    </w:p>
    <w:p w14:paraId="164DBDA5">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indcode:行业代码。</w:t>
      </w:r>
    </w:p>
    <w:p w14:paraId="4E8B47CA">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provcode:省份代码。</w:t>
      </w:r>
    </w:p>
    <w:p w14:paraId="608C4803">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eastAsia" w:ascii="Times New Roman" w:hAnsi="Times New Roman" w:eastAsia="仿宋" w:cs="Times New Roman"/>
          <w:lang w:val="en-US" w:eastAsia="zh-CN"/>
        </w:rPr>
      </w:pPr>
    </w:p>
    <w:p w14:paraId="1BBB1B4F">
      <w:pPr>
        <w:keepNext w:val="0"/>
        <w:keepLines w:val="0"/>
        <w:pageBreakBefore w:val="0"/>
        <w:widowControl w:val="0"/>
        <w:kinsoku/>
        <w:wordWrap/>
        <w:overflowPunct/>
        <w:topLinePunct w:val="0"/>
        <w:autoSpaceDE/>
        <w:autoSpaceDN/>
        <w:bidi w:val="0"/>
        <w:adjustRightInd/>
        <w:snapToGrid/>
        <w:spacing w:line="276" w:lineRule="auto"/>
        <w:ind w:firstLine="422" w:firstLineChars="200"/>
        <w:jc w:val="both"/>
        <w:textAlignment w:val="auto"/>
        <w:rPr>
          <w:rFonts w:hint="default" w:ascii="Times New Roman" w:hAnsi="Times New Roman" w:eastAsia="仿宋" w:cs="Times New Roman"/>
          <w:b/>
          <w:bCs/>
          <w:lang w:val="en-US" w:eastAsia="zh-CN"/>
        </w:rPr>
      </w:pPr>
      <w:r>
        <w:rPr>
          <w:rFonts w:hint="eastAsia" w:ascii="Times New Roman" w:hAnsi="Times New Roman" w:eastAsia="仿宋" w:cs="Times New Roman"/>
          <w:b/>
          <w:bCs/>
          <w:lang w:val="en-US" w:eastAsia="zh-CN"/>
        </w:rPr>
        <w:t>2.图片生成的代码“statistic_vertical_figures”涉及的指标说明</w:t>
      </w:r>
    </w:p>
    <w:p w14:paraId="234F9065">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eastAsia" w:ascii="Times New Roman" w:hAnsi="Times New Roman" w:eastAsia="仿宋" w:cs="Times New Roman"/>
          <w:lang w:val="en-US" w:eastAsia="zh-CN"/>
        </w:rPr>
      </w:pPr>
      <w:r>
        <w:rPr>
          <w:rFonts w:hint="eastAsia" w:ascii="Times New Roman" w:hAnsi="Times New Roman" w:eastAsia="仿宋" w:cs="Times New Roman"/>
          <w:lang w:val="en-US" w:eastAsia="zh-CN"/>
        </w:rPr>
        <w:t>segm:市场分割指数。</w:t>
      </w:r>
    </w:p>
    <w:p w14:paraId="247A742C">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eastAsia" w:ascii="Times New Roman" w:hAnsi="Times New Roman" w:eastAsia="仿宋" w:cs="Times New Roman"/>
          <w:lang w:val="en-US" w:eastAsia="zh-CN"/>
        </w:rPr>
      </w:pPr>
      <w:r>
        <w:rPr>
          <w:rFonts w:hint="eastAsia" w:ascii="Times New Roman" w:hAnsi="Times New Roman" w:eastAsia="仿宋" w:cs="Times New Roman"/>
          <w:lang w:val="en-US" w:eastAsia="zh-CN"/>
        </w:rPr>
        <w:t>diffave:公平竞争审查制度出台前后市场分割指数的均值差</w:t>
      </w:r>
    </w:p>
    <w:p w14:paraId="654FACDB">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eastAsia" w:ascii="Times New Roman" w:hAnsi="Times New Roman" w:eastAsia="仿宋" w:cs="Times New Roman"/>
          <w:lang w:val="en-US" w:eastAsia="zh-CN"/>
        </w:rPr>
      </w:pPr>
      <w:r>
        <w:rPr>
          <w:rFonts w:hint="default" w:ascii="Times New Roman" w:hAnsi="Times New Roman" w:eastAsia="仿宋" w:cs="Times New Roman"/>
          <w:lang w:val="en-US" w:eastAsia="zh-CN"/>
        </w:rPr>
        <w:t>preave12_15</w:t>
      </w:r>
      <w:r>
        <w:rPr>
          <w:rFonts w:hint="eastAsia" w:ascii="Times New Roman" w:hAnsi="Times New Roman" w:eastAsia="仿宋" w:cs="Times New Roman"/>
          <w:lang w:val="en-US" w:eastAsia="zh-CN"/>
        </w:rPr>
        <w:t>：公平竞争审查制度出台前市场分割指数的均值</w:t>
      </w:r>
    </w:p>
    <w:p w14:paraId="6B204598">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eastAsia" w:ascii="Times New Roman" w:hAnsi="Times New Roman" w:eastAsia="仿宋" w:cs="Times New Roman"/>
          <w:lang w:val="en-US" w:eastAsia="zh-CN"/>
        </w:rPr>
      </w:pPr>
      <w:r>
        <w:rPr>
          <w:rFonts w:hint="eastAsia" w:ascii="Times New Roman" w:hAnsi="Times New Roman" w:eastAsia="仿宋" w:cs="Times New Roman"/>
          <w:lang w:val="en-US" w:eastAsia="zh-CN"/>
        </w:rPr>
        <w:t>year：年份</w:t>
      </w:r>
    </w:p>
    <w:p w14:paraId="04B8D0C6">
      <w:pPr>
        <w:keepNext w:val="0"/>
        <w:keepLines w:val="0"/>
        <w:pageBreakBefore w:val="0"/>
        <w:widowControl w:val="0"/>
        <w:kinsoku/>
        <w:wordWrap/>
        <w:overflowPunct/>
        <w:topLinePunct w:val="0"/>
        <w:autoSpaceDE/>
        <w:autoSpaceDN/>
        <w:bidi w:val="0"/>
        <w:adjustRightInd/>
        <w:snapToGrid/>
        <w:spacing w:line="276" w:lineRule="auto"/>
        <w:ind w:firstLine="420" w:firstLineChars="200"/>
        <w:jc w:val="both"/>
        <w:textAlignment w:val="auto"/>
        <w:rPr>
          <w:rFonts w:hint="default" w:ascii="Times New Roman" w:hAnsi="Times New Roman" w:eastAsia="仿宋" w:cs="Times New Roman"/>
          <w:lang w:val="en-US" w:eastAsia="zh-CN"/>
        </w:rPr>
      </w:pPr>
      <w:r>
        <w:rPr>
          <w:rFonts w:hint="default" w:ascii="Times New Roman" w:hAnsi="Times New Roman" w:eastAsia="仿宋" w:cs="Times New Roman"/>
          <w:lang w:val="en-US" w:eastAsia="zh-CN"/>
        </w:rPr>
        <w:t>prov_name</w:t>
      </w:r>
      <w:r>
        <w:rPr>
          <w:rFonts w:hint="eastAsia" w:ascii="Times New Roman" w:hAnsi="Times New Roman" w:eastAsia="仿宋" w:cs="Times New Roman"/>
          <w:lang w:val="en-US" w:eastAsia="zh-CN"/>
        </w:rPr>
        <w:t>：</w:t>
      </w:r>
      <w:r>
        <w:rPr>
          <w:rFonts w:hint="default" w:ascii="Times New Roman" w:hAnsi="Times New Roman" w:eastAsia="仿宋" w:cs="Times New Roman"/>
          <w:lang w:val="en-US" w:eastAsia="zh-CN"/>
        </w:rPr>
        <w:t>地区名称</w:t>
      </w:r>
    </w:p>
    <w:p w14:paraId="5A260964">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8C2420"/>
    <w:multiLevelType w:val="singleLevel"/>
    <w:tmpl w:val="CB8C2420"/>
    <w:lvl w:ilvl="0" w:tentative="0">
      <w:start w:val="2"/>
      <w:numFmt w:val="decimal"/>
      <w:suff w:val="nothing"/>
      <w:lvlText w:val="（%1）"/>
      <w:lvlJc w:val="left"/>
    </w:lvl>
  </w:abstractNum>
  <w:abstractNum w:abstractNumId="1">
    <w:nsid w:val="611F50AF"/>
    <w:multiLevelType w:val="singleLevel"/>
    <w:tmpl w:val="611F50AF"/>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A55AF"/>
    <w:rsid w:val="016A347B"/>
    <w:rsid w:val="01FF1E15"/>
    <w:rsid w:val="04114082"/>
    <w:rsid w:val="0458580D"/>
    <w:rsid w:val="04BF3ADE"/>
    <w:rsid w:val="0B4E623A"/>
    <w:rsid w:val="0B867103"/>
    <w:rsid w:val="0BA852CC"/>
    <w:rsid w:val="0DD80F22"/>
    <w:rsid w:val="10237810"/>
    <w:rsid w:val="10EA5FFE"/>
    <w:rsid w:val="11567578"/>
    <w:rsid w:val="12EA1CC2"/>
    <w:rsid w:val="14AD3953"/>
    <w:rsid w:val="154A2F50"/>
    <w:rsid w:val="15597637"/>
    <w:rsid w:val="15F01D49"/>
    <w:rsid w:val="195440F3"/>
    <w:rsid w:val="1AD05CA5"/>
    <w:rsid w:val="1E516CCB"/>
    <w:rsid w:val="1FD75D28"/>
    <w:rsid w:val="20286583"/>
    <w:rsid w:val="20427645"/>
    <w:rsid w:val="21020B82"/>
    <w:rsid w:val="210E5779"/>
    <w:rsid w:val="22121299"/>
    <w:rsid w:val="237C2E6E"/>
    <w:rsid w:val="2B6E5792"/>
    <w:rsid w:val="2DFE26D1"/>
    <w:rsid w:val="30986E0D"/>
    <w:rsid w:val="313C1E8F"/>
    <w:rsid w:val="320A3D3B"/>
    <w:rsid w:val="34973924"/>
    <w:rsid w:val="34B61F58"/>
    <w:rsid w:val="35D07049"/>
    <w:rsid w:val="412A1D04"/>
    <w:rsid w:val="41B21C3B"/>
    <w:rsid w:val="42EB7271"/>
    <w:rsid w:val="4A6F69D9"/>
    <w:rsid w:val="4F7B2EF7"/>
    <w:rsid w:val="56E12A0D"/>
    <w:rsid w:val="581722C3"/>
    <w:rsid w:val="5842572D"/>
    <w:rsid w:val="5BB4249E"/>
    <w:rsid w:val="5BD963A8"/>
    <w:rsid w:val="5C732359"/>
    <w:rsid w:val="5C7D4F86"/>
    <w:rsid w:val="5EF7101F"/>
    <w:rsid w:val="5FB30790"/>
    <w:rsid w:val="604B1D8F"/>
    <w:rsid w:val="62E47B0C"/>
    <w:rsid w:val="63396A22"/>
    <w:rsid w:val="67231596"/>
    <w:rsid w:val="679A2E90"/>
    <w:rsid w:val="6A1D3904"/>
    <w:rsid w:val="6B5A07C6"/>
    <w:rsid w:val="6E1F60CF"/>
    <w:rsid w:val="6EEB2223"/>
    <w:rsid w:val="728966CF"/>
    <w:rsid w:val="75614FED"/>
    <w:rsid w:val="76330BBC"/>
    <w:rsid w:val="782001B8"/>
    <w:rsid w:val="79BD2A0E"/>
    <w:rsid w:val="7A907630"/>
    <w:rsid w:val="7ACC23C0"/>
    <w:rsid w:val="7BF931B9"/>
    <w:rsid w:val="7EF45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nhideWhenUsed/>
    <w:qFormat/>
    <w:uiPriority w:val="99"/>
    <w:rPr>
      <w:color w:val="0026E5"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1751</Words>
  <Characters>2519</Characters>
  <Lines>0</Lines>
  <Paragraphs>0</Paragraphs>
  <TotalTime>32</TotalTime>
  <ScaleCrop>false</ScaleCrop>
  <LinksUpToDate>false</LinksUpToDate>
  <CharactersWithSpaces>2520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2025-10-15T07:35:00Z</dcterms:created>
  <dc:creator>王朔</dc:creator>
  <cp:lastModifiedBy>王朔</cp:lastModifiedBy>
  <dcterms:modified xsi:type="dcterms:W3CDTF">2025-11-27T23:35:53Z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eyJoZGlkIjoiOTkyY2VkNzliYjc5ZGI2ZDI3MWViY2FlODljNzhjYzgiLCJ1c2VySWQiOiIyNTExMTQzMzkifQ==</vt:lpwstr>
  </property>
  <property fmtid="{D5CDD505-2E9C-101B-9397-08002B2CF9AE}" pid="4" name="ICV">
    <vt:lpwstr>60FC5745EBC0450080377720598B51E4_12</vt:lpwstr>
  </property>
</Properties>
</file>