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ED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313" w:beforeLines="100" w:after="313" w:afterLines="100" w:line="360" w:lineRule="auto"/>
        <w:jc w:val="center"/>
        <w:textAlignment w:val="auto"/>
        <w:rPr>
          <w:rFonts w:hint="eastAsia"/>
          <w:sz w:val="28"/>
          <w:szCs w:val="44"/>
          <w:lang w:val="en-US" w:eastAsia="zh-CN"/>
        </w:rPr>
      </w:pPr>
      <w:r>
        <w:rPr>
          <w:rFonts w:hint="eastAsia"/>
          <w:sz w:val="28"/>
          <w:szCs w:val="44"/>
          <w:lang w:val="en-US" w:eastAsia="zh-CN"/>
        </w:rPr>
        <w:t>详细说明文档</w:t>
      </w:r>
    </w:p>
    <w:p w14:paraId="596A3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（一）文件说明</w:t>
      </w:r>
    </w:p>
    <w:p w14:paraId="2EBD7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本论文所使用的数据代码压缩包命名为“2024-01550+数据”，其中有三个部分，分别为“2024-01550+程序代码”、“2024-01550+日志文件”和“2024-01550+说明文档”和三个部分。</w:t>
      </w:r>
    </w:p>
    <w:p w14:paraId="16E000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（1）“2024-01550+程序代码”其中包括三个文件，最主要的命名为“Finalcode”，其中由两部分组成，分别为正文代码和附录代码；同时还包括两次数据补交的code，分别为“数据处理code——上市公司纵向一体化和上游度的code”和“数据处理code——数据处理与生成每张表的code”。</w:t>
      </w:r>
    </w:p>
    <w:p w14:paraId="762A78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default" w:eastAsia="仿宋"/>
          <w:sz w:val="21"/>
          <w:lang w:val="en-US" w:eastAsia="zh-CN"/>
        </w:rPr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）“2024-01550+程序代码”其中包括一个文件和一个文件夹，其中文件命名为“日志文件”，包括了生成文章所有图表（包括文章正文和附录）的代码和输出结果日志；一个文件夹分别命名为“output”，里面分为“正文”和“附录”两个子文件夹，其中有全部的图（png格式），也包括了文章所有结果的导出表格（txt格式和xlsx格式）。</w:t>
      </w:r>
    </w:p>
    <w:p w14:paraId="52794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20" w:firstLineChars="0"/>
        <w:textAlignment w:val="auto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3）“2024-01550+说明文档”为本文档。</w:t>
      </w:r>
    </w:p>
    <w:p w14:paraId="32D435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default" w:eastAsia="仿宋"/>
          <w:sz w:val="21"/>
          <w:lang w:val="en-US" w:eastAsia="zh-CN"/>
        </w:rPr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二）数据来源</w:t>
      </w:r>
    </w:p>
    <w:p w14:paraId="7585DD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hint="eastAsia"/>
          <w:sz w:val="21"/>
        </w:rPr>
      </w:pPr>
      <w:r>
        <w:rPr>
          <w:rFonts w:hint="eastAsia"/>
          <w:sz w:val="21"/>
        </w:rPr>
        <w:t>本文主要使用以下三套数据：</w:t>
      </w:r>
    </w:p>
    <w:p w14:paraId="7B18A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hint="eastAsia" w:eastAsia="仿宋"/>
          <w:sz w:val="21"/>
          <w:lang w:eastAsia="zh-CN"/>
        </w:rPr>
      </w:pPr>
      <w:r>
        <w:rPr>
          <w:rFonts w:hint="eastAsia"/>
          <w:sz w:val="21"/>
        </w:rPr>
        <w:t>第一套数据为2008—2016年A股上市公司财务数据，该数据主要来源于CSMAR数据库，主要包括资产总额、负债总额、固定资产总额、存货总额、少数股东权益、公司上市年限、董事会人数、股权结构、所属行业等</w:t>
      </w:r>
      <w:r>
        <w:rPr>
          <w:rFonts w:hint="eastAsia"/>
          <w:sz w:val="21"/>
          <w:lang w:eastAsia="zh-CN"/>
        </w:rPr>
        <w:t>。</w:t>
      </w:r>
      <w:bookmarkStart w:id="0" w:name="_GoBack"/>
      <w:bookmarkEnd w:id="0"/>
    </w:p>
    <w:p w14:paraId="7AF0DF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hint="eastAsia" w:cs="Times New Roman"/>
          <w:sz w:val="21"/>
          <w:lang w:eastAsia="zh-CN"/>
        </w:rPr>
      </w:pPr>
      <w:r>
        <w:rPr>
          <w:rFonts w:hint="eastAsia"/>
          <w:sz w:val="21"/>
        </w:rPr>
        <w:t>第二套数据为上市公司的供应商和客户信息，</w:t>
      </w:r>
      <w:r>
        <w:rPr>
          <w:rFonts w:hint="eastAsia" w:cs="Times New Roman"/>
          <w:sz w:val="21"/>
        </w:rPr>
        <w:t>该数据主要来源于C</w:t>
      </w:r>
      <w:r>
        <w:rPr>
          <w:rFonts w:cs="Times New Roman"/>
          <w:sz w:val="21"/>
        </w:rPr>
        <w:t>SMAR</w:t>
      </w:r>
      <w:r>
        <w:rPr>
          <w:rFonts w:hint="eastAsia" w:cs="Times New Roman"/>
          <w:sz w:val="21"/>
        </w:rPr>
        <w:t>中的“上市公司供应链信息”数据库，该库记录了公司前五大供应商和客户名称、关联关系、股票代码等信息，但未包括财务信息</w:t>
      </w:r>
      <w:r>
        <w:rPr>
          <w:rFonts w:hint="eastAsia" w:cs="Times New Roman"/>
          <w:sz w:val="21"/>
          <w:lang w:eastAsia="zh-CN"/>
        </w:rPr>
        <w:t>。证监会于2001年发布的《公开发行证券的公司信息披露内容与格式准则第2号-年度报告的内容与格式》中指出，公司应该披露主要供应商、客户情况，介绍公司向前五大供应商合计的采购金额占年度采购总额的比例，前五大客户销售额合计占公司销售总额的比例。</w:t>
      </w:r>
    </w:p>
    <w:p w14:paraId="046D19F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cs="Times New Roman"/>
          <w:sz w:val="21"/>
        </w:rPr>
      </w:pPr>
      <w:r>
        <w:rPr>
          <w:rFonts w:hint="eastAsia" w:cs="Times New Roman"/>
          <w:sz w:val="21"/>
        </w:rPr>
        <w:t>第三套数据为2008—2016年全国税收调查数据。一方面，该数据的代表性强、可靠性高，调查样本的分布情况与实际情况基本相符；另一方面，该数据库记录了受调查企业详细的财务和税务信息，为本文分析提供了充分的数据支持。本文将上述三套数据根据企业名称和时间进行匹配，得到了一套完整的涵盖上—中—下游供应链企业数据库，这为本文探讨</w:t>
      </w:r>
      <w:r>
        <w:rPr>
          <w:rFonts w:hint="eastAsia"/>
          <w:sz w:val="21"/>
        </w:rPr>
        <w:t>“营改增”政策对企业上下游分工行为</w:t>
      </w:r>
      <w:r>
        <w:rPr>
          <w:rFonts w:hint="eastAsia" w:cs="Times New Roman"/>
          <w:sz w:val="21"/>
        </w:rPr>
        <w:t>问题奠定了必要的技术基础。</w:t>
      </w:r>
    </w:p>
    <w:p w14:paraId="692172C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hint="eastAsia" w:cs="Times New Roman"/>
          <w:sz w:val="21"/>
        </w:rPr>
      </w:pPr>
      <w:r>
        <w:rPr>
          <w:rFonts w:hint="eastAsia"/>
          <w:sz w:val="21"/>
        </w:rPr>
        <w:t>为确保结果的精准性，本文对数据进行了如下处理。其一，在整链企业层面，为了使整个样本区间内的行业规范与行政区划代码具有可比性，本文将企业行业代码统一为2011年起使用的新行业分类代码，同时将行政区域代码统一为2016年行政区划代码，并将同一家企业的行业代码与行政区划代码予以统一；其二，在上游企业层面，本文剔除了：（1）</w:t>
      </w:r>
      <w:r>
        <w:rPr>
          <w:rFonts w:hint="eastAsia" w:cs="Times New Roman"/>
          <w:sz w:val="21"/>
        </w:rPr>
        <w:t>ST、PT公司；（2）关键财务指标数据缺失的公司；（3）行业发生变动的公司；其三，在供应链上下游企业层面，（1）剔除了是中游上市公司企业的子公司、联营公司或合营公司的样本；（2）剔除了关键变量缺失或存在明显逻辑错误的企业观测值。其四，为排除极端值影响，本文对所有连续变量进行上下1%的缩尾处理。</w:t>
      </w:r>
    </w:p>
    <w:p w14:paraId="17B1E5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396"/>
        <w:rPr>
          <w:rFonts w:hint="default" w:eastAsia="仿宋" w:cs="Times New Roman"/>
          <w:sz w:val="21"/>
          <w:lang w:val="en-US" w:eastAsia="zh-CN"/>
        </w:rPr>
      </w:pPr>
      <w:r>
        <w:rPr>
          <w:rFonts w:hint="eastAsia" w:cs="Times New Roman"/>
          <w:sz w:val="21"/>
          <w:lang w:val="en-US" w:eastAsia="zh-CN"/>
        </w:rPr>
        <w:t>同时，为使得实证方便，我们针对每个表单独设立了一份dta文件，如“表3 Panel A本级”“表3 Panel A下游”“表3 Panel B本级”“表3 Panel B下游”等。</w:t>
      </w:r>
    </w:p>
    <w:p w14:paraId="60C85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textAlignment w:val="auto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三）Dofile指标计算方式说明</w:t>
      </w:r>
    </w:p>
    <w:p w14:paraId="1CCE7F39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jc w:val="left"/>
        <w:textAlignment w:val="center"/>
        <w:rPr>
          <w:rFonts w:hint="eastAsia" w:cs="宋体"/>
          <w:sz w:val="21"/>
          <w:szCs w:val="18"/>
          <w:highlight w:val="none"/>
          <w:lang w:val="en-US" w:eastAsia="zh-CN"/>
        </w:rPr>
      </w:pPr>
      <w:r>
        <w:rPr>
          <w:rFonts w:hint="eastAsia" w:cs="宋体"/>
          <w:sz w:val="21"/>
          <w:szCs w:val="18"/>
          <w:highlight w:val="none"/>
          <w:lang w:val="en-US" w:eastAsia="zh-CN"/>
        </w:rPr>
        <w:t>其中，</w:t>
      </w:r>
      <w:r>
        <w:rPr>
          <w:rFonts w:hint="eastAsia" w:cs="宋体"/>
          <w:b/>
          <w:bCs/>
          <w:sz w:val="21"/>
          <w:szCs w:val="18"/>
          <w:highlight w:val="none"/>
          <w:lang w:val="en-US" w:eastAsia="zh-CN"/>
        </w:rPr>
        <w:t>上游</w:t>
      </w:r>
      <w:r>
        <w:rPr>
          <w:rFonts w:hint="eastAsia" w:cs="宋体"/>
          <w:b/>
          <w:bCs/>
          <w:sz w:val="21"/>
          <w:szCs w:val="18"/>
          <w:highlight w:val="none"/>
        </w:rPr>
        <w:t>公司</w:t>
      </w:r>
      <w:r>
        <w:rPr>
          <w:rFonts w:hint="eastAsia" w:cs="宋体"/>
          <w:sz w:val="21"/>
          <w:szCs w:val="18"/>
          <w:highlight w:val="none"/>
        </w:rPr>
        <w:t>变量定义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如下：</w:t>
      </w:r>
    </w:p>
    <w:p w14:paraId="7599EB8A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纵向一体化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cs="宋体"/>
          <w:sz w:val="21"/>
          <w:szCs w:val="18"/>
          <w:highlight w:val="none"/>
        </w:rPr>
        <w:t>VAS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具体测算方法详见附录</w:t>
      </w:r>
      <w:r>
        <w:rPr>
          <w:rFonts w:hint="default"/>
          <w:color w:val="auto"/>
          <w:sz w:val="21"/>
          <w:szCs w:val="21"/>
          <w:highlight w:val="none"/>
        </w:rPr>
        <w:t>Ⅰ</w:t>
      </w:r>
    </w:p>
    <w:p w14:paraId="64D811DF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上游与下游企业的距离上游度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cs="宋体"/>
          <w:sz w:val="21"/>
          <w:szCs w:val="18"/>
          <w:highlight w:val="none"/>
        </w:rPr>
        <w:t>Customer_Upstream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具体测算方法详见附录</w:t>
      </w:r>
      <w:r>
        <w:rPr>
          <w:rFonts w:hint="default" w:ascii="Times New Roman" w:hAnsi="Times New Roman" w:cs="Times New Roman"/>
          <w:sz w:val="21"/>
          <w:szCs w:val="18"/>
          <w:highlight w:val="none"/>
        </w:rPr>
        <w:t>Ⅱ</w:t>
      </w:r>
    </w:p>
    <w:p w14:paraId="3A2BE14D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企业销售额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cs="宋体"/>
          <w:sz w:val="21"/>
          <w:szCs w:val="18"/>
          <w:highlight w:val="none"/>
        </w:rPr>
        <w:t>Sales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上游企业销售额，单位：十亿</w:t>
      </w:r>
    </w:p>
    <w:p w14:paraId="6A7E04CA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成本加成率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MKP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基于会计法进行测算，详见附录</w:t>
      </w:r>
      <w:r>
        <w:rPr>
          <w:rFonts w:hint="default"/>
          <w:color w:val="auto"/>
          <w:sz w:val="21"/>
          <w:szCs w:val="18"/>
          <w:highlight w:val="none"/>
        </w:rPr>
        <w:t>Ⅳ</w:t>
      </w:r>
    </w:p>
    <w:p w14:paraId="0F3D792C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勒纳指数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LN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（营业收入-营业成本-销售费用-管理费用）/营业收入</w:t>
      </w:r>
    </w:p>
    <w:p w14:paraId="7F508589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全要素生产率（LP法）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TFP_LP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采用LP法测算的企业全要素生产率</w:t>
      </w:r>
    </w:p>
    <w:p w14:paraId="45937572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企业规模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Size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公司年总资产的自然对数</w:t>
      </w:r>
    </w:p>
    <w:p w14:paraId="6E6D9876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资产负债率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Lev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年末总负债/年末总资产</w:t>
      </w:r>
    </w:p>
    <w:p w14:paraId="7CC86372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总资产净利润率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ROA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净利润/总资产平均余额</w:t>
      </w:r>
    </w:p>
    <w:p w14:paraId="5B102C0F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企业年龄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FirmAge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当年年份-公司成立年份+1的自然对数</w:t>
      </w:r>
    </w:p>
    <w:p w14:paraId="1C2459C1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固定资产比率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FIXED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固定资产净额/总资产</w:t>
      </w:r>
    </w:p>
    <w:p w14:paraId="34E401DE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存货比率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INV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存货净额/总资产</w:t>
      </w:r>
    </w:p>
    <w:p w14:paraId="6E1884F2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董事会人数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Board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董事会人数的自然对数</w:t>
      </w:r>
    </w:p>
    <w:p w14:paraId="5CCE0D71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独立董事占比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Indep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独立董事人数/董事会人数</w:t>
      </w:r>
    </w:p>
    <w:p w14:paraId="579BC719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两职合一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Dual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董事长与总经理是同一个人为1，否则为0</w:t>
      </w:r>
    </w:p>
    <w:p w14:paraId="10614F45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第一大股东持股比例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TOP1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第一大股东持股数量/总股数</w:t>
      </w:r>
    </w:p>
    <w:p w14:paraId="28E0D8EB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“四大”审计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Big4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财务报告是否由“四大”会计师事务所审计，如果是，则为1；否则，为0</w:t>
      </w:r>
    </w:p>
    <w:p w14:paraId="361089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jc w:val="both"/>
        <w:textAlignment w:val="center"/>
        <w:rPr>
          <w:rFonts w:hint="eastAsia" w:cs="宋体"/>
          <w:i/>
          <w:iCs/>
          <w:sz w:val="21"/>
          <w:szCs w:val="18"/>
          <w:highlight w:val="none"/>
        </w:rPr>
      </w:pPr>
    </w:p>
    <w:p w14:paraId="7EA98D94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0" w:firstLineChars="0"/>
        <w:jc w:val="left"/>
        <w:textAlignment w:val="center"/>
        <w:rPr>
          <w:rFonts w:hint="eastAsia" w:cs="宋体"/>
          <w:sz w:val="21"/>
          <w:szCs w:val="18"/>
          <w:highlight w:val="none"/>
        </w:rPr>
      </w:pPr>
      <w:r>
        <w:rPr>
          <w:rFonts w:hint="eastAsia" w:cs="宋体"/>
          <w:i w:val="0"/>
          <w:iCs w:val="0"/>
          <w:sz w:val="21"/>
          <w:szCs w:val="18"/>
          <w:highlight w:val="none"/>
          <w:lang w:val="en-US" w:eastAsia="zh-CN"/>
        </w:rPr>
        <w:t>其中，</w:t>
      </w:r>
      <w:r>
        <w:rPr>
          <w:rFonts w:hint="eastAsia" w:cs="宋体"/>
          <w:b/>
          <w:bCs/>
          <w:sz w:val="21"/>
          <w:szCs w:val="18"/>
          <w:highlight w:val="none"/>
        </w:rPr>
        <w:t>供应链</w:t>
      </w:r>
      <w:r>
        <w:rPr>
          <w:rFonts w:hint="eastAsia" w:cs="宋体"/>
          <w:sz w:val="21"/>
          <w:szCs w:val="18"/>
          <w:highlight w:val="none"/>
        </w:rPr>
        <w:t>变量定义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如下：</w:t>
      </w:r>
    </w:p>
    <w:p w14:paraId="28E7516C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纵向一体化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cs="宋体"/>
          <w:sz w:val="21"/>
          <w:szCs w:val="18"/>
          <w:highlight w:val="none"/>
        </w:rPr>
        <w:t>VAS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具体测算方法详见附录</w:t>
      </w:r>
      <w:r>
        <w:rPr>
          <w:rFonts w:hint="default"/>
          <w:color w:val="auto"/>
          <w:sz w:val="21"/>
          <w:szCs w:val="21"/>
          <w:highlight w:val="none"/>
        </w:rPr>
        <w:t>Ⅰ</w:t>
      </w:r>
    </w:p>
    <w:p w14:paraId="1E87FCA5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企业进项额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Imput_Sales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企业营业成本，单位：十亿</w:t>
      </w:r>
    </w:p>
    <w:p w14:paraId="79FF6143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企业进项税额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Imput_VAT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企业增值税进项税额，单位：十亿</w:t>
      </w:r>
    </w:p>
    <w:p w14:paraId="18E8FACE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成本加成率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MKP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基于会计法进行测算，详见附录</w:t>
      </w:r>
      <w:r>
        <w:rPr>
          <w:rFonts w:hint="default"/>
          <w:color w:val="auto"/>
          <w:sz w:val="21"/>
          <w:szCs w:val="18"/>
          <w:highlight w:val="none"/>
        </w:rPr>
        <w:t>Ⅳ</w:t>
      </w:r>
    </w:p>
    <w:p w14:paraId="3B1872D7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勒纳指数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LN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（营业收入-营业成本-销售费用-管理费用）/营业收入</w:t>
      </w:r>
    </w:p>
    <w:p w14:paraId="506DFCC2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企业规模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Size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公司年总资产的自然对数</w:t>
      </w:r>
    </w:p>
    <w:p w14:paraId="389E771A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资产负债率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Lev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年末总负债/年末总资产</w:t>
      </w:r>
    </w:p>
    <w:p w14:paraId="57C2C75B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总资产净利润率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ROA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净利润/总资产平均余额</w:t>
      </w:r>
    </w:p>
    <w:p w14:paraId="30AE228A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企业年龄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FirmAge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当年年份-公司成立年份+1的自然对数</w:t>
      </w:r>
    </w:p>
    <w:p w14:paraId="5D629D47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rFonts w:cs="宋体"/>
          <w:sz w:val="21"/>
          <w:szCs w:val="18"/>
          <w:highlight w:val="none"/>
        </w:rPr>
      </w:pPr>
      <w:r>
        <w:rPr>
          <w:rFonts w:hint="eastAsia" w:cs="宋体"/>
          <w:sz w:val="21"/>
          <w:szCs w:val="18"/>
          <w:highlight w:val="none"/>
        </w:rPr>
        <w:t>固定资产比率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FIXED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固定资产净额/总资产</w:t>
      </w:r>
    </w:p>
    <w:p w14:paraId="0CAEDA9D">
      <w:pPr>
        <w:keepNext w:val="0"/>
        <w:keepLines w:val="0"/>
        <w:pageBreakBefore w:val="0"/>
        <w:widowControl/>
        <w:tabs>
          <w:tab w:val="left" w:pos="1960"/>
          <w:tab w:val="left" w:pos="3717"/>
        </w:tabs>
        <w:kinsoku/>
        <w:wordWrap/>
        <w:overflowPunct/>
        <w:topLinePunct w:val="0"/>
        <w:autoSpaceDE/>
        <w:autoSpaceDN/>
        <w:bidi w:val="0"/>
        <w:snapToGrid/>
        <w:spacing w:line="360" w:lineRule="auto"/>
        <w:ind w:firstLine="420" w:firstLineChars="0"/>
        <w:jc w:val="left"/>
        <w:textAlignment w:val="center"/>
        <w:rPr>
          <w:sz w:val="21"/>
        </w:rPr>
      </w:pPr>
      <w:r>
        <w:rPr>
          <w:rFonts w:hint="eastAsia" w:cs="宋体"/>
          <w:sz w:val="21"/>
          <w:szCs w:val="18"/>
          <w:highlight w:val="none"/>
        </w:rPr>
        <w:t>存货比率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INV</w:t>
      </w:r>
      <w:r>
        <w:rPr>
          <w:rFonts w:hint="eastAsia" w:cs="宋体"/>
          <w:sz w:val="21"/>
          <w:szCs w:val="18"/>
          <w:highlight w:val="none"/>
          <w:lang w:val="en-US" w:eastAsia="zh-CN"/>
        </w:rPr>
        <w:t>=</w:t>
      </w:r>
      <w:r>
        <w:rPr>
          <w:rFonts w:hint="eastAsia" w:cs="宋体"/>
          <w:sz w:val="21"/>
          <w:szCs w:val="18"/>
          <w:highlight w:val="none"/>
        </w:rPr>
        <w:t>存货净额/总资产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E6A07"/>
    <w:rsid w:val="0A9B6453"/>
    <w:rsid w:val="13484B32"/>
    <w:rsid w:val="1AB36015"/>
    <w:rsid w:val="1D774AFE"/>
    <w:rsid w:val="1E550CAD"/>
    <w:rsid w:val="1E5C124A"/>
    <w:rsid w:val="22E83DA8"/>
    <w:rsid w:val="2B27237A"/>
    <w:rsid w:val="34E268A9"/>
    <w:rsid w:val="368C19A8"/>
    <w:rsid w:val="36B961A6"/>
    <w:rsid w:val="38D215A5"/>
    <w:rsid w:val="3B0A6B5A"/>
    <w:rsid w:val="3F3025C9"/>
    <w:rsid w:val="475D10E2"/>
    <w:rsid w:val="48517B76"/>
    <w:rsid w:val="4BD20FCE"/>
    <w:rsid w:val="4D2A6BE7"/>
    <w:rsid w:val="4DDA23BB"/>
    <w:rsid w:val="4F6463E1"/>
    <w:rsid w:val="50974594"/>
    <w:rsid w:val="57B1418D"/>
    <w:rsid w:val="5A7E6A07"/>
    <w:rsid w:val="5C966047"/>
    <w:rsid w:val="600B74B2"/>
    <w:rsid w:val="616952FD"/>
    <w:rsid w:val="62C16B6E"/>
    <w:rsid w:val="69E55F18"/>
    <w:rsid w:val="6F7044D6"/>
    <w:rsid w:val="73196D06"/>
    <w:rsid w:val="79894B12"/>
    <w:rsid w:val="7B8C6B3B"/>
    <w:rsid w:val="7B915F00"/>
    <w:rsid w:val="7CD9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0"/>
    <w:pPr>
      <w:wordWrap w:val="0"/>
      <w:snapToGrid w:val="0"/>
      <w:ind w:firstLine="360"/>
      <w:jc w:val="left"/>
    </w:pPr>
    <w:rPr>
      <w:color w:val="000000" w:themeColor="text1"/>
      <w:sz w:val="18"/>
      <w:szCs w:val="18"/>
      <w14:textFill>
        <w14:solidFill>
          <w14:schemeClr w14:val="tx1"/>
        </w14:solidFill>
      </w14:textFill>
    </w:rPr>
  </w:style>
  <w:style w:type="character" w:styleId="5">
    <w:name w:val="footnote reference"/>
    <w:basedOn w:val="4"/>
    <w:unhideWhenUsed/>
    <w:qFormat/>
    <w:uiPriority w:val="0"/>
    <w:rPr>
      <w:color w:val="000000" w:themeColor="text1"/>
      <w:vertAlign w:val="superscript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1827</Words>
  <Characters>2155</Characters>
  <Lines>0</Lines>
  <Paragraphs>0</Paragraphs>
  <TotalTime>10</TotalTime>
  <ScaleCrop>false</ScaleCrop>
  <LinksUpToDate>false</LinksUpToDate>
  <CharactersWithSpaces>2163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2025-09-15T07:42:00Z</dcterms:created>
  <dc:creator>梁书宁</dc:creator>
  <cp:lastModifiedBy>梁书宁</cp:lastModifiedBy>
  <dcterms:modified xsi:type="dcterms:W3CDTF">2026-03-30T03:03:41Z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5F62E89D18DD42498572A043FEA24D5D_11</vt:lpwstr>
  </property>
  <property fmtid="{D5CDD505-2E9C-101B-9397-08002B2CF9AE}" pid="4" name="KSOTemplateDocerSaveRecord">
    <vt:lpwstr>eyJoZGlkIjoiMjAwMDIwZTYxNjE3NGNmNzA2NmY5NTY0ZWZkYTZlMjgiLCJ1c2VySWQiOiI2Nzk3NDUwNTIifQ==</vt:lpwstr>
  </property>
</Properties>
</file>