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F49E64">
      <w:pPr>
        <w:rPr>
          <w:rFonts w:ascii="Times New Roman" w:hAnsi="Times New Roman" w:eastAsia="楷体" w:cs="Times New Roman"/>
          <w:sz w:val="28"/>
          <w:szCs w:val="28"/>
        </w:rPr>
      </w:pPr>
      <w:r>
        <w:rPr>
          <w:rFonts w:ascii="Times New Roman" w:hAnsi="Times New Roman" w:cs="Times New Roman"/>
          <w:b/>
          <w:bCs/>
          <w:sz w:val="32"/>
          <w:szCs w:val="32"/>
        </w:rPr>
        <w:t>《</w:t>
      </w:r>
      <w:r>
        <w:rPr>
          <w:rFonts w:hint="eastAsia" w:ascii="Times New Roman" w:hAnsi="Times New Roman" w:cs="Times New Roman"/>
          <w:b/>
          <w:bCs/>
          <w:sz w:val="32"/>
          <w:szCs w:val="32"/>
        </w:rPr>
        <w:t>“一带一路”基础设施建设的生态效应评估——来自中老铁路的经验证据</w:t>
      </w:r>
      <w:r>
        <w:rPr>
          <w:rFonts w:ascii="Times New Roman" w:hAnsi="Times New Roman" w:cs="Times New Roman"/>
          <w:b/>
          <w:bCs/>
          <w:sz w:val="32"/>
          <w:szCs w:val="32"/>
        </w:rPr>
        <w:t>》代码说明</w:t>
      </w:r>
    </w:p>
    <w:p w14:paraId="526D515F">
      <w:pPr>
        <w:jc w:val="center"/>
        <w:rPr>
          <w:rFonts w:ascii="Times New Roman" w:hAnsi="Times New Roman" w:cs="Times New Roman"/>
          <w:sz w:val="30"/>
          <w:szCs w:val="30"/>
        </w:rPr>
      </w:pPr>
      <w:r>
        <w:rPr>
          <w:rFonts w:hint="eastAsia" w:ascii="Times New Roman" w:hAnsi="Times New Roman" w:eastAsia="楷体" w:cs="Times New Roman"/>
          <w:sz w:val="28"/>
          <w:szCs w:val="28"/>
        </w:rPr>
        <w:t>杨  冕  麦展铭  谢泽宇</w:t>
      </w:r>
    </w:p>
    <w:p w14:paraId="5D4FFD1C">
      <w:pPr>
        <w:spacing w:line="720" w:lineRule="auto"/>
        <w:ind w:firstLine="482" w:firstLineChars="200"/>
        <w:rPr>
          <w:rFonts w:ascii="Times New Roman" w:hAnsi="Times New Roman" w:eastAsia="仿宋" w:cs="Times New Roman"/>
          <w:b/>
          <w:bCs/>
          <w:sz w:val="24"/>
          <w:szCs w:val="24"/>
        </w:rPr>
      </w:pPr>
      <w:r>
        <w:rPr>
          <w:rFonts w:ascii="Times New Roman" w:hAnsi="Times New Roman" w:eastAsia="仿宋" w:cs="Times New Roman"/>
          <w:b/>
          <w:bCs/>
          <w:sz w:val="24"/>
          <w:szCs w:val="24"/>
        </w:rPr>
        <w:t>一、本文使用的数据信息</w:t>
      </w:r>
    </w:p>
    <w:p w14:paraId="7D2FC7BC">
      <w:pPr>
        <w:keepNext/>
        <w:spacing w:line="276" w:lineRule="auto"/>
        <w:ind w:firstLine="420" w:firstLineChars="200"/>
        <w:rPr>
          <w:rFonts w:hint="eastAsia" w:ascii="Times New Roman" w:hAnsi="Times New Roman" w:eastAsia="仿宋" w:cs="Times New Roman"/>
          <w:szCs w:val="21"/>
        </w:rPr>
      </w:pPr>
      <w:r>
        <w:rPr>
          <w:rFonts w:ascii="Times New Roman" w:hAnsi="Times New Roman" w:eastAsia="仿宋" w:cs="Times New Roman"/>
          <w:szCs w:val="21"/>
        </w:rPr>
        <w:t xml:space="preserve">1. </w:t>
      </w:r>
      <w:r>
        <w:rPr>
          <w:rFonts w:hint="eastAsia" w:ascii="Times New Roman" w:hAnsi="Times New Roman" w:eastAsia="仿宋" w:cs="Times New Roman"/>
          <w:szCs w:val="21"/>
        </w:rPr>
        <w:t>NDVI（归一化植被指数）栅格数据</w:t>
      </w:r>
    </w:p>
    <w:p w14:paraId="3A56819E">
      <w:pPr>
        <w:pStyle w:val="14"/>
        <w:ind w:firstLine="420"/>
        <w:rPr>
          <w:rFonts w:hint="eastAsia"/>
          <w:color w:val="auto"/>
        </w:rPr>
      </w:pPr>
      <w:r>
        <w:rPr>
          <w:color w:val="auto"/>
        </w:rPr>
        <w:t>本文使用Google Earth Engine遥感云计算平台，基于连续时间序列的MODIS NDVI卫星遥感数据(MOD13A1.061)生成老挝各县2012-2021年逐月的NDVI</w:t>
      </w:r>
      <w:r>
        <w:rPr>
          <w:rFonts w:hint="eastAsia"/>
          <w:color w:val="auto"/>
        </w:rPr>
        <w:t>数据的栅格数据</w:t>
      </w:r>
      <w:r>
        <w:rPr>
          <w:color w:val="auto"/>
        </w:rPr>
        <w:t>，其空间分辨率为500m*500m。MOD13A1.061数据集中NVDI数据的时间分辨率为16天，本文通过</w:t>
      </w:r>
      <w:r>
        <w:rPr>
          <w:rFonts w:hint="eastAsia"/>
          <w:color w:val="auto"/>
        </w:rPr>
        <w:t>最大值</w:t>
      </w:r>
      <w:r>
        <w:rPr>
          <w:color w:val="auto"/>
        </w:rPr>
        <w:t>合成将16天</w:t>
      </w:r>
      <w:r>
        <w:rPr>
          <w:rFonts w:hint="eastAsia"/>
          <w:color w:val="auto"/>
        </w:rPr>
        <w:t>时间分辨率</w:t>
      </w:r>
      <w:r>
        <w:rPr>
          <w:color w:val="auto"/>
        </w:rPr>
        <w:t>转换成月度分辨率</w:t>
      </w:r>
      <w:r>
        <w:rPr>
          <w:rFonts w:hint="eastAsia"/>
          <w:color w:val="auto"/>
        </w:rPr>
        <w:t>，再由月度分辨率最大值合成至季度</w:t>
      </w:r>
      <w:r>
        <w:rPr>
          <w:color w:val="auto"/>
        </w:rPr>
        <w:t>。</w:t>
      </w:r>
      <w:r>
        <w:rPr>
          <w:rFonts w:hint="eastAsia"/>
          <w:color w:val="auto"/>
        </w:rPr>
        <w:t>最</w:t>
      </w:r>
      <w:r>
        <w:rPr>
          <w:color w:val="auto"/>
        </w:rPr>
        <w:t>后，本文结合老挝县级行政区划数据，利用ArcGIS软件将此栅格数据解析为2012-2021年老挝</w:t>
      </w:r>
      <w:r>
        <w:rPr>
          <w:rFonts w:hint="eastAsia"/>
          <w:color w:val="auto"/>
        </w:rPr>
        <w:t>县级逐季度</w:t>
      </w:r>
      <w:r>
        <w:rPr>
          <w:color w:val="auto"/>
        </w:rPr>
        <w:t>的NDVI。</w:t>
      </w:r>
    </w:p>
    <w:p w14:paraId="5AA3E177">
      <w:pPr>
        <w:keepNext/>
        <w:spacing w:line="276" w:lineRule="auto"/>
        <w:ind w:firstLine="420" w:firstLineChars="200"/>
        <w:rPr>
          <w:rFonts w:hint="eastAsia" w:ascii="Times New Roman" w:hAnsi="Times New Roman" w:eastAsia="仿宋" w:cs="Times New Roman"/>
          <w:szCs w:val="21"/>
        </w:rPr>
      </w:pPr>
      <w:r>
        <w:rPr>
          <w:rFonts w:ascii="Times New Roman" w:hAnsi="Times New Roman" w:eastAsia="仿宋" w:cs="Times New Roman"/>
          <w:szCs w:val="21"/>
        </w:rPr>
        <w:t>2.</w:t>
      </w:r>
      <w:r>
        <w:rPr>
          <w:rFonts w:hint="eastAsia" w:ascii="Times New Roman" w:hAnsi="Times New Roman" w:eastAsia="仿宋" w:cs="Times New Roman"/>
          <w:szCs w:val="21"/>
        </w:rPr>
        <w:t>GDP栅格数据</w:t>
      </w:r>
    </w:p>
    <w:p w14:paraId="62910760">
      <w:pPr>
        <w:spacing w:line="276" w:lineRule="auto"/>
        <w:ind w:firstLine="420" w:firstLineChars="200"/>
        <w:rPr>
          <w:rFonts w:hint="eastAsia" w:ascii="Times New Roman" w:hAnsi="Times New Roman" w:eastAsia="仿宋" w:cs="Times New Roman"/>
          <w:szCs w:val="21"/>
        </w:rPr>
      </w:pPr>
      <w:r>
        <w:rPr>
          <w:rFonts w:hint="eastAsia" w:ascii="Times New Roman" w:hAnsi="Times New Roman" w:eastAsia="仿宋" w:cs="Times New Roman"/>
          <w:szCs w:val="21"/>
        </w:rPr>
        <w:t>本文使用的GDP数据来自Chen et al.（2022）基于夜间灯光数据开发的全球1km*1km的GDP经纬度栅格数据。结合老挝县级行政区划数据，本文使用ArcGIS软件通过掩膜提取、分区统计等步骤将全球GDP经纬度栅格数据解析为老挝各县逐年的GDP总量。由于该数据为年度数据，与本文研究的季度数据不匹配；因此本文选择样本研究期初，即2012年的老挝各县年度GDP总量与季度时间虚拟变量交互，作为控制变量加入模型。类似地，本文结合样本内东盟国家的行政区划，提取2015年各国年度GDP总量与年份虚拟变量交互，作为控制变量加入贸易效应的回归模型。</w:t>
      </w:r>
    </w:p>
    <w:p w14:paraId="747C1F25">
      <w:pPr>
        <w:keepNext/>
        <w:spacing w:line="276" w:lineRule="auto"/>
        <w:ind w:firstLine="420" w:firstLineChars="200"/>
        <w:rPr>
          <w:rFonts w:ascii="Times New Roman" w:hAnsi="Times New Roman" w:eastAsia="仿宋" w:cs="Times New Roman"/>
          <w:szCs w:val="21"/>
        </w:rPr>
      </w:pPr>
      <w:r>
        <w:rPr>
          <w:rFonts w:ascii="Times New Roman" w:hAnsi="Times New Roman" w:eastAsia="仿宋" w:cs="Times New Roman"/>
          <w:szCs w:val="21"/>
        </w:rPr>
        <w:t>3.</w:t>
      </w:r>
      <w:r>
        <w:rPr>
          <w:rFonts w:hint="eastAsia" w:ascii="Times New Roman" w:hAnsi="Times New Roman" w:eastAsia="仿宋" w:cs="Times New Roman"/>
          <w:szCs w:val="21"/>
        </w:rPr>
        <w:t>数字高程模型（DEM）数据</w:t>
      </w:r>
    </w:p>
    <w:p w14:paraId="0CD8D596">
      <w:pPr>
        <w:spacing w:line="276" w:lineRule="auto"/>
        <w:ind w:firstLine="420" w:firstLineChars="200"/>
        <w:rPr>
          <w:rFonts w:hint="eastAsia" w:ascii="Times New Roman" w:hAnsi="Times New Roman" w:eastAsia="仿宋" w:cs="Times New Roman"/>
          <w:szCs w:val="21"/>
        </w:rPr>
      </w:pPr>
      <w:r>
        <w:rPr>
          <w:rFonts w:hint="eastAsia" w:ascii="Times New Roman" w:hAnsi="Times New Roman" w:eastAsia="仿宋" w:cs="Times New Roman"/>
          <w:szCs w:val="21"/>
        </w:rPr>
        <w:t>本文使用由欧洲航天局发布的全球范围内30米空间分辨率数字高程模型——哥白尼数字高程模型（COP-DEM）数据集。通过Google Earth Engine遥感云计算平台，并结合老挝的行政区划，提取栅格形式的数字高程模型（DEM）数据。随后，使用ArcGIS软件通过分区统计将上述栅格数据解析为老挝各县的数字高程模型（DEM）数据，并将其与季度时间虚拟变量交互后，作为控制变量加入模型。</w:t>
      </w:r>
    </w:p>
    <w:p w14:paraId="343A68FF">
      <w:pPr>
        <w:keepNext/>
        <w:spacing w:line="276" w:lineRule="auto"/>
        <w:ind w:firstLine="420" w:firstLineChars="200"/>
        <w:rPr>
          <w:rFonts w:hint="eastAsia" w:ascii="Times New Roman" w:hAnsi="Times New Roman" w:eastAsia="仿宋" w:cs="Times New Roman"/>
          <w:szCs w:val="21"/>
        </w:rPr>
      </w:pPr>
      <w:r>
        <w:rPr>
          <w:rFonts w:ascii="Times New Roman" w:hAnsi="Times New Roman" w:eastAsia="仿宋" w:cs="Times New Roman"/>
          <w:szCs w:val="21"/>
        </w:rPr>
        <w:t>4.</w:t>
      </w:r>
      <w:r>
        <w:rPr>
          <w:rFonts w:hint="eastAsia" w:ascii="Times New Roman" w:hAnsi="Times New Roman" w:eastAsia="仿宋" w:cs="Times New Roman"/>
          <w:szCs w:val="21"/>
        </w:rPr>
        <w:t>夜间灯光数据</w:t>
      </w:r>
    </w:p>
    <w:p w14:paraId="5691EE88">
      <w:pPr>
        <w:pStyle w:val="14"/>
        <w:ind w:firstLine="420"/>
        <w:rPr>
          <w:rFonts w:hint="eastAsia"/>
          <w:color w:val="auto"/>
        </w:rPr>
      </w:pPr>
      <w:r>
        <w:rPr>
          <w:rFonts w:hint="eastAsia"/>
          <w:color w:val="auto"/>
        </w:rPr>
        <w:t>本文使用NPP-VIIRS夜间灯光数据。本文选取2012年的夜间灯光矢量图数据，将夜间灯光值提取至栅格，用以在栅格层面的回归中</w:t>
      </w:r>
      <w:bookmarkStart w:id="0" w:name="_GoBack"/>
      <w:bookmarkEnd w:id="0"/>
      <w:r>
        <w:rPr>
          <w:rFonts w:hint="eastAsia"/>
          <w:color w:val="auto"/>
        </w:rPr>
        <w:t>控制各研究单元的经济活动水平。（数据来源：https://www.zybuluo.com/novachen/note/1741875）</w:t>
      </w:r>
    </w:p>
    <w:p w14:paraId="5283CECC">
      <w:pPr>
        <w:keepNext/>
        <w:spacing w:line="276" w:lineRule="auto"/>
        <w:ind w:firstLine="420" w:firstLineChars="200"/>
        <w:rPr>
          <w:rFonts w:ascii="Times New Roman" w:hAnsi="Times New Roman" w:eastAsia="仿宋" w:cs="Times New Roman"/>
          <w:szCs w:val="21"/>
        </w:rPr>
      </w:pPr>
      <w:r>
        <w:rPr>
          <w:rFonts w:ascii="Times New Roman" w:hAnsi="Times New Roman" w:eastAsia="仿宋" w:cs="Times New Roman"/>
          <w:szCs w:val="21"/>
        </w:rPr>
        <w:t>5.</w:t>
      </w:r>
      <w:r>
        <w:rPr>
          <w:rFonts w:hint="eastAsia" w:ascii="Times New Roman" w:hAnsi="Times New Roman" w:eastAsia="仿宋" w:cs="Times New Roman"/>
          <w:szCs w:val="21"/>
        </w:rPr>
        <w:t>贸易数据</w:t>
      </w:r>
    </w:p>
    <w:p w14:paraId="3FD29AB8">
      <w:pPr>
        <w:spacing w:line="276" w:lineRule="auto"/>
        <w:ind w:firstLine="420" w:firstLineChars="200"/>
        <w:rPr>
          <w:rFonts w:hint="eastAsia" w:ascii="Times New Roman" w:hAnsi="Times New Roman" w:eastAsia="仿宋" w:cs="Times New Roman"/>
          <w:szCs w:val="21"/>
        </w:rPr>
      </w:pPr>
      <w:r>
        <w:rPr>
          <w:rFonts w:hint="eastAsia" w:ascii="Times New Roman" w:hAnsi="Times New Roman" w:eastAsia="仿宋" w:cs="Times New Roman"/>
          <w:szCs w:val="21"/>
        </w:rPr>
        <w:t>本文的贸易数据来自于国务院发展研究中心信息网宏观经济统计数据库中的对外贸易板块，选取2015年至2024年以海关编码（HS2）为分类依据的中国云南省与东盟10国的贸易额，构造了云南省-东盟国家-年份-HS大类商品种类层面的面板数据。</w:t>
      </w:r>
    </w:p>
    <w:p w14:paraId="019D2A57">
      <w:pPr>
        <w:spacing w:line="720" w:lineRule="auto"/>
        <w:ind w:firstLine="482" w:firstLineChars="200"/>
        <w:rPr>
          <w:rFonts w:ascii="Times New Roman" w:hAnsi="Times New Roman" w:eastAsia="仿宋" w:cs="Times New Roman"/>
          <w:b/>
          <w:bCs/>
          <w:sz w:val="24"/>
          <w:szCs w:val="24"/>
        </w:rPr>
      </w:pPr>
      <w:r>
        <w:rPr>
          <w:rFonts w:ascii="Times New Roman" w:hAnsi="Times New Roman" w:eastAsia="仿宋" w:cs="Times New Roman"/>
          <w:b/>
          <w:bCs/>
          <w:sz w:val="24"/>
          <w:szCs w:val="24"/>
        </w:rPr>
        <w:t>二、代码</w:t>
      </w:r>
      <w:r>
        <w:rPr>
          <w:rFonts w:hint="eastAsia" w:ascii="Times New Roman" w:hAnsi="Times New Roman" w:eastAsia="仿宋" w:cs="Times New Roman"/>
          <w:b/>
          <w:bCs/>
          <w:sz w:val="24"/>
          <w:szCs w:val="24"/>
        </w:rPr>
        <w:t>介绍及</w:t>
      </w:r>
      <w:r>
        <w:rPr>
          <w:rFonts w:ascii="Times New Roman" w:hAnsi="Times New Roman" w:eastAsia="仿宋" w:cs="Times New Roman"/>
          <w:b/>
          <w:bCs/>
          <w:sz w:val="24"/>
          <w:szCs w:val="24"/>
        </w:rPr>
        <w:t>相关数据集</w:t>
      </w:r>
    </w:p>
    <w:p w14:paraId="20F29DA9">
      <w:pPr>
        <w:spacing w:line="276" w:lineRule="auto"/>
        <w:ind w:firstLine="420" w:firstLineChars="200"/>
        <w:rPr>
          <w:rFonts w:ascii="Times New Roman" w:hAnsi="Times New Roman" w:eastAsia="仿宋" w:cs="Times New Roman"/>
          <w:szCs w:val="21"/>
        </w:rPr>
      </w:pPr>
      <w:r>
        <w:rPr>
          <w:rFonts w:ascii="Times New Roman" w:hAnsi="Times New Roman" w:eastAsia="仿宋" w:cs="Times New Roman"/>
          <w:szCs w:val="21"/>
        </w:rPr>
        <w:t>本文</w:t>
      </w:r>
      <w:r>
        <w:rPr>
          <w:rFonts w:hint="eastAsia" w:ascii="Times New Roman" w:hAnsi="Times New Roman" w:eastAsia="仿宋" w:cs="Times New Roman"/>
          <w:szCs w:val="21"/>
        </w:rPr>
        <w:t>用于生成文章图表的程序代码包括：</w:t>
      </w:r>
    </w:p>
    <w:p w14:paraId="0A11156A">
      <w:pPr>
        <w:pStyle w:val="11"/>
        <w:numPr>
          <w:ilvl w:val="0"/>
          <w:numId w:val="1"/>
        </w:numPr>
        <w:spacing w:line="276" w:lineRule="auto"/>
        <w:ind w:firstLineChars="0"/>
        <w:rPr>
          <w:rFonts w:ascii="Times New Roman" w:hAnsi="Times New Roman" w:eastAsia="仿宋" w:cs="Times New Roman"/>
          <w:szCs w:val="21"/>
        </w:rPr>
      </w:pPr>
      <w:r>
        <w:rPr>
          <w:rFonts w:hint="eastAsia" w:ascii="Times New Roman" w:hAnsi="Times New Roman" w:eastAsia="仿宋" w:cs="Times New Roman"/>
          <w:szCs w:val="21"/>
        </w:rPr>
        <w:t>EcoCode.do，用于生成生态部分回归的图表。</w:t>
      </w:r>
    </w:p>
    <w:p w14:paraId="3078F367">
      <w:pPr>
        <w:pStyle w:val="11"/>
        <w:numPr>
          <w:ilvl w:val="0"/>
          <w:numId w:val="1"/>
        </w:numPr>
        <w:spacing w:line="276" w:lineRule="auto"/>
        <w:ind w:firstLineChars="0"/>
        <w:rPr>
          <w:rFonts w:ascii="Times New Roman" w:hAnsi="Times New Roman" w:eastAsia="仿宋" w:cs="Times New Roman"/>
          <w:szCs w:val="21"/>
        </w:rPr>
      </w:pPr>
      <w:r>
        <w:rPr>
          <w:rFonts w:hint="eastAsia" w:ascii="Times New Roman" w:hAnsi="Times New Roman" w:eastAsia="仿宋" w:cs="Times New Roman"/>
          <w:szCs w:val="21"/>
        </w:rPr>
        <w:t>TradeCode.do，用于生成贸易部分回归的图表。</w:t>
      </w:r>
    </w:p>
    <w:p w14:paraId="1AD75705">
      <w:pPr>
        <w:spacing w:line="276" w:lineRule="auto"/>
        <w:ind w:left="420"/>
        <w:rPr>
          <w:rFonts w:ascii="Times New Roman" w:hAnsi="Times New Roman" w:eastAsia="仿宋" w:cs="Times New Roman"/>
          <w:szCs w:val="21"/>
        </w:rPr>
      </w:pPr>
      <w:r>
        <w:rPr>
          <w:rFonts w:hint="eastAsia" w:ascii="Times New Roman" w:hAnsi="Times New Roman" w:eastAsia="仿宋" w:cs="Times New Roman"/>
          <w:szCs w:val="21"/>
        </w:rPr>
        <w:t>运行程序后的日志文件包括：</w:t>
      </w:r>
    </w:p>
    <w:p w14:paraId="7062A133">
      <w:pPr>
        <w:pStyle w:val="11"/>
        <w:numPr>
          <w:ilvl w:val="0"/>
          <w:numId w:val="2"/>
        </w:numPr>
        <w:spacing w:line="276" w:lineRule="auto"/>
        <w:ind w:firstLineChars="0"/>
        <w:rPr>
          <w:rFonts w:ascii="Times New Roman" w:hAnsi="Times New Roman" w:eastAsia="仿宋" w:cs="Times New Roman"/>
          <w:szCs w:val="21"/>
        </w:rPr>
      </w:pPr>
      <w:r>
        <w:rPr>
          <w:rFonts w:hint="eastAsia" w:ascii="Times New Roman" w:hAnsi="Times New Roman" w:eastAsia="仿宋" w:cs="Times New Roman"/>
          <w:szCs w:val="21"/>
        </w:rPr>
        <w:t>logEco</w:t>
      </w:r>
      <w:r>
        <w:rPr>
          <w:rFonts w:ascii="Times New Roman" w:hAnsi="Times New Roman" w:eastAsia="仿宋" w:cs="Times New Roman"/>
          <w:szCs w:val="21"/>
        </w:rPr>
        <w:t>.</w:t>
      </w:r>
      <w:r>
        <w:rPr>
          <w:rFonts w:hint="eastAsia" w:ascii="Times New Roman" w:hAnsi="Times New Roman" w:eastAsia="仿宋" w:cs="Times New Roman"/>
          <w:szCs w:val="21"/>
        </w:rPr>
        <w:t>log，运行EcoCode.do的日志文件。</w:t>
      </w:r>
    </w:p>
    <w:p w14:paraId="0BD83E9C">
      <w:pPr>
        <w:pStyle w:val="11"/>
        <w:numPr>
          <w:ilvl w:val="0"/>
          <w:numId w:val="2"/>
        </w:numPr>
        <w:spacing w:line="276" w:lineRule="auto"/>
        <w:ind w:firstLineChars="0"/>
        <w:rPr>
          <w:rFonts w:ascii="Times New Roman" w:hAnsi="Times New Roman" w:eastAsia="仿宋" w:cs="Times New Roman"/>
          <w:szCs w:val="21"/>
        </w:rPr>
      </w:pPr>
      <w:r>
        <w:rPr>
          <w:rFonts w:hint="eastAsia" w:ascii="Times New Roman" w:hAnsi="Times New Roman" w:eastAsia="仿宋" w:cs="Times New Roman"/>
          <w:szCs w:val="21"/>
        </w:rPr>
        <w:t>logTrade</w:t>
      </w:r>
      <w:r>
        <w:rPr>
          <w:rFonts w:ascii="Times New Roman" w:hAnsi="Times New Roman" w:eastAsia="仿宋" w:cs="Times New Roman"/>
          <w:szCs w:val="21"/>
        </w:rPr>
        <w:t>.</w:t>
      </w:r>
      <w:r>
        <w:rPr>
          <w:rFonts w:hint="eastAsia" w:ascii="Times New Roman" w:hAnsi="Times New Roman" w:eastAsia="仿宋" w:cs="Times New Roman"/>
          <w:szCs w:val="21"/>
        </w:rPr>
        <w:t>log，运行TradeCode.do的日志文件。</w:t>
      </w:r>
    </w:p>
    <w:p w14:paraId="4F645B85">
      <w:pPr>
        <w:spacing w:line="276" w:lineRule="auto"/>
        <w:ind w:firstLine="420"/>
        <w:rPr>
          <w:rFonts w:ascii="Times New Roman" w:hAnsi="Times New Roman" w:eastAsia="仿宋" w:cs="Times New Roman"/>
          <w:szCs w:val="21"/>
        </w:rPr>
      </w:pPr>
      <w:r>
        <w:rPr>
          <w:rFonts w:hint="eastAsia" w:ascii="Times New Roman" w:hAnsi="Times New Roman" w:eastAsia="仿宋" w:cs="Times New Roman"/>
          <w:szCs w:val="21"/>
        </w:rPr>
        <w:t>其中</w:t>
      </w:r>
      <w:r>
        <w:rPr>
          <w:rFonts w:ascii="Times New Roman" w:hAnsi="Times New Roman" w:eastAsia="仿宋" w:cs="Times New Roman"/>
          <w:szCs w:val="21"/>
        </w:rPr>
        <w:t>涉及的数据集如下：</w:t>
      </w:r>
    </w:p>
    <w:p w14:paraId="2A5041D8">
      <w:pPr>
        <w:pStyle w:val="2"/>
        <w:keepNext/>
        <w:jc w:val="center"/>
        <w:rPr>
          <w:rFonts w:hint="eastAsia" w:ascii="黑体" w:hAnsi="黑体"/>
        </w:rPr>
      </w:pPr>
      <w:r>
        <w:rPr>
          <w:rFonts w:ascii="黑体" w:hAnsi="黑体"/>
        </w:rPr>
        <w:t xml:space="preserve">表 </w:t>
      </w:r>
      <w:r>
        <w:rPr>
          <w:rFonts w:ascii="黑体" w:hAnsi="黑体"/>
        </w:rPr>
        <w:fldChar w:fldCharType="begin"/>
      </w:r>
      <w:r>
        <w:rPr>
          <w:rFonts w:ascii="黑体" w:hAnsi="黑体"/>
        </w:rPr>
        <w:instrText xml:space="preserve"> SEQ 表 \* ARABIC </w:instrText>
      </w:r>
      <w:r>
        <w:rPr>
          <w:rFonts w:ascii="黑体" w:hAnsi="黑体"/>
        </w:rPr>
        <w:fldChar w:fldCharType="separate"/>
      </w:r>
      <w:r>
        <w:rPr>
          <w:rFonts w:ascii="黑体" w:hAnsi="黑体"/>
        </w:rPr>
        <w:t>1</w:t>
      </w:r>
      <w:r>
        <w:rPr>
          <w:rFonts w:ascii="黑体" w:hAnsi="黑体"/>
        </w:rPr>
        <w:fldChar w:fldCharType="end"/>
      </w:r>
      <w:r>
        <w:rPr>
          <w:rFonts w:hint="eastAsia" w:ascii="黑体" w:hAnsi="黑体"/>
        </w:rPr>
        <w:t xml:space="preserve"> 数据文件介绍</w:t>
      </w:r>
    </w:p>
    <w:tbl>
      <w:tblPr>
        <w:tblStyle w:val="6"/>
        <w:tblW w:w="0" w:type="auto"/>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29"/>
        <w:gridCol w:w="1295"/>
        <w:gridCol w:w="3753"/>
        <w:gridCol w:w="945"/>
      </w:tblGrid>
      <w:tr w14:paraId="0CF654AA">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PrEx>
        <w:tc>
          <w:tcPr>
            <w:tcW w:w="0" w:type="auto"/>
            <w:tcBorders>
              <w:top w:val="single" w:color="auto" w:sz="4" w:space="0"/>
              <w:bottom w:val="single" w:color="auto" w:sz="4" w:space="0"/>
            </w:tcBorders>
            <w:vAlign w:val="center"/>
          </w:tcPr>
          <w:p w14:paraId="0CEA3469">
            <w:pPr>
              <w:jc w:val="center"/>
              <w:rPr>
                <w:rFonts w:ascii="Times New Roman" w:hAnsi="Times New Roman" w:eastAsia="仿宋" w:cs="Times New Roman"/>
                <w:b/>
                <w:bCs/>
                <w:sz w:val="18"/>
                <w:szCs w:val="18"/>
              </w:rPr>
            </w:pPr>
            <w:r>
              <w:rPr>
                <w:rFonts w:ascii="Times New Roman" w:hAnsi="Times New Roman" w:eastAsia="仿宋" w:cs="Times New Roman"/>
                <w:b/>
                <w:bCs/>
                <w:sz w:val="18"/>
                <w:szCs w:val="18"/>
              </w:rPr>
              <w:t>数据文件</w:t>
            </w:r>
          </w:p>
        </w:tc>
        <w:tc>
          <w:tcPr>
            <w:tcW w:w="1324" w:type="dxa"/>
            <w:tcBorders>
              <w:top w:val="single" w:color="auto" w:sz="4" w:space="0"/>
              <w:bottom w:val="single" w:color="auto" w:sz="4" w:space="0"/>
            </w:tcBorders>
            <w:vAlign w:val="center"/>
          </w:tcPr>
          <w:p w14:paraId="0FE9678E">
            <w:pPr>
              <w:jc w:val="center"/>
              <w:rPr>
                <w:rFonts w:ascii="Times New Roman" w:hAnsi="Times New Roman" w:eastAsia="仿宋" w:cs="Times New Roman"/>
                <w:b/>
                <w:bCs/>
                <w:sz w:val="18"/>
                <w:szCs w:val="18"/>
              </w:rPr>
            </w:pPr>
            <w:r>
              <w:rPr>
                <w:rFonts w:ascii="Times New Roman" w:hAnsi="Times New Roman" w:eastAsia="仿宋" w:cs="Times New Roman"/>
                <w:b/>
                <w:bCs/>
                <w:sz w:val="18"/>
                <w:szCs w:val="18"/>
              </w:rPr>
              <w:t>介绍</w:t>
            </w:r>
          </w:p>
        </w:tc>
        <w:tc>
          <w:tcPr>
            <w:tcW w:w="3841" w:type="dxa"/>
            <w:tcBorders>
              <w:top w:val="single" w:color="auto" w:sz="4" w:space="0"/>
              <w:bottom w:val="single" w:color="auto" w:sz="4" w:space="0"/>
            </w:tcBorders>
            <w:vAlign w:val="center"/>
          </w:tcPr>
          <w:p w14:paraId="08366A09">
            <w:pPr>
              <w:jc w:val="center"/>
              <w:rPr>
                <w:rFonts w:ascii="Times New Roman" w:hAnsi="Times New Roman" w:eastAsia="仿宋" w:cs="Times New Roman"/>
                <w:b/>
                <w:bCs/>
                <w:sz w:val="18"/>
                <w:szCs w:val="18"/>
              </w:rPr>
            </w:pPr>
            <w:r>
              <w:rPr>
                <w:rFonts w:ascii="Times New Roman" w:hAnsi="Times New Roman" w:eastAsia="仿宋" w:cs="Times New Roman"/>
                <w:b/>
                <w:bCs/>
                <w:sz w:val="18"/>
                <w:szCs w:val="18"/>
              </w:rPr>
              <w:t>变量内容</w:t>
            </w:r>
          </w:p>
        </w:tc>
        <w:tc>
          <w:tcPr>
            <w:tcW w:w="951" w:type="dxa"/>
            <w:tcBorders>
              <w:top w:val="single" w:color="auto" w:sz="4" w:space="0"/>
              <w:bottom w:val="single" w:color="auto" w:sz="4" w:space="0"/>
            </w:tcBorders>
            <w:vAlign w:val="center"/>
          </w:tcPr>
          <w:p w14:paraId="2A8E9EA2">
            <w:pPr>
              <w:jc w:val="center"/>
              <w:rPr>
                <w:rFonts w:ascii="Times New Roman" w:hAnsi="Times New Roman" w:eastAsia="仿宋" w:cs="Times New Roman"/>
                <w:b/>
                <w:bCs/>
                <w:sz w:val="18"/>
                <w:szCs w:val="18"/>
              </w:rPr>
            </w:pPr>
            <w:r>
              <w:rPr>
                <w:rFonts w:ascii="Times New Roman" w:hAnsi="Times New Roman" w:eastAsia="仿宋" w:cs="Times New Roman"/>
                <w:b/>
                <w:bCs/>
                <w:sz w:val="18"/>
                <w:szCs w:val="18"/>
              </w:rPr>
              <w:t>相关表格</w:t>
            </w:r>
          </w:p>
        </w:tc>
      </w:tr>
      <w:tr w14:paraId="5FAE485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8" w:hRule="atLeast"/>
        </w:trPr>
        <w:tc>
          <w:tcPr>
            <w:tcW w:w="0" w:type="auto"/>
            <w:tcBorders>
              <w:top w:val="single" w:color="auto" w:sz="4" w:space="0"/>
              <w:bottom w:val="nil"/>
            </w:tcBorders>
            <w:vAlign w:val="center"/>
          </w:tcPr>
          <w:p w14:paraId="733F0E8F">
            <w:pPr>
              <w:rPr>
                <w:rFonts w:ascii="Times New Roman" w:hAnsi="Times New Roman" w:eastAsia="仿宋" w:cs="Times New Roman"/>
                <w:sz w:val="18"/>
                <w:szCs w:val="18"/>
              </w:rPr>
            </w:pPr>
            <w:r>
              <w:rPr>
                <w:rFonts w:hint="eastAsia" w:ascii="Times New Roman" w:hAnsi="Times New Roman" w:eastAsia="仿宋" w:cs="Times New Roman"/>
                <w:sz w:val="18"/>
                <w:szCs w:val="18"/>
              </w:rPr>
              <w:t>NDVI_2012-2022_quarterly.dta</w:t>
            </w:r>
          </w:p>
        </w:tc>
        <w:tc>
          <w:tcPr>
            <w:tcW w:w="1324" w:type="dxa"/>
            <w:tcBorders>
              <w:top w:val="single" w:color="auto" w:sz="4" w:space="0"/>
              <w:bottom w:val="nil"/>
            </w:tcBorders>
            <w:vAlign w:val="center"/>
          </w:tcPr>
          <w:p w14:paraId="551E7371">
            <w:pPr>
              <w:rPr>
                <w:rFonts w:ascii="Times New Roman" w:hAnsi="Times New Roman" w:eastAsia="仿宋" w:cs="Times New Roman"/>
                <w:sz w:val="18"/>
                <w:szCs w:val="18"/>
              </w:rPr>
            </w:pPr>
            <w:r>
              <w:rPr>
                <w:rFonts w:hint="eastAsia" w:ascii="Times New Roman" w:hAnsi="Times New Roman" w:eastAsia="仿宋" w:cs="Times New Roman"/>
                <w:sz w:val="18"/>
                <w:szCs w:val="18"/>
              </w:rPr>
              <w:t>生态回归主要数据集</w:t>
            </w:r>
          </w:p>
        </w:tc>
        <w:tc>
          <w:tcPr>
            <w:tcW w:w="3841" w:type="dxa"/>
            <w:tcBorders>
              <w:top w:val="single" w:color="auto" w:sz="4" w:space="0"/>
              <w:bottom w:val="single" w:color="auto" w:sz="4" w:space="0"/>
            </w:tcBorders>
            <w:vAlign w:val="center"/>
          </w:tcPr>
          <w:p w14:paraId="1BF8F108">
            <w:pPr>
              <w:rPr>
                <w:rFonts w:ascii="Times New Roman" w:hAnsi="Times New Roman" w:eastAsia="仿宋" w:cs="Times New Roman"/>
                <w:sz w:val="18"/>
                <w:szCs w:val="18"/>
              </w:rPr>
            </w:pPr>
            <w:r>
              <w:rPr>
                <w:rFonts w:hint="eastAsia" w:ascii="Times New Roman" w:hAnsi="Times New Roman" w:eastAsia="仿宋" w:cs="Times New Roman"/>
                <w:sz w:val="18"/>
                <w:szCs w:val="18"/>
              </w:rPr>
              <w:t>取ln的老挝县级-季度归一化植被指数（lnNDVI）</w:t>
            </w:r>
          </w:p>
          <w:p w14:paraId="014236EE">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2012年老挝各县年度GDP（GDP）</w:t>
            </w:r>
          </w:p>
          <w:p w14:paraId="0C3F9AAF">
            <w:pPr>
              <w:rPr>
                <w:rFonts w:ascii="Times New Roman" w:hAnsi="Times New Roman" w:eastAsia="仿宋" w:cs="Times New Roman"/>
                <w:sz w:val="18"/>
                <w:szCs w:val="18"/>
              </w:rPr>
            </w:pPr>
            <w:r>
              <w:rPr>
                <w:rFonts w:hint="eastAsia" w:ascii="Times New Roman" w:hAnsi="Times New Roman" w:eastAsia="仿宋" w:cs="Times New Roman"/>
                <w:sz w:val="18"/>
                <w:szCs w:val="18"/>
              </w:rPr>
              <w:t>数字高程模型（DEM）</w:t>
            </w:r>
          </w:p>
        </w:tc>
        <w:tc>
          <w:tcPr>
            <w:tcW w:w="951" w:type="dxa"/>
            <w:tcBorders>
              <w:top w:val="single" w:color="auto" w:sz="4" w:space="0"/>
              <w:bottom w:val="single" w:color="auto" w:sz="4" w:space="0"/>
            </w:tcBorders>
            <w:vAlign w:val="center"/>
          </w:tcPr>
          <w:p w14:paraId="4B573722">
            <w:pPr>
              <w:rPr>
                <w:rFonts w:ascii="Times New Roman" w:hAnsi="Times New Roman" w:eastAsia="仿宋" w:cs="Times New Roman"/>
                <w:sz w:val="18"/>
                <w:szCs w:val="18"/>
              </w:rPr>
            </w:pPr>
            <w:r>
              <w:rPr>
                <w:rFonts w:hint="eastAsia" w:ascii="Times New Roman" w:hAnsi="Times New Roman" w:eastAsia="仿宋" w:cs="Times New Roman"/>
                <w:sz w:val="18"/>
                <w:szCs w:val="18"/>
              </w:rPr>
              <w:t>表1</w:t>
            </w:r>
          </w:p>
          <w:p w14:paraId="702DCFCB">
            <w:pPr>
              <w:rPr>
                <w:rFonts w:ascii="Times New Roman" w:hAnsi="Times New Roman" w:eastAsia="仿宋" w:cs="Times New Roman"/>
                <w:sz w:val="18"/>
                <w:szCs w:val="18"/>
              </w:rPr>
            </w:pPr>
            <w:r>
              <w:rPr>
                <w:rFonts w:hint="eastAsia" w:ascii="Times New Roman" w:hAnsi="Times New Roman" w:eastAsia="仿宋" w:cs="Times New Roman"/>
                <w:sz w:val="18"/>
                <w:szCs w:val="18"/>
              </w:rPr>
              <w:t>表2</w:t>
            </w:r>
          </w:p>
          <w:p w14:paraId="451174EE">
            <w:pPr>
              <w:rPr>
                <w:rFonts w:ascii="Times New Roman" w:hAnsi="Times New Roman" w:eastAsia="仿宋" w:cs="Times New Roman"/>
                <w:sz w:val="18"/>
                <w:szCs w:val="18"/>
              </w:rPr>
            </w:pPr>
            <w:r>
              <w:rPr>
                <w:rFonts w:hint="eastAsia" w:ascii="Times New Roman" w:hAnsi="Times New Roman" w:eastAsia="仿宋" w:cs="Times New Roman"/>
                <w:sz w:val="18"/>
                <w:szCs w:val="18"/>
              </w:rPr>
              <w:t>表3</w:t>
            </w:r>
          </w:p>
          <w:p w14:paraId="7F1DDCE0">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附录ⅠA1</w:t>
            </w:r>
          </w:p>
        </w:tc>
      </w:tr>
      <w:tr w14:paraId="536D913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tcBorders>
              <w:top w:val="single" w:color="auto" w:sz="4" w:space="0"/>
              <w:bottom w:val="single" w:color="auto" w:sz="4" w:space="0"/>
            </w:tcBorders>
            <w:vAlign w:val="center"/>
          </w:tcPr>
          <w:p w14:paraId="53878CDF">
            <w:pPr>
              <w:rPr>
                <w:rFonts w:ascii="Times New Roman" w:hAnsi="Times New Roman" w:eastAsia="仿宋" w:cs="Times New Roman"/>
                <w:sz w:val="18"/>
                <w:szCs w:val="18"/>
              </w:rPr>
            </w:pPr>
            <w:r>
              <w:rPr>
                <w:rFonts w:hint="eastAsia" w:ascii="Times New Roman" w:hAnsi="Times New Roman" w:eastAsia="仿宋" w:cs="Times New Roman"/>
                <w:sz w:val="18"/>
                <w:szCs w:val="18"/>
              </w:rPr>
              <w:t>NDVI_points_quarterly.dta</w:t>
            </w:r>
          </w:p>
        </w:tc>
        <w:tc>
          <w:tcPr>
            <w:tcW w:w="1324" w:type="dxa"/>
            <w:tcBorders>
              <w:top w:val="single" w:color="auto" w:sz="4" w:space="0"/>
              <w:bottom w:val="single" w:color="auto" w:sz="4" w:space="0"/>
            </w:tcBorders>
            <w:vAlign w:val="center"/>
          </w:tcPr>
          <w:p w14:paraId="12342D24">
            <w:pPr>
              <w:rPr>
                <w:rFonts w:ascii="Times New Roman" w:hAnsi="Times New Roman" w:eastAsia="仿宋" w:cs="Times New Roman"/>
                <w:sz w:val="18"/>
                <w:szCs w:val="18"/>
              </w:rPr>
            </w:pPr>
            <w:r>
              <w:rPr>
                <w:rFonts w:hint="eastAsia" w:ascii="Times New Roman" w:hAnsi="Times New Roman" w:eastAsia="仿宋" w:cs="Times New Roman"/>
                <w:sz w:val="18"/>
                <w:szCs w:val="18"/>
              </w:rPr>
              <w:t>生态栅格回归数据集</w:t>
            </w:r>
          </w:p>
        </w:tc>
        <w:tc>
          <w:tcPr>
            <w:tcW w:w="3841" w:type="dxa"/>
            <w:tcBorders>
              <w:top w:val="single" w:color="auto" w:sz="4" w:space="0"/>
              <w:bottom w:val="single" w:color="auto" w:sz="4" w:space="0"/>
            </w:tcBorders>
            <w:vAlign w:val="center"/>
          </w:tcPr>
          <w:p w14:paraId="62EA7D3C">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取ln的栅格层面-季度归一化植被指数（ln_NDVI）</w:t>
            </w:r>
          </w:p>
          <w:p w14:paraId="56D2B092">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数字高程模型（DEM）</w:t>
            </w:r>
          </w:p>
          <w:p w14:paraId="76B487A8">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栅格2012年的夜间灯光亮度（nightlight）</w:t>
            </w:r>
          </w:p>
        </w:tc>
        <w:tc>
          <w:tcPr>
            <w:tcW w:w="951" w:type="dxa"/>
            <w:tcBorders>
              <w:top w:val="single" w:color="auto" w:sz="4" w:space="0"/>
              <w:bottom w:val="single" w:color="auto" w:sz="4" w:space="0"/>
            </w:tcBorders>
            <w:vAlign w:val="center"/>
          </w:tcPr>
          <w:p w14:paraId="078D8BF0">
            <w:pPr>
              <w:rPr>
                <w:rFonts w:ascii="Times New Roman" w:hAnsi="Times New Roman" w:eastAsia="仿宋" w:cs="Times New Roman"/>
                <w:sz w:val="18"/>
                <w:szCs w:val="18"/>
              </w:rPr>
            </w:pPr>
            <w:r>
              <w:rPr>
                <w:rFonts w:hint="eastAsia" w:ascii="Times New Roman" w:hAnsi="Times New Roman" w:eastAsia="仿宋" w:cs="Times New Roman"/>
                <w:sz w:val="18"/>
                <w:szCs w:val="18"/>
              </w:rPr>
              <w:t xml:space="preserve">表1 </w:t>
            </w:r>
          </w:p>
          <w:p w14:paraId="06C5201C">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表4</w:t>
            </w:r>
          </w:p>
        </w:tc>
      </w:tr>
      <w:tr w14:paraId="7FA6FE6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tcBorders>
              <w:top w:val="single" w:color="auto" w:sz="4" w:space="0"/>
              <w:bottom w:val="single" w:color="auto" w:sz="4" w:space="0"/>
            </w:tcBorders>
            <w:vAlign w:val="center"/>
          </w:tcPr>
          <w:p w14:paraId="7CBE547B">
            <w:pPr>
              <w:rPr>
                <w:rFonts w:ascii="Times New Roman" w:hAnsi="Times New Roman" w:eastAsia="仿宋" w:cs="Times New Roman"/>
                <w:sz w:val="18"/>
                <w:szCs w:val="18"/>
              </w:rPr>
            </w:pPr>
            <w:r>
              <w:rPr>
                <w:rFonts w:hint="eastAsia" w:ascii="Times New Roman" w:hAnsi="Times New Roman" w:eastAsia="仿宋" w:cs="Times New Roman"/>
                <w:sz w:val="18"/>
                <w:szCs w:val="18"/>
              </w:rPr>
              <w:t>表5.dta</w:t>
            </w:r>
          </w:p>
        </w:tc>
        <w:tc>
          <w:tcPr>
            <w:tcW w:w="1324" w:type="dxa"/>
            <w:tcBorders>
              <w:top w:val="single" w:color="auto" w:sz="4" w:space="0"/>
              <w:bottom w:val="single" w:color="auto" w:sz="4" w:space="0"/>
            </w:tcBorders>
            <w:vAlign w:val="center"/>
          </w:tcPr>
          <w:p w14:paraId="2CBBFFA0">
            <w:pPr>
              <w:rPr>
                <w:rFonts w:ascii="Times New Roman" w:hAnsi="Times New Roman" w:eastAsia="仿宋" w:cs="Times New Roman"/>
                <w:sz w:val="18"/>
                <w:szCs w:val="18"/>
              </w:rPr>
            </w:pPr>
            <w:r>
              <w:rPr>
                <w:rFonts w:hint="eastAsia" w:ascii="Times New Roman" w:hAnsi="Times New Roman" w:eastAsia="仿宋" w:cs="Times New Roman"/>
                <w:sz w:val="18"/>
                <w:szCs w:val="18"/>
              </w:rPr>
              <w:t>生态工具变量回归数据集</w:t>
            </w:r>
          </w:p>
        </w:tc>
        <w:tc>
          <w:tcPr>
            <w:tcW w:w="3841" w:type="dxa"/>
            <w:tcBorders>
              <w:top w:val="single" w:color="auto" w:sz="4" w:space="0"/>
              <w:bottom w:val="single" w:color="auto" w:sz="4" w:space="0"/>
            </w:tcBorders>
            <w:vAlign w:val="center"/>
          </w:tcPr>
          <w:p w14:paraId="6372F7C2">
            <w:pPr>
              <w:rPr>
                <w:rFonts w:ascii="Times New Roman" w:hAnsi="Times New Roman" w:eastAsia="仿宋" w:cs="Times New Roman"/>
                <w:sz w:val="18"/>
                <w:szCs w:val="18"/>
              </w:rPr>
            </w:pPr>
            <w:r>
              <w:rPr>
                <w:rFonts w:hint="eastAsia" w:ascii="Times New Roman" w:hAnsi="Times New Roman" w:eastAsia="仿宋" w:cs="Times New Roman"/>
                <w:sz w:val="18"/>
                <w:szCs w:val="18"/>
              </w:rPr>
              <w:t>did5km的工具变量（ivdid5km）</w:t>
            </w:r>
          </w:p>
          <w:p w14:paraId="4C97C716">
            <w:pPr>
              <w:rPr>
                <w:rFonts w:ascii="Times New Roman" w:hAnsi="Times New Roman" w:eastAsia="仿宋" w:cs="Times New Roman"/>
                <w:sz w:val="18"/>
                <w:szCs w:val="18"/>
              </w:rPr>
            </w:pPr>
            <w:r>
              <w:rPr>
                <w:rFonts w:hint="eastAsia" w:ascii="Times New Roman" w:hAnsi="Times New Roman" w:eastAsia="仿宋" w:cs="Times New Roman"/>
                <w:sz w:val="18"/>
                <w:szCs w:val="18"/>
              </w:rPr>
              <w:t xml:space="preserve">did5_10km的工具变量（ivdid5-10km） </w:t>
            </w:r>
          </w:p>
          <w:p w14:paraId="434A6A3A">
            <w:pPr>
              <w:rPr>
                <w:rFonts w:ascii="Times New Roman" w:hAnsi="Times New Roman" w:eastAsia="仿宋" w:cs="Times New Roman"/>
                <w:sz w:val="18"/>
                <w:szCs w:val="18"/>
              </w:rPr>
            </w:pPr>
            <w:r>
              <w:rPr>
                <w:rFonts w:hint="eastAsia" w:ascii="Times New Roman" w:hAnsi="Times New Roman" w:eastAsia="仿宋" w:cs="Times New Roman"/>
                <w:sz w:val="18"/>
                <w:szCs w:val="18"/>
              </w:rPr>
              <w:t>did10_15km的工具变量（ivdid10-15km）</w:t>
            </w:r>
          </w:p>
        </w:tc>
        <w:tc>
          <w:tcPr>
            <w:tcW w:w="951" w:type="dxa"/>
            <w:tcBorders>
              <w:top w:val="single" w:color="auto" w:sz="4" w:space="0"/>
              <w:bottom w:val="single" w:color="auto" w:sz="4" w:space="0"/>
            </w:tcBorders>
            <w:vAlign w:val="center"/>
          </w:tcPr>
          <w:p w14:paraId="18DA0964">
            <w:pPr>
              <w:rPr>
                <w:rFonts w:ascii="Times New Roman" w:hAnsi="Times New Roman" w:eastAsia="仿宋" w:cs="Times New Roman"/>
                <w:sz w:val="18"/>
                <w:szCs w:val="18"/>
              </w:rPr>
            </w:pPr>
            <w:r>
              <w:rPr>
                <w:rFonts w:hint="eastAsia" w:ascii="Times New Roman" w:hAnsi="Times New Roman" w:eastAsia="仿宋" w:cs="Times New Roman"/>
                <w:sz w:val="18"/>
                <w:szCs w:val="18"/>
              </w:rPr>
              <w:t>表5</w:t>
            </w:r>
          </w:p>
        </w:tc>
      </w:tr>
      <w:tr w14:paraId="7CFC030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tcBorders>
              <w:top w:val="single" w:color="auto" w:sz="4" w:space="0"/>
              <w:bottom w:val="single" w:color="auto" w:sz="4" w:space="0"/>
            </w:tcBorders>
            <w:vAlign w:val="center"/>
          </w:tcPr>
          <w:p w14:paraId="7226AB5C">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trade_total.dta</w:t>
            </w:r>
          </w:p>
        </w:tc>
        <w:tc>
          <w:tcPr>
            <w:tcW w:w="1324" w:type="dxa"/>
            <w:tcBorders>
              <w:top w:val="single" w:color="auto" w:sz="4" w:space="0"/>
              <w:bottom w:val="single" w:color="auto" w:sz="4" w:space="0"/>
            </w:tcBorders>
            <w:vAlign w:val="center"/>
          </w:tcPr>
          <w:p w14:paraId="5088E5DA">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贸易回归主要数据集</w:t>
            </w:r>
          </w:p>
        </w:tc>
        <w:tc>
          <w:tcPr>
            <w:tcW w:w="3841" w:type="dxa"/>
            <w:tcBorders>
              <w:top w:val="single" w:color="auto" w:sz="4" w:space="0"/>
              <w:bottom w:val="single" w:color="auto" w:sz="4" w:space="0"/>
            </w:tcBorders>
            <w:vAlign w:val="center"/>
          </w:tcPr>
          <w:p w14:paraId="11E79D30">
            <w:pPr>
              <w:rPr>
                <w:rFonts w:ascii="Times New Roman" w:hAnsi="Times New Roman" w:eastAsia="仿宋" w:cs="Times New Roman"/>
                <w:sz w:val="18"/>
                <w:szCs w:val="18"/>
              </w:rPr>
            </w:pPr>
            <w:r>
              <w:rPr>
                <w:rFonts w:hint="eastAsia" w:ascii="Times New Roman" w:hAnsi="Times New Roman" w:eastAsia="仿宋" w:cs="Times New Roman"/>
                <w:sz w:val="18"/>
                <w:szCs w:val="18"/>
              </w:rPr>
              <w:t>中国云南省-东盟各国分商品年度贸易额（ta）</w:t>
            </w:r>
          </w:p>
          <w:p w14:paraId="2EE6B8BC">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2015年东盟各国年度GDP（GDP）</w:t>
            </w:r>
          </w:p>
        </w:tc>
        <w:tc>
          <w:tcPr>
            <w:tcW w:w="951" w:type="dxa"/>
            <w:tcBorders>
              <w:top w:val="single" w:color="auto" w:sz="4" w:space="0"/>
              <w:bottom w:val="single" w:color="auto" w:sz="4" w:space="0"/>
            </w:tcBorders>
            <w:vAlign w:val="center"/>
          </w:tcPr>
          <w:p w14:paraId="7A520DB8">
            <w:pPr>
              <w:rPr>
                <w:rFonts w:ascii="Times New Roman" w:hAnsi="Times New Roman" w:eastAsia="仿宋" w:cs="Times New Roman"/>
                <w:sz w:val="18"/>
                <w:szCs w:val="18"/>
              </w:rPr>
            </w:pPr>
            <w:r>
              <w:rPr>
                <w:rFonts w:hint="eastAsia" w:ascii="Times New Roman" w:hAnsi="Times New Roman" w:eastAsia="仿宋" w:cs="Times New Roman"/>
                <w:sz w:val="18"/>
                <w:szCs w:val="18"/>
              </w:rPr>
              <w:t>表6</w:t>
            </w:r>
          </w:p>
          <w:p w14:paraId="270A2221">
            <w:pPr>
              <w:rPr>
                <w:rFonts w:ascii="Times New Roman" w:hAnsi="Times New Roman" w:eastAsia="仿宋" w:cs="Times New Roman"/>
                <w:sz w:val="18"/>
                <w:szCs w:val="18"/>
              </w:rPr>
            </w:pPr>
            <w:r>
              <w:rPr>
                <w:rFonts w:hint="eastAsia" w:ascii="Times New Roman" w:hAnsi="Times New Roman" w:eastAsia="仿宋" w:cs="Times New Roman"/>
                <w:sz w:val="18"/>
                <w:szCs w:val="18"/>
              </w:rPr>
              <w:t>附录ⅠA2</w:t>
            </w:r>
          </w:p>
          <w:p w14:paraId="7275AF1F">
            <w:pPr>
              <w:rPr>
                <w:rFonts w:ascii="Times New Roman" w:hAnsi="Times New Roman" w:eastAsia="仿宋" w:cs="Times New Roman"/>
                <w:sz w:val="18"/>
                <w:szCs w:val="18"/>
              </w:rPr>
            </w:pPr>
            <w:r>
              <w:rPr>
                <w:rFonts w:hint="eastAsia" w:ascii="Times New Roman" w:hAnsi="Times New Roman" w:eastAsia="仿宋" w:cs="Times New Roman"/>
                <w:sz w:val="18"/>
                <w:szCs w:val="18"/>
              </w:rPr>
              <w:t>附录Ⅱ表Ⅱ1</w:t>
            </w:r>
          </w:p>
          <w:p w14:paraId="6449C449">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附录Ⅱ表Ⅱ2</w:t>
            </w:r>
          </w:p>
        </w:tc>
      </w:tr>
      <w:tr w14:paraId="2E68DD52">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tcBorders>
              <w:top w:val="single" w:color="auto" w:sz="4" w:space="0"/>
            </w:tcBorders>
            <w:vAlign w:val="center"/>
          </w:tcPr>
          <w:p w14:paraId="1F146BBD">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trade_ex&amp;imp.dta</w:t>
            </w:r>
          </w:p>
        </w:tc>
        <w:tc>
          <w:tcPr>
            <w:tcW w:w="1324" w:type="dxa"/>
            <w:tcBorders>
              <w:top w:val="single" w:color="auto" w:sz="4" w:space="0"/>
            </w:tcBorders>
            <w:vAlign w:val="center"/>
          </w:tcPr>
          <w:p w14:paraId="6D7602CE">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贸易（区分进出口）回归</w:t>
            </w:r>
          </w:p>
        </w:tc>
        <w:tc>
          <w:tcPr>
            <w:tcW w:w="3841" w:type="dxa"/>
            <w:tcBorders>
              <w:top w:val="single" w:color="auto" w:sz="4" w:space="0"/>
            </w:tcBorders>
            <w:vAlign w:val="center"/>
          </w:tcPr>
          <w:p w14:paraId="4F24401C">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中国云南省-东盟各国分商品年度贸易额（ta）</w:t>
            </w:r>
          </w:p>
          <w:p w14:paraId="6D82A725">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2015年东盟各国年度GDP（GDP）</w:t>
            </w:r>
          </w:p>
          <w:p w14:paraId="63568E2C">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rPr>
              <w:t>区分进口额与出口额的变量（进出口）</w:t>
            </w:r>
          </w:p>
        </w:tc>
        <w:tc>
          <w:tcPr>
            <w:tcW w:w="951" w:type="dxa"/>
            <w:tcBorders>
              <w:top w:val="single" w:color="auto" w:sz="4" w:space="0"/>
            </w:tcBorders>
            <w:vAlign w:val="center"/>
          </w:tcPr>
          <w:p w14:paraId="74ADEF76">
            <w:pPr>
              <w:rPr>
                <w:rFonts w:ascii="Times New Roman" w:hAnsi="Times New Roman" w:eastAsia="仿宋" w:cs="Times New Roman"/>
                <w:sz w:val="18"/>
                <w:szCs w:val="18"/>
              </w:rPr>
            </w:pPr>
            <w:r>
              <w:rPr>
                <w:rFonts w:hint="eastAsia" w:ascii="Times New Roman" w:hAnsi="Times New Roman" w:eastAsia="仿宋" w:cs="Times New Roman"/>
                <w:sz w:val="18"/>
                <w:szCs w:val="18"/>
              </w:rPr>
              <w:t>附录ⅠA2</w:t>
            </w:r>
          </w:p>
          <w:p w14:paraId="4FC8891D">
            <w:pPr>
              <w:rPr>
                <w:rFonts w:ascii="Times New Roman" w:hAnsi="Times New Roman" w:eastAsia="仿宋" w:cs="Times New Roman"/>
                <w:sz w:val="18"/>
                <w:szCs w:val="18"/>
              </w:rPr>
            </w:pPr>
            <w:r>
              <w:rPr>
                <w:rFonts w:hint="eastAsia" w:ascii="Times New Roman" w:hAnsi="Times New Roman" w:eastAsia="仿宋" w:cs="Times New Roman"/>
                <w:sz w:val="18"/>
                <w:szCs w:val="18"/>
              </w:rPr>
              <w:t>附录Ⅱ表Ⅱ1</w:t>
            </w:r>
          </w:p>
          <w:p w14:paraId="0A991936">
            <w:pPr>
              <w:rPr>
                <w:rFonts w:hint="eastAsia" w:ascii="Times New Roman" w:hAnsi="Times New Roman" w:eastAsia="仿宋" w:cs="Times New Roman"/>
                <w:sz w:val="18"/>
                <w:szCs w:val="18"/>
              </w:rPr>
            </w:pPr>
          </w:p>
        </w:tc>
      </w:tr>
    </w:tbl>
    <w:p w14:paraId="70A5C3D7">
      <w:pPr>
        <w:spacing w:line="276" w:lineRule="auto"/>
        <w:rPr>
          <w:rFonts w:ascii="Times New Roman" w:hAnsi="Times New Roman" w:eastAsia="仿宋" w:cs="Times New Roman"/>
          <w:sz w:val="16"/>
          <w:szCs w:val="1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E351C4"/>
    <w:multiLevelType w:val="multilevel"/>
    <w:tmpl w:val="50E351C4"/>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62CF7E30"/>
    <w:multiLevelType w:val="multilevel"/>
    <w:tmpl w:val="62CF7E30"/>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DDF"/>
    <w:rsid w:val="00016491"/>
    <w:rsid w:val="00037808"/>
    <w:rsid w:val="00040236"/>
    <w:rsid w:val="00055EEE"/>
    <w:rsid w:val="00057C26"/>
    <w:rsid w:val="00065296"/>
    <w:rsid w:val="00071C1E"/>
    <w:rsid w:val="00081B1C"/>
    <w:rsid w:val="000822C9"/>
    <w:rsid w:val="00090B8E"/>
    <w:rsid w:val="0009361E"/>
    <w:rsid w:val="000938D7"/>
    <w:rsid w:val="00097228"/>
    <w:rsid w:val="000A07A0"/>
    <w:rsid w:val="000A0BD0"/>
    <w:rsid w:val="000A3953"/>
    <w:rsid w:val="000A3C81"/>
    <w:rsid w:val="000B00F8"/>
    <w:rsid w:val="000B2B83"/>
    <w:rsid w:val="000B57A9"/>
    <w:rsid w:val="000C0E7D"/>
    <w:rsid w:val="000D39B2"/>
    <w:rsid w:val="000D69F5"/>
    <w:rsid w:val="000E2204"/>
    <w:rsid w:val="000F2B05"/>
    <w:rsid w:val="00112AF6"/>
    <w:rsid w:val="00115642"/>
    <w:rsid w:val="00115ED2"/>
    <w:rsid w:val="00130B37"/>
    <w:rsid w:val="0013146E"/>
    <w:rsid w:val="001345B6"/>
    <w:rsid w:val="00134AF7"/>
    <w:rsid w:val="00137BA7"/>
    <w:rsid w:val="001417DC"/>
    <w:rsid w:val="00144179"/>
    <w:rsid w:val="00144EF5"/>
    <w:rsid w:val="00150CFD"/>
    <w:rsid w:val="00153AF1"/>
    <w:rsid w:val="00155159"/>
    <w:rsid w:val="0015528D"/>
    <w:rsid w:val="00167FB9"/>
    <w:rsid w:val="00172B75"/>
    <w:rsid w:val="00185300"/>
    <w:rsid w:val="001970CB"/>
    <w:rsid w:val="001977CD"/>
    <w:rsid w:val="00197FCC"/>
    <w:rsid w:val="001A70BD"/>
    <w:rsid w:val="001C2880"/>
    <w:rsid w:val="001D5F5B"/>
    <w:rsid w:val="001F0995"/>
    <w:rsid w:val="001F6FC0"/>
    <w:rsid w:val="00201F1E"/>
    <w:rsid w:val="00204A67"/>
    <w:rsid w:val="002064FA"/>
    <w:rsid w:val="00207CEC"/>
    <w:rsid w:val="002118CE"/>
    <w:rsid w:val="00213291"/>
    <w:rsid w:val="00213C4A"/>
    <w:rsid w:val="00214A08"/>
    <w:rsid w:val="002204AA"/>
    <w:rsid w:val="002231A5"/>
    <w:rsid w:val="002316CB"/>
    <w:rsid w:val="0023301C"/>
    <w:rsid w:val="00234FFB"/>
    <w:rsid w:val="002364F1"/>
    <w:rsid w:val="00240074"/>
    <w:rsid w:val="002461B4"/>
    <w:rsid w:val="00247DD7"/>
    <w:rsid w:val="002616D3"/>
    <w:rsid w:val="00273157"/>
    <w:rsid w:val="00275EDB"/>
    <w:rsid w:val="00277F5B"/>
    <w:rsid w:val="00280E42"/>
    <w:rsid w:val="00280E81"/>
    <w:rsid w:val="002A5239"/>
    <w:rsid w:val="002A7C04"/>
    <w:rsid w:val="002C0CB9"/>
    <w:rsid w:val="002C49F4"/>
    <w:rsid w:val="002D30D3"/>
    <w:rsid w:val="002D5E55"/>
    <w:rsid w:val="002F53EA"/>
    <w:rsid w:val="00301D4F"/>
    <w:rsid w:val="00333481"/>
    <w:rsid w:val="00333F79"/>
    <w:rsid w:val="0033439E"/>
    <w:rsid w:val="00337A39"/>
    <w:rsid w:val="0034170E"/>
    <w:rsid w:val="00342CD9"/>
    <w:rsid w:val="00350DC9"/>
    <w:rsid w:val="003545AE"/>
    <w:rsid w:val="003644D8"/>
    <w:rsid w:val="003729EB"/>
    <w:rsid w:val="00374553"/>
    <w:rsid w:val="003B515B"/>
    <w:rsid w:val="003C2212"/>
    <w:rsid w:val="003C431F"/>
    <w:rsid w:val="003C7076"/>
    <w:rsid w:val="003D4A23"/>
    <w:rsid w:val="003D734C"/>
    <w:rsid w:val="003F73BB"/>
    <w:rsid w:val="003F75D0"/>
    <w:rsid w:val="004006C3"/>
    <w:rsid w:val="004561DC"/>
    <w:rsid w:val="00457D76"/>
    <w:rsid w:val="00464986"/>
    <w:rsid w:val="0046657C"/>
    <w:rsid w:val="00471FAF"/>
    <w:rsid w:val="004844BB"/>
    <w:rsid w:val="0049221A"/>
    <w:rsid w:val="004A6500"/>
    <w:rsid w:val="004A7078"/>
    <w:rsid w:val="004B1056"/>
    <w:rsid w:val="004B2D9A"/>
    <w:rsid w:val="004B7E38"/>
    <w:rsid w:val="004C7539"/>
    <w:rsid w:val="004E2FD3"/>
    <w:rsid w:val="004E5A1D"/>
    <w:rsid w:val="004F0CC4"/>
    <w:rsid w:val="00500231"/>
    <w:rsid w:val="005002F4"/>
    <w:rsid w:val="00523A60"/>
    <w:rsid w:val="00525ADA"/>
    <w:rsid w:val="005419D7"/>
    <w:rsid w:val="00543440"/>
    <w:rsid w:val="00552FE5"/>
    <w:rsid w:val="00557710"/>
    <w:rsid w:val="00562BCC"/>
    <w:rsid w:val="0056511B"/>
    <w:rsid w:val="00572C4C"/>
    <w:rsid w:val="00577158"/>
    <w:rsid w:val="0057781A"/>
    <w:rsid w:val="00583F31"/>
    <w:rsid w:val="005850C9"/>
    <w:rsid w:val="00597830"/>
    <w:rsid w:val="005A2DEC"/>
    <w:rsid w:val="005B020D"/>
    <w:rsid w:val="005B05EB"/>
    <w:rsid w:val="005B2A5A"/>
    <w:rsid w:val="005B576D"/>
    <w:rsid w:val="005B6684"/>
    <w:rsid w:val="005E0474"/>
    <w:rsid w:val="005F3764"/>
    <w:rsid w:val="005F5885"/>
    <w:rsid w:val="005F650E"/>
    <w:rsid w:val="00600403"/>
    <w:rsid w:val="006009E4"/>
    <w:rsid w:val="00606587"/>
    <w:rsid w:val="006268D6"/>
    <w:rsid w:val="0063500A"/>
    <w:rsid w:val="00635321"/>
    <w:rsid w:val="00636186"/>
    <w:rsid w:val="00651FF5"/>
    <w:rsid w:val="00670FD5"/>
    <w:rsid w:val="00675F5E"/>
    <w:rsid w:val="00683931"/>
    <w:rsid w:val="00692AA2"/>
    <w:rsid w:val="006971EF"/>
    <w:rsid w:val="006B09DE"/>
    <w:rsid w:val="006C6113"/>
    <w:rsid w:val="006D66DD"/>
    <w:rsid w:val="006E3BA5"/>
    <w:rsid w:val="0070332A"/>
    <w:rsid w:val="00703E1C"/>
    <w:rsid w:val="00706C85"/>
    <w:rsid w:val="007174A8"/>
    <w:rsid w:val="00720607"/>
    <w:rsid w:val="00737F73"/>
    <w:rsid w:val="0075361D"/>
    <w:rsid w:val="00755EC1"/>
    <w:rsid w:val="007567CD"/>
    <w:rsid w:val="00757675"/>
    <w:rsid w:val="00760129"/>
    <w:rsid w:val="0076150E"/>
    <w:rsid w:val="007660C1"/>
    <w:rsid w:val="00766779"/>
    <w:rsid w:val="00774110"/>
    <w:rsid w:val="00780B71"/>
    <w:rsid w:val="007818D4"/>
    <w:rsid w:val="0078318D"/>
    <w:rsid w:val="007925C5"/>
    <w:rsid w:val="00795A76"/>
    <w:rsid w:val="007B5EEE"/>
    <w:rsid w:val="007C3CF3"/>
    <w:rsid w:val="007D212C"/>
    <w:rsid w:val="007F3DB6"/>
    <w:rsid w:val="007F75AA"/>
    <w:rsid w:val="00807475"/>
    <w:rsid w:val="00815F49"/>
    <w:rsid w:val="0081607A"/>
    <w:rsid w:val="008210C7"/>
    <w:rsid w:val="008302B1"/>
    <w:rsid w:val="00830A5C"/>
    <w:rsid w:val="008352A0"/>
    <w:rsid w:val="00837E72"/>
    <w:rsid w:val="00842ECE"/>
    <w:rsid w:val="00843E02"/>
    <w:rsid w:val="00847267"/>
    <w:rsid w:val="00847FC5"/>
    <w:rsid w:val="00853C76"/>
    <w:rsid w:val="0086393A"/>
    <w:rsid w:val="00866C08"/>
    <w:rsid w:val="0088248A"/>
    <w:rsid w:val="00884EE3"/>
    <w:rsid w:val="00887765"/>
    <w:rsid w:val="00891230"/>
    <w:rsid w:val="00892015"/>
    <w:rsid w:val="00892BBD"/>
    <w:rsid w:val="008A079D"/>
    <w:rsid w:val="008A1DAF"/>
    <w:rsid w:val="008B0F2E"/>
    <w:rsid w:val="008B3C84"/>
    <w:rsid w:val="008C0F50"/>
    <w:rsid w:val="008E7A11"/>
    <w:rsid w:val="008F5DBD"/>
    <w:rsid w:val="009001B0"/>
    <w:rsid w:val="0090071D"/>
    <w:rsid w:val="009012AC"/>
    <w:rsid w:val="00905DC7"/>
    <w:rsid w:val="009205C9"/>
    <w:rsid w:val="009264C0"/>
    <w:rsid w:val="00930B33"/>
    <w:rsid w:val="0093725C"/>
    <w:rsid w:val="0095380C"/>
    <w:rsid w:val="00953E1F"/>
    <w:rsid w:val="0095605F"/>
    <w:rsid w:val="00956CB2"/>
    <w:rsid w:val="00957881"/>
    <w:rsid w:val="009728BB"/>
    <w:rsid w:val="00976C1E"/>
    <w:rsid w:val="00977FDD"/>
    <w:rsid w:val="009864B6"/>
    <w:rsid w:val="00991A96"/>
    <w:rsid w:val="00993147"/>
    <w:rsid w:val="00995BED"/>
    <w:rsid w:val="009A688D"/>
    <w:rsid w:val="009C108F"/>
    <w:rsid w:val="009C48B3"/>
    <w:rsid w:val="009C61CA"/>
    <w:rsid w:val="009D2760"/>
    <w:rsid w:val="009E006F"/>
    <w:rsid w:val="009E09BE"/>
    <w:rsid w:val="009E1A29"/>
    <w:rsid w:val="009E7174"/>
    <w:rsid w:val="009F46C0"/>
    <w:rsid w:val="009F5508"/>
    <w:rsid w:val="00A04547"/>
    <w:rsid w:val="00A04C2A"/>
    <w:rsid w:val="00A07999"/>
    <w:rsid w:val="00A42456"/>
    <w:rsid w:val="00A5277D"/>
    <w:rsid w:val="00A56000"/>
    <w:rsid w:val="00A57DAC"/>
    <w:rsid w:val="00A6245C"/>
    <w:rsid w:val="00A672C9"/>
    <w:rsid w:val="00A72D6E"/>
    <w:rsid w:val="00A731DB"/>
    <w:rsid w:val="00A75AC0"/>
    <w:rsid w:val="00A75B7A"/>
    <w:rsid w:val="00A876A5"/>
    <w:rsid w:val="00A876B8"/>
    <w:rsid w:val="00A92A3E"/>
    <w:rsid w:val="00A97B6C"/>
    <w:rsid w:val="00AA087A"/>
    <w:rsid w:val="00AA4DB9"/>
    <w:rsid w:val="00AA768B"/>
    <w:rsid w:val="00AC5569"/>
    <w:rsid w:val="00AC6CC8"/>
    <w:rsid w:val="00AE62EE"/>
    <w:rsid w:val="00AF07DC"/>
    <w:rsid w:val="00AF276C"/>
    <w:rsid w:val="00AF35B6"/>
    <w:rsid w:val="00B00D2E"/>
    <w:rsid w:val="00B05704"/>
    <w:rsid w:val="00B05B94"/>
    <w:rsid w:val="00B114F4"/>
    <w:rsid w:val="00B13B7D"/>
    <w:rsid w:val="00B157C7"/>
    <w:rsid w:val="00B20BDA"/>
    <w:rsid w:val="00B23E59"/>
    <w:rsid w:val="00B36136"/>
    <w:rsid w:val="00B52B41"/>
    <w:rsid w:val="00B548C7"/>
    <w:rsid w:val="00B6383A"/>
    <w:rsid w:val="00B63A13"/>
    <w:rsid w:val="00B71DB6"/>
    <w:rsid w:val="00B74ADF"/>
    <w:rsid w:val="00B777D3"/>
    <w:rsid w:val="00B81E9F"/>
    <w:rsid w:val="00B90DEA"/>
    <w:rsid w:val="00B935D4"/>
    <w:rsid w:val="00BA1295"/>
    <w:rsid w:val="00BA766E"/>
    <w:rsid w:val="00BD08AD"/>
    <w:rsid w:val="00BD4D58"/>
    <w:rsid w:val="00BD626E"/>
    <w:rsid w:val="00BE2D56"/>
    <w:rsid w:val="00C0064B"/>
    <w:rsid w:val="00C01921"/>
    <w:rsid w:val="00C024B9"/>
    <w:rsid w:val="00C06644"/>
    <w:rsid w:val="00C10C4A"/>
    <w:rsid w:val="00C136F5"/>
    <w:rsid w:val="00C21266"/>
    <w:rsid w:val="00C230AD"/>
    <w:rsid w:val="00C253F0"/>
    <w:rsid w:val="00C26EC1"/>
    <w:rsid w:val="00C3232D"/>
    <w:rsid w:val="00C37620"/>
    <w:rsid w:val="00C4067C"/>
    <w:rsid w:val="00C65187"/>
    <w:rsid w:val="00C7730E"/>
    <w:rsid w:val="00C82ACA"/>
    <w:rsid w:val="00C91934"/>
    <w:rsid w:val="00C942A0"/>
    <w:rsid w:val="00C96132"/>
    <w:rsid w:val="00C9640C"/>
    <w:rsid w:val="00CA1898"/>
    <w:rsid w:val="00CA5C14"/>
    <w:rsid w:val="00CB37B2"/>
    <w:rsid w:val="00CB63EE"/>
    <w:rsid w:val="00CD0801"/>
    <w:rsid w:val="00CD5F48"/>
    <w:rsid w:val="00CE1817"/>
    <w:rsid w:val="00CE38C4"/>
    <w:rsid w:val="00CF146A"/>
    <w:rsid w:val="00CF2111"/>
    <w:rsid w:val="00CF33D1"/>
    <w:rsid w:val="00CF5394"/>
    <w:rsid w:val="00D03B88"/>
    <w:rsid w:val="00D17547"/>
    <w:rsid w:val="00D26815"/>
    <w:rsid w:val="00D353E7"/>
    <w:rsid w:val="00D35551"/>
    <w:rsid w:val="00D359CA"/>
    <w:rsid w:val="00D41C5F"/>
    <w:rsid w:val="00D42512"/>
    <w:rsid w:val="00D46473"/>
    <w:rsid w:val="00D65D3A"/>
    <w:rsid w:val="00D724C5"/>
    <w:rsid w:val="00D826CB"/>
    <w:rsid w:val="00D863B2"/>
    <w:rsid w:val="00D92412"/>
    <w:rsid w:val="00DA665C"/>
    <w:rsid w:val="00DB1BF0"/>
    <w:rsid w:val="00DC2520"/>
    <w:rsid w:val="00DD154F"/>
    <w:rsid w:val="00DF01A2"/>
    <w:rsid w:val="00DF4E64"/>
    <w:rsid w:val="00E02F33"/>
    <w:rsid w:val="00E05DDF"/>
    <w:rsid w:val="00E07B6A"/>
    <w:rsid w:val="00E137DE"/>
    <w:rsid w:val="00E22CED"/>
    <w:rsid w:val="00E271D7"/>
    <w:rsid w:val="00E4581A"/>
    <w:rsid w:val="00E55FCE"/>
    <w:rsid w:val="00E577C6"/>
    <w:rsid w:val="00E57863"/>
    <w:rsid w:val="00E611B6"/>
    <w:rsid w:val="00E636F8"/>
    <w:rsid w:val="00E7255D"/>
    <w:rsid w:val="00E745D9"/>
    <w:rsid w:val="00E83318"/>
    <w:rsid w:val="00EA2FFC"/>
    <w:rsid w:val="00EA3F2B"/>
    <w:rsid w:val="00EA454E"/>
    <w:rsid w:val="00EA7C72"/>
    <w:rsid w:val="00EB27DD"/>
    <w:rsid w:val="00EB4398"/>
    <w:rsid w:val="00EB5072"/>
    <w:rsid w:val="00EB69C2"/>
    <w:rsid w:val="00EC0207"/>
    <w:rsid w:val="00EE30CD"/>
    <w:rsid w:val="00EF4843"/>
    <w:rsid w:val="00EF5603"/>
    <w:rsid w:val="00EF6D7A"/>
    <w:rsid w:val="00F01FC5"/>
    <w:rsid w:val="00F02973"/>
    <w:rsid w:val="00F049ED"/>
    <w:rsid w:val="00F10F7C"/>
    <w:rsid w:val="00F119F9"/>
    <w:rsid w:val="00F11DDE"/>
    <w:rsid w:val="00F1417F"/>
    <w:rsid w:val="00F21E94"/>
    <w:rsid w:val="00F25FE7"/>
    <w:rsid w:val="00F2607E"/>
    <w:rsid w:val="00F42504"/>
    <w:rsid w:val="00F467AA"/>
    <w:rsid w:val="00F61BC0"/>
    <w:rsid w:val="00F6750B"/>
    <w:rsid w:val="00F675E6"/>
    <w:rsid w:val="00F67807"/>
    <w:rsid w:val="00F8141C"/>
    <w:rsid w:val="00F823AE"/>
    <w:rsid w:val="00F8510A"/>
    <w:rsid w:val="00F9761A"/>
    <w:rsid w:val="00FA6820"/>
    <w:rsid w:val="00FA6A89"/>
    <w:rsid w:val="00FB26C9"/>
    <w:rsid w:val="00FB3CF8"/>
    <w:rsid w:val="00FB473B"/>
    <w:rsid w:val="00FB6E21"/>
    <w:rsid w:val="00FC2AC4"/>
    <w:rsid w:val="00FC3435"/>
    <w:rsid w:val="00FE1E20"/>
    <w:rsid w:val="00FF20ED"/>
    <w:rsid w:val="4E784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caption"/>
    <w:basedOn w:val="1"/>
    <w:next w:val="1"/>
    <w:unhideWhenUsed/>
    <w:qFormat/>
    <w:uiPriority w:val="35"/>
    <w:rPr>
      <w:rFonts w:eastAsia="黑体" w:asciiTheme="majorHAnsi" w:hAnsiTheme="majorHAnsi" w:cstheme="majorBidi"/>
      <w:sz w:val="20"/>
      <w:szCs w:val="20"/>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unhideWhenUsed/>
    <w:uiPriority w:val="99"/>
    <w:rPr>
      <w:color w:val="0563C1" w:themeColor="hyperlink"/>
      <w:u w:val="single"/>
      <w14:textFill>
        <w14:solidFill>
          <w14:schemeClr w14:val="hlink"/>
        </w14:solidFill>
      </w14:textFill>
    </w:rPr>
  </w:style>
  <w:style w:type="character" w:customStyle="1" w:styleId="9">
    <w:name w:val="页眉 字符"/>
    <w:basedOn w:val="7"/>
    <w:link w:val="4"/>
    <w:uiPriority w:val="99"/>
    <w:rPr>
      <w:sz w:val="18"/>
      <w:szCs w:val="18"/>
    </w:rPr>
  </w:style>
  <w:style w:type="character" w:customStyle="1" w:styleId="10">
    <w:name w:val="页脚 字符"/>
    <w:basedOn w:val="7"/>
    <w:link w:val="3"/>
    <w:qFormat/>
    <w:uiPriority w:val="99"/>
    <w:rPr>
      <w:sz w:val="18"/>
      <w:szCs w:val="18"/>
    </w:rPr>
  </w:style>
  <w:style w:type="paragraph" w:styleId="11">
    <w:name w:val="List Paragraph"/>
    <w:basedOn w:val="1"/>
    <w:qFormat/>
    <w:uiPriority w:val="34"/>
    <w:pPr>
      <w:ind w:firstLine="420" w:firstLineChars="200"/>
    </w:pPr>
  </w:style>
  <w:style w:type="paragraph" w:customStyle="1" w:styleId="12">
    <w:name w:val="Revision"/>
    <w:hidden/>
    <w:semiHidden/>
    <w:uiPriority w:val="99"/>
    <w:rPr>
      <w:rFonts w:asciiTheme="minorHAnsi" w:hAnsiTheme="minorHAnsi" w:eastAsiaTheme="minorEastAsia" w:cstheme="minorBidi"/>
      <w:kern w:val="2"/>
      <w:sz w:val="21"/>
      <w:szCs w:val="22"/>
      <w:lang w:val="en-US" w:eastAsia="zh-CN" w:bidi="ar-SA"/>
      <w14:ligatures w14:val="standardContextual"/>
    </w:rPr>
  </w:style>
  <w:style w:type="character" w:customStyle="1" w:styleId="13">
    <w:name w:val="Unresolved Mention"/>
    <w:basedOn w:val="7"/>
    <w:semiHidden/>
    <w:unhideWhenUsed/>
    <w:qFormat/>
    <w:uiPriority w:val="99"/>
    <w:rPr>
      <w:color w:val="605E5C"/>
      <w:shd w:val="clear" w:color="auto" w:fill="E1DFDD"/>
    </w:rPr>
  </w:style>
  <w:style w:type="paragraph" w:customStyle="1" w:styleId="14">
    <w:name w:val="论文正文"/>
    <w:basedOn w:val="1"/>
    <w:qFormat/>
    <w:uiPriority w:val="0"/>
    <w:pPr>
      <w:adjustRightInd w:val="0"/>
      <w:snapToGrid w:val="0"/>
      <w:ind w:firstLine="200" w:firstLineChars="200"/>
    </w:pPr>
    <w:rPr>
      <w:rFonts w:ascii="Times New Roman" w:hAnsi="Times New Roman" w:eastAsia="仿宋" w:cstheme="minorEastAsia"/>
      <w:color w:val="000000"/>
      <w:szCs w:val="21"/>
      <w14:ligatures w14: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29FCE-6086-488F-A333-87B0F1A5C172}">
  <ds:schemaRefs/>
</ds:datastoreItem>
</file>

<file path=docProps/app.xml><?xml version="1.0" encoding="utf-8"?>
<Properties xmlns="http://schemas.openxmlformats.org/officeDocument/2006/extended-properties" xmlns:vt="http://schemas.openxmlformats.org/officeDocument/2006/docPropsVTypes">
  <Template>Normal</Template>
  <Pages>2</Pages>
  <Words>1265</Words>
  <Characters>1754</Characters>
  <Lines>13</Lines>
  <Paragraphs>3</Paragraphs>
  <TotalTime>848</TotalTime>
  <ScaleCrop>false</ScaleCrop>
  <LinksUpToDate>false</LinksUpToDate>
  <CharactersWithSpaces>1772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2024-09-29T14:41:00Z</dcterms:created>
  <dc:creator>罗淑婧</dc:creator>
  <cp:lastModifiedBy>谢泽宇</cp:lastModifiedBy>
  <dcterms:modified xsi:type="dcterms:W3CDTF">2025-12-12T02:34:35Z</dcterms:modified>
  <cp:revision>512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eyJoZGlkIjoiMDFhNTc3ZThhMmU3YmFlZTMwZWYyNWVmYWRjNWUwNzUiLCJ1c2VySWQiOiIyMTc4NTg4MDcifQ==</vt:lpwstr>
  </property>
  <property fmtid="{D5CDD505-2E9C-101B-9397-08002B2CF9AE}" pid="3" name="KSOProductBuildVer">
    <vt:lpwstr>2052-12.1.0.24034</vt:lpwstr>
  </property>
  <property fmtid="{D5CDD505-2E9C-101B-9397-08002B2CF9AE}" pid="4" name="ICV">
    <vt:lpwstr>9714046972BC428E955FE6898C323225_12</vt:lpwstr>
  </property>
</Properties>
</file>