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4" w:lineRule="exact"/>
        <w:rPr>
          <w:sz w:val="24"/>
          <w:szCs w:val="24"/>
          <w:color w:val="auto"/>
        </w:rPr>
      </w:pPr>
    </w:p>
    <w:p>
      <w:pPr>
        <w:jc w:val="center"/>
        <w:ind w:right="260"/>
        <w:spacing w:after="0" w:line="366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2"/>
          <w:szCs w:val="32"/>
          <w:b w:val="1"/>
          <w:bCs w:val="1"/>
          <w:color w:val="auto"/>
        </w:rPr>
        <w:t>北京大学研究生课程开课申请表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98425</wp:posOffset>
                </wp:positionV>
                <wp:extent cx="0" cy="733298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32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3pt,7.75pt" to="2.3pt,585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98425</wp:posOffset>
                </wp:positionV>
                <wp:extent cx="0" cy="733298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32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3.4pt,7.75pt" to="463.4pt,585.15pt" o:allowincell="f" strokecolor="#000000" strokeweight="0.4799pt"/>
            </w:pict>
          </mc:Fallback>
        </mc:AlternateContent>
      </w:r>
    </w:p>
    <w:p>
      <w:pPr>
        <w:spacing w:after="0" w:line="115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8"/>
        </w:trPr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开课单位</w:t>
            </w:r>
          </w:p>
        </w:tc>
        <w:tc>
          <w:tcPr>
            <w:tcW w:w="4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国家发展研究院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授课教师</w:t>
            </w:r>
          </w:p>
        </w:tc>
        <w:tc>
          <w:tcPr>
            <w:tcW w:w="188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缪延亮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课程编号</w:t>
            </w:r>
          </w:p>
        </w:tc>
        <w:tc>
          <w:tcPr>
            <w:tcW w:w="4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开课学期</w:t>
            </w:r>
          </w:p>
        </w:tc>
        <w:tc>
          <w:tcPr>
            <w:tcW w:w="1880" w:type="dxa"/>
            <w:vAlign w:val="bottom"/>
          </w:tcPr>
          <w:p>
            <w:pPr>
              <w:ind w:left="8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春季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课程名称</w:t>
            </w:r>
          </w:p>
        </w:tc>
        <w:tc>
          <w:tcPr>
            <w:tcW w:w="4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现代中央银行：理论与实践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9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周学时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18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总学时</w:t>
            </w: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英文名称</w:t>
            </w:r>
          </w:p>
        </w:tc>
        <w:tc>
          <w:tcPr>
            <w:tcW w:w="4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Modern Central Banking: Theory and Practice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学  分</w:t>
            </w: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先修课程</w:t>
            </w:r>
          </w:p>
        </w:tc>
        <w:tc>
          <w:tcPr>
            <w:tcW w:w="4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授课对象</w:t>
            </w:r>
          </w:p>
        </w:tc>
        <w:tc>
          <w:tcPr>
            <w:tcW w:w="1880" w:type="dxa"/>
            <w:vAlign w:val="bottom"/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8"/>
                <w:szCs w:val="28"/>
                <w:color w:val="auto"/>
              </w:rPr>
              <w:t>硕博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60"/>
        <w:spacing w:after="0" w:line="272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课程简介（包括开课目的、开课基础与教学要求等）：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jc w:val="both"/>
        <w:ind w:left="160" w:right="120" w:firstLine="480"/>
        <w:spacing w:after="0" w:line="286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建设现代中央银行制度是国家治理体系和治理能力的重要组成部分。本课程将通过系统呈现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2008 </w:t>
      </w:r>
      <w:r>
        <w:rPr>
          <w:rFonts w:ascii="楷体" w:cs="楷体" w:eastAsia="楷体" w:hAnsi="楷体"/>
          <w:sz w:val="24"/>
          <w:szCs w:val="24"/>
          <w:color w:val="auto"/>
        </w:rPr>
        <w:t>年全球金融危机以来主要央行在理论和政策中探索与发展，以国际视野凸显中国特色，引发大家对现代中央银行制度和货币政策前沿议题的深入思考。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jc w:val="both"/>
        <w:ind w:left="160" w:right="120" w:firstLine="480"/>
        <w:spacing w:after="0" w:line="286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通过本课程学习，应系统掌握危机后全球主要央行理论与实践创新的具体内容，了解其面临的挑战；熟悉我国中央银行制度与货币政策框架，思考我国利率市场化、汇率形成机制改革前景；理解全球货币体系的演变和人民币国际化进程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29845</wp:posOffset>
                </wp:positionV>
                <wp:extent cx="58623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2.35pt" to="463.65pt,2.35pt" o:allowincell="f" strokecolor="#000000" strokeweight="0.48pt"/>
            </w:pict>
          </mc:Fallback>
        </mc:AlternateConten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60"/>
        <w:spacing w:after="0" w:line="274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教材（作者、书名、出版社及出版年）：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160"/>
        <w:spacing w:after="0" w:line="320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8"/>
          <w:szCs w:val="28"/>
          <w:color w:val="auto"/>
        </w:rPr>
        <w:t>讲义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92710</wp:posOffset>
                </wp:positionV>
                <wp:extent cx="58623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7.3pt" to="463.65pt,7.3pt" o:allowincell="f" strokecolor="#000000" strokeweight="0.48pt"/>
            </w:pict>
          </mc:Fallback>
        </mc:AlternateContent>
      </w:r>
    </w:p>
    <w:p>
      <w:pPr>
        <w:spacing w:after="0" w:line="130" w:lineRule="exact"/>
        <w:rPr>
          <w:sz w:val="24"/>
          <w:szCs w:val="24"/>
          <w:color w:val="auto"/>
        </w:rPr>
      </w:pPr>
    </w:p>
    <w:p>
      <w:pPr>
        <w:ind w:left="160"/>
        <w:spacing w:after="0" w:line="274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参考书（作者、书名、出版社及出版年）：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S. Blinder, After the Music Stopped (Penguin), 2013 (paperback update, 2014).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ind w:left="160" w:right="1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S. Blinder, The Quiet Revolution: Central Banking Goes Modern (Yale University Press), 2004.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S. Blinder, Central Banking in Theory and Practice (MIT Press), 1998.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160"/>
        <w:spacing w:after="0" w:line="292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楷体" w:cs="楷体" w:eastAsia="楷体" w:hAnsi="楷体"/>
          <w:sz w:val="24"/>
          <w:szCs w:val="24"/>
          <w:color w:val="auto"/>
        </w:rPr>
        <w:t>中国金融改革思考录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楷体" w:cs="楷体" w:eastAsia="楷体" w:hAnsi="楷体"/>
          <w:sz w:val="24"/>
          <w:szCs w:val="24"/>
          <w:color w:val="auto"/>
        </w:rPr>
        <w:t>北京：商务印书馆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.2009</w:t>
      </w:r>
      <w:r>
        <w:rPr>
          <w:rFonts w:ascii="楷体" w:cs="楷体" w:eastAsia="楷体" w:hAnsi="楷体"/>
          <w:sz w:val="24"/>
          <w:szCs w:val="24"/>
          <w:color w:val="auto"/>
        </w:rPr>
        <w:t>。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160"/>
        <w:spacing w:after="0" w:line="292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周小川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楷体" w:cs="楷体" w:eastAsia="楷体" w:hAnsi="楷体"/>
          <w:sz w:val="24"/>
          <w:szCs w:val="24"/>
          <w:color w:val="auto"/>
        </w:rPr>
        <w:t>国际金融危机：观察、分析与应对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楷体" w:cs="楷体" w:eastAsia="楷体" w:hAnsi="楷体"/>
          <w:sz w:val="24"/>
          <w:szCs w:val="24"/>
          <w:color w:val="auto"/>
        </w:rPr>
        <w:t>北京：中国金融出版社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.2012</w:t>
      </w:r>
      <w:r>
        <w:rPr>
          <w:rFonts w:ascii="楷体" w:cs="楷体" w:eastAsia="楷体" w:hAnsi="楷体"/>
          <w:sz w:val="24"/>
          <w:szCs w:val="24"/>
          <w:color w:val="auto"/>
        </w:rPr>
        <w:t>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58623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1.3pt" to="463.65pt,1.3pt" o:allowincell="f" strokecolor="#000000" strokeweight="0.4799pt"/>
            </w:pict>
          </mc:Fallback>
        </mc:AlternateConten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160" w:right="840"/>
        <w:spacing w:after="0" w:line="273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任课教师教学科研简历</w:t>
      </w:r>
      <w:r>
        <w:rPr>
          <w:rFonts w:ascii="楷体" w:cs="楷体" w:eastAsia="楷体" w:hAnsi="楷体"/>
          <w:sz w:val="21"/>
          <w:szCs w:val="21"/>
          <w:color w:val="auto"/>
        </w:rPr>
        <w:t>（其中包括年龄、职称、主要教学科研工作成就等，可加附页）</w:t>
      </w:r>
      <w:r>
        <w:rPr>
          <w:rFonts w:ascii="楷体" w:cs="楷体" w:eastAsia="楷体" w:hAnsi="楷体"/>
          <w:sz w:val="24"/>
          <w:szCs w:val="24"/>
          <w:color w:val="auto"/>
        </w:rPr>
        <w:t>详情请参见附页。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1"/>
          <w:szCs w:val="21"/>
          <w:color w:val="auto"/>
        </w:rPr>
        <w:t>见附页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22860</wp:posOffset>
                </wp:positionV>
                <wp:extent cx="58623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1.8pt" to="463.65pt,1.8pt" o:allowincell="f" strokecolor="#000000" strokeweight="0.4799pt"/>
            </w:pict>
          </mc:Fallback>
        </mc:AlternateConten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160" w:right="120"/>
        <w:spacing w:after="0" w:line="258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教学大纲</w:t>
      </w:r>
      <w:r>
        <w:rPr>
          <w:rFonts w:ascii="楷体" w:cs="楷体" w:eastAsia="楷体" w:hAnsi="楷体"/>
          <w:sz w:val="21"/>
          <w:szCs w:val="21"/>
          <w:color w:val="auto"/>
        </w:rPr>
        <w:t>（</w:t>
      </w:r>
      <w:r>
        <w:rPr>
          <w:rFonts w:ascii="楷体" w:cs="楷体" w:eastAsia="楷体" w:hAnsi="楷体"/>
          <w:sz w:val="21"/>
          <w:szCs w:val="21"/>
          <w:b w:val="1"/>
          <w:bCs w:val="1"/>
          <w:color w:val="auto"/>
        </w:rPr>
        <w:t>请另附页</w:t>
      </w:r>
      <w:r>
        <w:rPr>
          <w:rFonts w:ascii="楷体" w:cs="楷体" w:eastAsia="楷体" w:hAnsi="楷体"/>
          <w:sz w:val="21"/>
          <w:szCs w:val="21"/>
          <w:color w:val="auto"/>
        </w:rPr>
        <w:t>，应包括课程主要内容框架：各章节的主要内容、目的与要求，主要参考文献，各章节学时安排表等，并说明教学方式、考试方式等具体教学环节的安排）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160"/>
        <w:spacing w:after="0" w:line="240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1"/>
          <w:szCs w:val="21"/>
          <w:color w:val="auto"/>
        </w:rPr>
        <w:t>见附页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38735</wp:posOffset>
                </wp:positionV>
                <wp:extent cx="58623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3.05pt" to="463.65pt,3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1361440</wp:posOffset>
                </wp:positionV>
                <wp:extent cx="58623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107.2pt" to="463.65pt,107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35560</wp:posOffset>
                </wp:positionV>
                <wp:extent cx="0" cy="132905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29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25pt,2.8pt" to="217.25pt,107.45pt" o:allowincell="f" strokecolor="#000000" strokeweight="0.48pt"/>
            </w:pict>
          </mc:Fallback>
        </mc:AlternateConten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160"/>
        <w:spacing w:after="0" w:line="274" w:lineRule="exact"/>
        <w:tabs>
          <w:tab w:leader="none" w:pos="4440" w:val="left"/>
        </w:tabs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4"/>
          <w:szCs w:val="24"/>
          <w:color w:val="auto"/>
        </w:rPr>
        <w:t>院（系）意见：</w:t>
      </w:r>
      <w:r>
        <w:rPr>
          <w:sz w:val="20"/>
          <w:szCs w:val="20"/>
          <w:color w:val="auto"/>
        </w:rPr>
        <w:tab/>
      </w:r>
      <w:r>
        <w:rPr>
          <w:rFonts w:ascii="楷体" w:cs="楷体" w:eastAsia="楷体" w:hAnsi="楷体"/>
          <w:sz w:val="24"/>
          <w:szCs w:val="24"/>
          <w:color w:val="auto"/>
        </w:rPr>
        <w:t>研究生院审批意见：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tbl>
      <w:tblPr>
        <w:tblLayout w:type="fixed"/>
        <w:tblInd w:w="1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282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教学院长（主任）签字：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2"/>
        </w:trPr>
        <w:tc>
          <w:tcPr>
            <w:tcW w:w="2820" w:type="dxa"/>
            <w:vAlign w:val="bottom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（单位公章）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ind w:left="7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负责人签字：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2820" w:type="dxa"/>
            <w:vAlign w:val="bottom"/>
          </w:tcPr>
          <w:p>
            <w:pPr>
              <w:ind w:left="22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年</w:t>
            </w:r>
          </w:p>
        </w:tc>
        <w:tc>
          <w:tcPr>
            <w:tcW w:w="66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月</w:t>
            </w:r>
          </w:p>
        </w:tc>
        <w:tc>
          <w:tcPr>
            <w:tcW w:w="1240" w:type="dxa"/>
            <w:vAlign w:val="bottom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日</w:t>
            </w:r>
          </w:p>
        </w:tc>
        <w:tc>
          <w:tcPr>
            <w:tcW w:w="2580" w:type="dxa"/>
            <w:vAlign w:val="bottom"/>
          </w:tcPr>
          <w:p>
            <w:pPr>
              <w:ind w:left="2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年</w:t>
            </w:r>
          </w:p>
        </w:tc>
        <w:tc>
          <w:tcPr>
            <w:tcW w:w="660" w:type="dxa"/>
            <w:vAlign w:val="bottom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</w:rPr>
              <w:t>月</w:t>
            </w:r>
          </w:p>
        </w:tc>
        <w:tc>
          <w:tcPr>
            <w:tcW w:w="42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楷体" w:cs="楷体" w:eastAsia="楷体" w:hAnsi="楷体"/>
                <w:sz w:val="24"/>
                <w:szCs w:val="24"/>
                <w:color w:val="auto"/>
                <w:w w:val="91"/>
              </w:rPr>
              <w:t>日</w:t>
            </w:r>
          </w:p>
        </w:tc>
      </w:tr>
    </w:tbl>
    <w:p>
      <w:pPr>
        <w:spacing w:after="0" w:line="93" w:lineRule="exact"/>
        <w:rPr>
          <w:sz w:val="24"/>
          <w:szCs w:val="24"/>
          <w:color w:val="auto"/>
        </w:rPr>
      </w:pPr>
    </w:p>
    <w:p>
      <w:pPr>
        <w:jc w:val="both"/>
        <w:ind w:left="360" w:right="600"/>
        <w:spacing w:after="0" w:line="285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21"/>
          <w:szCs w:val="21"/>
          <w:color w:val="auto"/>
        </w:rPr>
        <w:t>说明：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1. </w:t>
      </w:r>
      <w:r>
        <w:rPr>
          <w:rFonts w:ascii="楷体" w:cs="楷体" w:eastAsia="楷体" w:hAnsi="楷体"/>
          <w:sz w:val="21"/>
          <w:szCs w:val="21"/>
          <w:color w:val="auto"/>
        </w:rPr>
        <w:t>院（系）新开研究生课程，须填写本表有关项目，经主管研究生教学院长（主任）签署意见后报研究生院培养办审批；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2. </w:t>
      </w:r>
      <w:r>
        <w:rPr>
          <w:rFonts w:ascii="楷体" w:cs="楷体" w:eastAsia="楷体" w:hAnsi="楷体"/>
          <w:sz w:val="21"/>
          <w:szCs w:val="21"/>
          <w:color w:val="auto"/>
        </w:rPr>
        <w:t>被批准开课后，教务员须将有关内容录入研究生课程库方能安排排课；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3. </w:t>
      </w:r>
      <w:r>
        <w:rPr>
          <w:rFonts w:ascii="楷体" w:cs="楷体" w:eastAsia="楷体" w:hAnsi="楷体"/>
          <w:sz w:val="21"/>
          <w:szCs w:val="21"/>
          <w:color w:val="auto"/>
        </w:rPr>
        <w:t>研究生院每学期第</w:t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 xml:space="preserve"> 14 </w:t>
      </w:r>
      <w:r>
        <w:rPr>
          <w:rFonts w:ascii="楷体" w:cs="楷体" w:eastAsia="楷体" w:hAnsi="楷体"/>
          <w:sz w:val="21"/>
          <w:szCs w:val="21"/>
          <w:color w:val="auto"/>
        </w:rPr>
        <w:t>周之前受理下一学期的开课申请。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0</w:t>
      </w:r>
    </w:p>
    <w:p>
      <w:pPr>
        <w:sectPr>
          <w:pgSz w:w="11900" w:h="16838" w:orient="portrait"/>
          <w:cols w:equalWidth="0" w:num="1">
            <w:col w:w="9280"/>
          </w:cols>
          <w:pgMar w:left="1440" w:top="1440" w:right="1186" w:bottom="432" w:gutter="0" w:footer="0" w:header="0"/>
        </w:sectPr>
      </w:pPr>
    </w:p>
    <w:bookmarkStart w:id="1" w:name="page2"/>
    <w:bookmarkEnd w:id="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b w:val="1"/>
          <w:bCs w:val="1"/>
          <w:color w:val="auto"/>
        </w:rPr>
        <w:t>现代中央银行：理论与实践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2320"/>
        <w:spacing w:after="0" w:line="292" w:lineRule="exact"/>
        <w:tabs>
          <w:tab w:leader="none" w:pos="55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2020 </w:t>
      </w:r>
      <w:r>
        <w:rPr>
          <w:rFonts w:ascii="仿宋" w:cs="仿宋" w:eastAsia="仿宋" w:hAnsi="仿宋"/>
          <w:sz w:val="24"/>
          <w:szCs w:val="24"/>
          <w:color w:val="auto"/>
        </w:rPr>
        <w:t>年春季学期</w:t>
      </w:r>
      <w:r>
        <w:rPr>
          <w:sz w:val="20"/>
          <w:szCs w:val="20"/>
          <w:color w:val="auto"/>
        </w:rPr>
        <w:tab/>
      </w:r>
      <w:r>
        <w:rPr>
          <w:rFonts w:ascii="仿宋" w:cs="仿宋" w:eastAsia="仿宋" w:hAnsi="仿宋"/>
          <w:sz w:val="23"/>
          <w:szCs w:val="23"/>
          <w:color w:val="auto"/>
        </w:rPr>
        <w:t>缪延亮教授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“There have been three great inventions since the beginning of time: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fire, the wheel, and central banking.”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Will Rogers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b w:val="1"/>
          <w:bCs w:val="1"/>
          <w:color w:val="auto"/>
        </w:rPr>
        <w:t>课程介绍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建设现代中央银行制度是国家治理体系和治理能力的重要组成部分。本课程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36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将通过系统呈现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2008 </w:t>
      </w:r>
      <w:r>
        <w:rPr>
          <w:rFonts w:ascii="仿宋" w:cs="仿宋" w:eastAsia="仿宋" w:hAnsi="仿宋"/>
          <w:sz w:val="24"/>
          <w:szCs w:val="24"/>
          <w:color w:val="auto"/>
        </w:rPr>
        <w:t>年全球金融危机以来主要央行在理论和政策中探索与发展，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263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以国际视野凸显中国特色，引发大家对现代中央银行制度和货币政策前沿议题的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263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深入思考。具体包括四大模块：一是危机前“大缓和”时代关于中央银行的共识；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二是危机以来中央银行新发展与面临的挑战；三是中国货币政策框架的演进、利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率市场化与汇率形成机制改革；四是全球货币格局的变化及人民币国际化。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b w:val="1"/>
          <w:bCs w:val="1"/>
          <w:color w:val="auto"/>
        </w:rPr>
        <w:t>教学计划与课时分配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tbl>
      <w:tblPr>
        <w:tblLayout w:type="fixed"/>
        <w:tblInd w:w="3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1"/>
        </w:trPr>
        <w:tc>
          <w:tcPr>
            <w:tcW w:w="8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  <w:w w:val="99"/>
              </w:rPr>
              <w:t>章节</w:t>
            </w:r>
          </w:p>
        </w:tc>
        <w:tc>
          <w:tcPr>
            <w:tcW w:w="6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9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内容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  <w:w w:val="99"/>
              </w:rPr>
              <w:t>计划课时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Why It Matters: The Costs of Business Cycles and Inflation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The Culture of Central Banking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The  Practical  Macroeconomics  of  Monetary  Policy:  Gaps,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“Neutral” Rates, Taylor Rules, and All That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The Challenge of Central Banking at ZLB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Innovative Instruments of Monetary Policy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Communication as Monetary Policy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Asset Bubbles and Macro-prudential Policy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Case Study: The Financial Crises /Euro Crisis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China’s Monetary Policy Framework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China's Interest Rate Liberalization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Towards a Clean Floating RENMINBI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The problem of the current IMS and China’s implication for the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IMS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RENMINBI Internationalization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期中测试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88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合计</w:t>
            </w:r>
          </w:p>
        </w:tc>
        <w:tc>
          <w:tcPr>
            <w:tcW w:w="6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b w:val="1"/>
          <w:bCs w:val="1"/>
          <w:color w:val="auto"/>
        </w:rPr>
        <w:t>考核方式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36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期中考试一次（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20%</w:t>
      </w:r>
      <w:r>
        <w:rPr>
          <w:rFonts w:ascii="仿宋" w:cs="仿宋" w:eastAsia="仿宋" w:hAnsi="仿宋"/>
          <w:sz w:val="24"/>
          <w:szCs w:val="24"/>
          <w:color w:val="auto"/>
        </w:rPr>
        <w:t>），课堂展示与讨论（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30%</w:t>
      </w:r>
      <w:r>
        <w:rPr>
          <w:rFonts w:ascii="仿宋" w:cs="仿宋" w:eastAsia="仿宋" w:hAnsi="仿宋"/>
          <w:sz w:val="24"/>
          <w:szCs w:val="24"/>
          <w:color w:val="auto"/>
        </w:rPr>
        <w:t>），期末论文（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50%</w:t>
      </w:r>
      <w:r>
        <w:rPr>
          <w:rFonts w:ascii="仿宋" w:cs="仿宋" w:eastAsia="仿宋" w:hAnsi="仿宋"/>
          <w:sz w:val="24"/>
          <w:szCs w:val="24"/>
          <w:color w:val="auto"/>
        </w:rPr>
        <w:t>）。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bookmarkStart w:id="2" w:name="page3"/>
    <w:bookmarkEnd w:id="2"/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b w:val="1"/>
          <w:bCs w:val="1"/>
          <w:color w:val="auto"/>
        </w:rPr>
        <w:t>课程大纲和阅读材料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36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(*</w:t>
      </w:r>
      <w:r>
        <w:rPr>
          <w:rFonts w:ascii="仿宋" w:cs="仿宋" w:eastAsia="仿宋" w:hAnsi="仿宋"/>
          <w:sz w:val="24"/>
          <w:szCs w:val="24"/>
          <w:color w:val="auto"/>
        </w:rPr>
        <w:t>号标记的为选读材料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jc w:val="both"/>
        <w:ind w:left="360" w:right="346"/>
        <w:spacing w:after="0" w:line="28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第一大模块是本课程基础。大家应通过本章学习，系统掌握中央银行在金融体系中的重要地位，以及危机前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仿宋" w:cs="仿宋" w:eastAsia="仿宋" w:hAnsi="仿宋"/>
          <w:sz w:val="24"/>
          <w:szCs w:val="24"/>
          <w:color w:val="auto"/>
        </w:rPr>
        <w:t>大缓和时代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关于中央银行特性、货币政策目标和工具等方面的共识。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The Unique and Important Policymaking Institution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1. Why It Matters: The Costs of Business Cycles and Inflation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Robert E. Lucas, Jr.,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Models of Business Cycles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(Blackwell), 1987, Chapter III.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S. Blinder</w:t>
      </w:r>
      <w:r>
        <w:rPr>
          <w:rFonts w:ascii="Times New Roman" w:cs="Times New Roman" w:eastAsia="Times New Roman" w:hAnsi="Times New Roman"/>
          <w:sz w:val="24"/>
          <w:szCs w:val="24"/>
          <w:color w:val="11304C"/>
        </w:rPr>
        <w:t>, “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color w:val="auto"/>
          </w:rPr>
          <w:t>Keynes, Lucas, and Scientific Progress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May 1987, pp. 130-136 (the key sections are II and VII).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Stanley Fischer, “Modern Central Banking,” in Forrest Capie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Future of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Central Banking: The Tercentenary Symposium of the Bank of England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(Cambridge University Press), 1994, Section 2.4.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*Ray C. Fair,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Predicting Presidential Elections and Other Things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 Second Edition (Stanford University Press, 2011). Updates can be accessed at fairmodel.econ.yale.edu.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*Ray C. Fair, “The Effect of Economic Events on Votes for President,”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Review of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Economics and Statistics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1978, pp. 159-173.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*Robert E. Lucas, Jr., “Macroeconomic Priorities,”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March 2003, pp. 1-14.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*Gadi Barlevy, “The cost of business cycles and the benefits of stabilization,”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Perspectives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Federal Reserve Bank of Chicago, 2005:1Q, pp. 32-49.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*J. Bradford DeLong and Lawrence Summers, “Fiscal Policy in a Depressed Economy,”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 on Economic Activity,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Spring 2012, pp. 233-274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*Don Peck, “How a New Jobless Era Will Transform America,”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Atlantic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March 2010.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*Arthur Okun, “Upward Mobility in a High-Pressure Economy,”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on Economic Activity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1:1973, pp. 207-252.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bookmarkStart w:id="3" w:name="page4"/>
    <w:bookmarkEnd w:id="3"/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2. The Culture of Central Banking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Elizabeth A. Duke, “Come with Me to the FOMC,” Speech to the Money Marketeers of New York University, October 19, 2010. (Speech on Fed website.)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Steven Solomon, The Confidence Game: How Unelected Central Bankers are Governing the Changed Global Economy (Simon &amp; Schuster), 1995, Chapter 9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*David Wessel,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 Fed We Trust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(Crown Business), 2009, Chapter 2 (for a little U.S. central banking history)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*William Greider,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Secrets of the Temple: How the Federal Reserve Runs the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Country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(Simon and Schuster), 1987, Chapter 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*Marvin Goodfriend, “Monetary Mystique: Secrecy and Central Banking,”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of Monetary Economics,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17, (January 1986), pp. 63-92.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*Stephen Morris and Hyun Song Shin, “Social Value of Public Information,”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92, (December 2002), pp. 1521-1534.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640" w:hanging="282"/>
        <w:spacing w:after="0"/>
        <w:tabs>
          <w:tab w:leader="none" w:pos="6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The Practical Macroeconomics of Monetary Policy: Gaps, “Neutral” Rates,</w:t>
      </w:r>
    </w:p>
    <w:p>
      <w:pPr>
        <w:spacing w:after="0" w:line="3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36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Taylor Rules, and All That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Blinder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(1998), Chapter 1, omitting Section 5; Chapter 2, Sections 1-3.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Laurence H. Meyer,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 Term at the Fed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(Harper Business), 2004. pp. 36-40 and Chapters 3, 4, and 6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06" w:firstLine="283"/>
        <w:spacing w:after="0" w:line="28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Alan S. Blinder and Ricardo Reis, “Understanding the Greenspan Standard,” in Federal Reserve Bank of Kansas City, The Greenspan Era: Lessons for the Future, 2005,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40" w:right="626" w:hanging="282"/>
        <w:spacing w:after="0" w:line="532" w:lineRule="auto"/>
        <w:tabs>
          <w:tab w:leader="none" w:pos="71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24-32 (on Taylor rules) and pp. 44-46 and 50-61 (on core vs. headline inflation) John B. Taylor,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Getting Off Track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(Hoover: 2009), Chapter 1.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Fischer, “Modern Central Banking,” Secs. 2.3 and 2.5.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Jerome H. Powell, “Monetary Policy in a Changing Economy,” Speech, August 24, 2018. </w:t>
      </w:r>
      <w:hyperlink r:id="rId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https://www.federalreserve.gov/newsevents/speech/powell20180824a.htm</w:t>
        </w:r>
      </w:hyperlink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*Ben S. Bernanke, and Alan S. Blinder, “Credit, Money, and Aggregate Demand,”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(Papers and Proceedings), May 1988, pp. 435-439.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4" w:name="page5"/>
    <w:bookmarkEnd w:id="4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*Tobias Adrian and Hyun Song Shin, “Financial Intermediaries, Financial Stability and Monetary Policy,” in Federal Reserve Bank of Kansas City,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Maintaining Stability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 a Changing Financial System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2008, pp. 287-334.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*John B. Taylor, “Monetary Policy Guidelines for Employment and Inflation Stability,” in R.M. Solow and J. B. Taylor,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Inflation, Unemployment, and Monetary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(MIT Press), 1998, Chapter 2.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*N. Gregory Mankiw, “The Macroeconomist as Scientist and Engineer,”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Perspectives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Fall 2006, pp. 29-46.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226"/>
        <w:spacing w:after="0" w:line="295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第二大模块将全面呈现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2008 </w:t>
      </w:r>
      <w:r>
        <w:rPr>
          <w:rFonts w:ascii="仿宋" w:cs="仿宋" w:eastAsia="仿宋" w:hAnsi="仿宋"/>
          <w:sz w:val="24"/>
          <w:szCs w:val="24"/>
          <w:color w:val="auto"/>
        </w:rPr>
        <w:t>年危机后中央银行的新发展。大家应通过本章学习，掌握主要央行在政策利率触及零下界、传统货币政策失效的背景下，如何在理论和实践层面进行创新，包括政策工具、目标、沟通方式的改变等，并理解央行当前面临的挑战。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Monetary Policy at or near the Lower Bound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4. The Challenge of Central Banking at ZLB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4.1 When Keynes Meets Fisher: The Dilemma of Central Banking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Claudio Borio., et al., “Labour Reallocation and Productivity Dynamics: Financial Causes, Real Consequences,” BIS Working Paper No. 534, December 2015.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Milton Friedman, “The Role of Monetary Policy,” American Economic Review, 1995.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Phurichai Rungcharoenkitkul, “Monetary Policy Hysteresis and the Financial Cycle”, BIS Working Paper No. 817, October 2019.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Stephen Williamson. “Neo-Fisherism, A Radical Idea, or the Most Obvious solution to the Low-Inflation Problem,” The Regional Economist, July 2016, 5-9.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John Cochrane. “Michelson-Morley, Fisher, and Occam: The Radical Implications of Stable Quiet Inflation at the Zero Bound,” NBER Macroeconomics Annual 2017, volume 32.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Thomas Laubach and John C. Williams, “Measuring the Natural Rate of Interest Redux,”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Business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July 2016, pp. 57-67.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Ben Bernanke, Testimony to the House Committee on Financial Services, July 17, 2013, the section entitled “Monetary Policy.”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David Altig, “A new twist on an old framework: bounded price-level targeting,”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Business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July 2018, pp. 156-162.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5" w:name="page6"/>
    <w:bookmarkEnd w:id="5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Ben Bernanke and Vincent Reinhart, “Conducting Monetary Policy at Very Low Short-Term Interest Rates,”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94(2): 85-90 (2004).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Gauti Eggertsson and Michael Woodford, “Policy Options in a Liquidity Trap,”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94(2): 76-79 (2004).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820" w:hanging="179"/>
        <w:spacing w:after="0"/>
        <w:tabs>
          <w:tab w:leader="none" w:pos="8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Blinder (2013), Chapter 14.</w:t>
      </w:r>
    </w:p>
    <w:p>
      <w:pPr>
        <w:spacing w:after="0" w:line="36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46" w:firstLine="281"/>
        <w:spacing w:after="0" w:line="266" w:lineRule="auto"/>
        <w:tabs>
          <w:tab w:leader="none" w:pos="83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Ben Bernanke, Vincent Reinhart, and Brian Sack, “Monetary Policy Alternatives at the Zero Lower Bound: An Empirical Assessment,”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 on Economic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Activity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2004:2, pp. 1-78.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360" w:right="346" w:firstLine="40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*Peter Hooper, “The case against price-level targeting,”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Business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July 2018, pp. 145-155.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1"/>
        <w:spacing w:after="0" w:line="266" w:lineRule="auto"/>
        <w:tabs>
          <w:tab w:leader="none" w:pos="823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Gauti Eggertsson and Michael Woodford, “The Zero Bound on Interest Rates and Optimal Monetary Policy,”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 on Economic Activity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2003:1, pp. 139-211.</w:t>
      </w:r>
    </w:p>
    <w:p>
      <w:pPr>
        <w:spacing w:after="0" w:line="33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right="366" w:firstLine="281"/>
        <w:spacing w:after="0" w:line="261" w:lineRule="auto"/>
        <w:tabs>
          <w:tab w:leader="none" w:pos="84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Michael T. Kiley and John M. Roberts, “Monetary policy in a low interest rate world,”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 on Economic Activity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2017:1, pp. 317-367.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4.2 Central Bank Independence</w:t>
      </w: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Blinder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(1998), Chapter 3, pp. 53-66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Fischer, “Modern Central Banking,” Sections 2.7-2.9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Solomon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Chapter 2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Adam S. Posen, “Why Central Bank Independence Does Not Cause Low Inflation: There is No Institutional Fix for Politics,” in Richard O’Brien, ed.,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Finance and the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International Economy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 (Oxford University Press), 1993, pp. 41-54.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Blinder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(2004), Chapter 3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Allan Meltzer, “Policy Principles: Lessons from the Fed’s Past,” in J. Ciorciari and J. Taylor (eds.),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Road Ahead for the Fed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(Hoover), 2009, pp. 13-32.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Blinder, “Financial Crises and Central Bank Independence,”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Business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48 (3), July 2013, pp. 163-165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8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Christopher Sims, “Gaps in the Institutional Structure of the Euro Area,” in Banque de France,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Financial Stability Review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16 (April 2012),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Public Debt, Monetary Policy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5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bookmarkStart w:id="6" w:name="page7"/>
    <w:bookmarkEnd w:id="6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60" w:right="3186"/>
        <w:spacing w:after="0" w:line="282" w:lineRule="auto"/>
        <w:rPr>
          <w:rFonts w:ascii="Times New Roman" w:cs="Times New Roman" w:eastAsia="Times New Roman" w:hAnsi="Times New Roman"/>
          <w:sz w:val="23"/>
          <w:szCs w:val="23"/>
          <w:color w:val="0000FF"/>
        </w:rPr>
      </w:pP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and Financial Stability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pp. 217-223. (At: </w:t>
      </w:r>
      <w:hyperlink r:id="rId10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www.banque-</w:t>
        </w:r>
      </w:hyperlink>
      <w:hyperlink r:id="rId10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france.fr/en/publications/financial-stability-review.html</w:t>
        </w:r>
      </w:hyperlink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>.)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Jean Pisani-Ferry, “The Euro Crisis and the New Impossible Trinity,”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Bruegel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Policy Contribution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January 2012.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(www.econstor.eu/dspace/bitstream/10419/72121/1/683140442.pdf.)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Paul Tucker,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Unelected Power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(Princeton: 2018), Chapter 17.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*Adam Posen, “Central bank independence and disinflationary credibility: a missing link?”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Oxford Economic Papers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50 (1998), pp. 335-359.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*Peter Conti-Brown,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Power and Independence of the Fed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(Princeton: 2016), pp. 1-7 of Introduction, Chapter 1, and Chapter 5.7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*Henry W. Chappell, Jr.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Committee Decisions on Monetary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(MIT Press), 2005, Chapter 9, pp. 139-151; Chapter 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*Burton Abrams, “How Richard Nixon Pressured Arthur Burns: Evidence from the Nixon Tapes,”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Economic Perspectives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Fall 2006, pp. 177-188.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*Albert Alesina and Lawrence Summers, “Central Bank Independence and Macroeconomic Performance: Some Comparative Evidence,”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Money, Credit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and Banking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May 1993, pp. 151-162.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79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缪延亮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西方国家宏观调控中的货币主导或财政主导选择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新金融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.2015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5. Innovative Instruments of Monetary Policy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5.1 QE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Blinder, “Quantitative Easing: Entrance and Exit Strategies”. Federal Reserve Bank of St. Louis Review, November/December 2010, 92(6), pp. 465-79.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Ben Bernanke, “Monetary Policy since the Onset of the Crisis,” Federal Reserve Bank of Kansas City Economic Symposium, 2012.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Janet Yellen, “Perspectives on Monetary Policy,” speech at the Boston Economic Club, June 6, 2012 (start at the heading “The Conduct of Policy with Unconventional Tools”)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John C. Williams, “Monetary Policy at the Zero Lower Bound: Putting Theory into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1660" w:val="left"/>
          <w:tab w:leader="none" w:pos="3060" w:val="left"/>
          <w:tab w:leader="none" w:pos="4320" w:val="left"/>
          <w:tab w:leader="none" w:pos="5360" w:val="left"/>
          <w:tab w:leader="none" w:pos="6340" w:val="left"/>
          <w:tab w:leader="none" w:pos="7480" w:val="left"/>
          <w:tab w:leader="none" w:pos="84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Practice,”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Brookings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Hutchins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Center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paper,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January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2014,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at: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6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7" w:name="page8"/>
    <w:bookmarkEnd w:id="7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60" w:right="706"/>
        <w:spacing w:after="0" w:line="260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11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https://www.brookings.edu/wp-content/uploads/2016/06/16-monetary-policy-zero-</w:t>
        </w:r>
      </w:hyperlink>
      <w:hyperlink r:id="rId11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lower-bound-williams.pdf</w:t>
        </w:r>
      </w:hyperlink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FOMC,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FOMC Communications related to Policy Normalization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at: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hyperlink r:id="rId1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https://www.federalreserve.gov/monetarypolicy/policy-normalization.htm</w:t>
        </w:r>
      </w:hyperlink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., “Necessity as the Mother of Invention: Monetary Policy after the Crisis,”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no. 91, October 2017, Sections 1 and 3.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*Arvind Krishnamurthy and Annette Vissing-Jorgensen, “The Effects of Quantitative Easing on Interest Rates: Channels and Implications for Policy,”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Brookings Papers on Economic Activity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Fall 2011, pp. 215-287.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*Arvind Krishnamurthy and Annette Vissing-Jorgensen, “The Ins and Outs of LSAPs,” in Federal Reserve Bank of Kansas City,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Global Dimensions of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Unconventional Monetary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Proceedings of the 2013 Jackson Hole Symposium, pp. 57-111.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640"/>
        <w:spacing w:after="0" w:line="28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缪延亮，姜骥，邓拓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仿宋" w:cs="仿宋" w:eastAsia="仿宋" w:hAnsi="仿宋"/>
          <w:sz w:val="23"/>
          <w:szCs w:val="23"/>
          <w:color w:val="auto"/>
        </w:rPr>
        <w:t>美联储加息的十个问题合作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仿宋" w:cs="仿宋" w:eastAsia="仿宋" w:hAnsi="仿宋"/>
          <w:sz w:val="23"/>
          <w:szCs w:val="23"/>
          <w:color w:val="auto"/>
        </w:rPr>
        <w:t>新金融评论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.2015 </w:t>
      </w:r>
      <w:r>
        <w:rPr>
          <w:rFonts w:ascii="仿宋" w:cs="仿宋" w:eastAsia="仿宋" w:hAnsi="仿宋"/>
          <w:sz w:val="23"/>
          <w:szCs w:val="23"/>
          <w:color w:val="auto"/>
        </w:rPr>
        <w:t>年第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6 </w:t>
      </w:r>
      <w:r>
        <w:rPr>
          <w:rFonts w:ascii="仿宋" w:cs="仿宋" w:eastAsia="仿宋" w:hAnsi="仿宋"/>
          <w:sz w:val="23"/>
          <w:szCs w:val="23"/>
          <w:color w:val="auto"/>
        </w:rPr>
        <w:t>期。</w:t>
      </w: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5.2 Credit Policy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Marvin Goodfriend, “The Case for a Treasury-Federal Reserve Accord for Credit Policy”. Testimony before the Subcommittee on Monetary Policy and Trade of the Committee on Financial Services U.S. House of Representatives.2014.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Danie Thornton, “The Effectiveness of Unconventional Monetary Policy: The Term Auction Facility”. Federal Reserve Bank of St. Louis Review, November/December 2011, 93(6), pp. 439-53.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Stephen Williamson, “Monetary policy and distribution”.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Monetary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55(6), 1038-1053.2008.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冯明，伍戈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结构性货币政策能促进经济结构调整吗？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——</w:t>
      </w:r>
      <w:r>
        <w:rPr>
          <w:rFonts w:ascii="仿宋" w:cs="仿宋" w:eastAsia="仿宋" w:hAnsi="仿宋"/>
          <w:sz w:val="24"/>
          <w:szCs w:val="24"/>
          <w:color w:val="auto"/>
        </w:rPr>
        <w:t>以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仿宋" w:cs="仿宋" w:eastAsia="仿宋" w:hAnsi="仿宋"/>
          <w:sz w:val="24"/>
          <w:szCs w:val="24"/>
          <w:color w:val="auto"/>
        </w:rPr>
        <w:t>定向降准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为例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中国金融四十人论坛工作论文系列，总第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李波，伍戈，席钰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仿宋" w:cs="仿宋" w:eastAsia="仿宋" w:hAnsi="仿宋"/>
          <w:sz w:val="24"/>
          <w:szCs w:val="24"/>
          <w:color w:val="auto"/>
        </w:rPr>
        <w:t>结构性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货币政策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比较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.2015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79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缪延亮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西方国家宏观调控中的货币主导或财政主导选择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新金融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.2015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彭俞超，方意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结构性货币政策、产业结构升级与经济稳定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经济研究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.2016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07 </w:t>
      </w:r>
      <w:r>
        <w:rPr>
          <w:rFonts w:ascii="仿宋" w:cs="仿宋" w:eastAsia="仿宋" w:hAnsi="仿宋"/>
          <w:sz w:val="24"/>
          <w:szCs w:val="24"/>
          <w:color w:val="auto"/>
        </w:rPr>
        <w:t>期，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29-42</w:t>
      </w:r>
      <w:r>
        <w:rPr>
          <w:rFonts w:ascii="仿宋" w:cs="仿宋" w:eastAsia="仿宋" w:hAnsi="仿宋"/>
          <w:sz w:val="24"/>
          <w:szCs w:val="24"/>
          <w:color w:val="auto"/>
        </w:rPr>
        <w:t>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86 </w:t>
      </w:r>
      <w:r>
        <w:rPr>
          <w:rFonts w:ascii="仿宋" w:cs="仿宋" w:eastAsia="仿宋" w:hAnsi="仿宋"/>
          <w:sz w:val="24"/>
          <w:szCs w:val="24"/>
          <w:color w:val="auto"/>
        </w:rPr>
        <w:t>页。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7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8" w:name="page9"/>
    <w:bookmarkEnd w:id="8"/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5.3 Negative Interest Rate Policy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360" w:right="826" w:firstLine="283"/>
        <w:spacing w:after="0" w:line="282" w:lineRule="auto"/>
        <w:rPr>
          <w:rFonts w:ascii="Times New Roman" w:cs="Times New Roman" w:eastAsia="Times New Roman" w:hAnsi="Times New Roman"/>
          <w:sz w:val="23"/>
          <w:szCs w:val="23"/>
          <w:color w:val="0000FF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Ben Bernanke, “What Tools Does the Fed Have Left? Part 1. Negative Interest Rates,” Brookings Institution, 2016, </w:t>
      </w:r>
      <w:hyperlink r:id="rId13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http://www.brookings.edu/blogs/ben-</w:t>
        </w:r>
      </w:hyperlink>
      <w:hyperlink r:id="rId13">
        <w:r>
          <w:rPr>
            <w:rFonts w:ascii="Times New Roman" w:cs="Times New Roman" w:eastAsia="Times New Roman" w:hAnsi="Times New Roman"/>
            <w:sz w:val="23"/>
            <w:szCs w:val="23"/>
            <w:u w:val="single" w:color="auto"/>
            <w:color w:val="0000FF"/>
          </w:rPr>
          <w:t>bernanke/posts/2016/03/18-negative-interest-rates</w:t>
        </w:r>
        <w:r>
          <w:rPr>
            <w:rFonts w:ascii="Times New Roman" w:cs="Times New Roman" w:eastAsia="Times New Roman" w:hAnsi="Times New Roman"/>
            <w:sz w:val="23"/>
            <w:szCs w:val="23"/>
            <w:color w:val="000000"/>
          </w:rPr>
          <w:t>.</w:t>
        </w:r>
      </w:hyperlink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Gauti Eggertsson, et al., “Negative Nominal Interest Rates and the Bank Lending Channel.” National Bureau of Economic Research, 2019.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8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International Monetary Fund, “Negative Interest Rate Policies—Initial Experiences and Assessments,”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IMF Policy Paper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August 2017, pp. 1-27 only. You can find a link to this paper at: </w:t>
      </w:r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http://www.imf.org/en/Publications/Policy-</w:t>
        </w:r>
      </w:hyperlink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Papers/Issues/2017/08/03/pp080317-negative-interest-rate-policies-initial-</w:t>
        </w:r>
      </w:hyperlink>
      <w:hyperlink r:id="rId1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experiences-and-assessments</w:t>
        </w:r>
      </w:hyperlink>
    </w:p>
    <w:p>
      <w:pPr>
        <w:spacing w:after="0" w:line="33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Kenneth Rogoff,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Curse of Cash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(Princeton: 2016). Chapter 8 is required, though some of it is very elementary. Chapters 9-12 are for browsing—for many interesting thoughts on negative interest rates.</w:t>
      </w:r>
    </w:p>
    <w:p>
      <w:pPr>
        <w:spacing w:after="0" w:line="33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Markus Brunnermeier and Koby Yann. “The Reversal Interest Rate,” National Bureau of Economic Research, 2018.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Claudio Borio, Leonardo Gambacorta and Boris Hofmann,“The Influence of Monetary Policy on Bank Profitability, ”BIS Working Paper No.514. 2015.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Morten Linnemann Bech and Aytek Malkhozov, “How have central banks implemented negative policy rates?” BIS Quarterly Review, March 2016.</w:t>
      </w:r>
    </w:p>
    <w:p>
      <w:pPr>
        <w:spacing w:after="0" w:line="33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6. Communication as Monetary Policy</w:t>
      </w:r>
    </w:p>
    <w:p>
      <w:pPr>
        <w:spacing w:after="0" w:line="35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., “Necessity as the Mother of Invention: Monetary Policy after the Crisis,”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no. 91, October 2017, Section 4.</w:t>
      </w:r>
    </w:p>
    <w:p>
      <w:pPr>
        <w:spacing w:after="0" w:line="33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 et al., “Central Bank Communication and Monetary Policy: A Survey of Theory and Evidence,”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Economic Literature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December 2008,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40" w:right="4866" w:hanging="282"/>
        <w:spacing w:after="0" w:line="537" w:lineRule="auto"/>
        <w:tabs>
          <w:tab w:leader="none" w:pos="71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908-922 only (the rest is optional).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Blinder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(2004), Chapter 1 Blinder-Reis (2005), pp. 38-44 only.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right="566" w:firstLine="281"/>
        <w:spacing w:after="0" w:line="282" w:lineRule="auto"/>
        <w:tabs>
          <w:tab w:leader="none" w:pos="823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Alan S. Blinder, “Monetary Policy Today: Sixteen Questions and about Twelve Answers,” in S. Fernandez de Lis and F. Restoy (eds.) Central Banks in the 21st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360" w:right="426"/>
        <w:spacing w:after="0" w:line="260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Century, Banco de Espana, 2006, pp. 31-72 (“Blinder (2006)”). At: www.bde.es/f/webbde/Agenda/Eventos/06/Jun/Fic/Blinder_BdE.pdf , pp. 11-17 only.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15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8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9" w:name="page10"/>
    <w:bookmarkEnd w:id="9"/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Alan S. Blinder, “ Through a Crystal Ball Darkly: The Future of Monetary Policy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Communication. ”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AEA Papers and Proceedings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108 : 567-71, 2018.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FOMC Statement, “Longer-Run Goals and Policy Strategy,” (plus accompanying tables), January 2012.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Jerome H. Powell,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“Financial Stability and Central Bank Transparency,” speech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delivered at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Sveriges Riksbank anniversary conference, May 25, 2018.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Morris, S. and H.S. Shin (2018), “Central Bank Forward Guidance and the Signal Value of Market Prices,”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BIS Working Papers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No. 692.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*Andrew Filardo and Boris Hofmann, “Forward guidance at the zero lower bound,”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BIS Quarterly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March 2014, 37-53.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*Michael Woodford, “The Case for Forecast Targeting as a Monetary Policy Strategy,”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Economic Perspectives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Fall 2007, pp. 3-24.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*Michael Feroli, </w:t>
      </w:r>
      <w:hyperlink r:id="rId1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David Greenlaw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, </w:t>
        </w:r>
      </w:hyperlink>
      <w:hyperlink r:id="rId1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Peter Hooper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, </w:t>
        </w:r>
      </w:hyperlink>
      <w:hyperlink r:id="rId1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Frederic Mishkin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 xml:space="preserve">, 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and </w:t>
      </w:r>
      <w:hyperlink r:id="rId1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Amir Sufi</w:t>
        </w:r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>,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"</w:t>
      </w:r>
      <w:hyperlink r:id="rId1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Language after Liftoff: Fed Communication Away from the Zero Lower Bound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," paper presented at the US Monetary Policy Forum, February 2016. In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Research in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April 2017 </w:t>
      </w:r>
      <w:hyperlink r:id="rId20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https://doi.org/10.1016/j.rie.2017.04.003</w:t>
        </w:r>
      </w:hyperlink>
    </w:p>
    <w:p>
      <w:pPr>
        <w:spacing w:after="0" w:line="32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7. Asset Bubbles and Macroprudential Policy</w:t>
      </w:r>
    </w:p>
    <w:p>
      <w:pPr>
        <w:spacing w:after="0" w:line="35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Greenspan, “Opening Remarks,” in Federal Reserve Bank of Kansas City,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Rethinking Stabilization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2002.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Ben S. Bernanke, “Asset-Price ‘Bubbles’ and Monetary Policy,” speech to National Association for Business Economics, New York, October 15, 2002.</w:t>
      </w:r>
    </w:p>
    <w:p>
      <w:pPr>
        <w:spacing w:after="0" w:line="32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Blinder-Reis (2005), pp. 64-70 only.</w:t>
      </w:r>
    </w:p>
    <w:p>
      <w:pPr>
        <w:spacing w:after="0" w:line="36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Stephen Cecchetti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Asset Prices and Central Bank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Geneva Reports on the World Economy 2, 2000, Sections 2.1, 2.2, Chapter 3, Sections 4.1, 4.4, 4.5.</w:t>
      </w:r>
    </w:p>
    <w:p>
      <w:pPr>
        <w:spacing w:after="0" w:line="33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Blinder, “How Central Should the Central Bank Be?”,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Economic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Literature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March 2010, pp. 123-133, Section 3.3 only.</w:t>
      </w:r>
    </w:p>
    <w:p>
      <w:pPr>
        <w:spacing w:after="0" w:line="30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Frederic Mishkin, “How Should We Respond to Asset Price Bubbles?” speech at Wharton School, Philadelphia, May 15, 2008.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2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9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bookmarkStart w:id="10" w:name="page11"/>
    <w:bookmarkEnd w:id="10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Claudio Borio, “Macroprudential Policy and the Financial Cycle: Some Stylized Facts and Policy Suggestions, in George Akerlof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(eds.),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What Have We Learned?: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Macroeconomic Policy after the Crisis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MIT Press, 2014, pp. 71-85.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Andrew Haldane, “Macroprudential Policy in Prospect,” in George Akerlof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et 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(eds.),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What Have We Learned?: Macroeconomic Policy after the Crisis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MIT Press, 2014, pp. 65-70.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*Janet L. Yellen, “Monetary Policy and Financial Stability,” The 2014 Michel Camdessus Central Banking Lecture, International Monetary Fund, July 2014.</w: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1"/>
        <w:spacing w:after="0" w:line="266" w:lineRule="auto"/>
        <w:tabs>
          <w:tab w:leader="none" w:pos="845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Douglas Elliott, Greg Feldberg, and Andreas Lehnert, “The History of Cyclical Macroprudential Policy in the United States,” FEDS Discussion Paper No. 2013-29, Board of Governors of the Federal Reserve System, May 2013.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360" w:right="746" w:firstLine="283"/>
        <w:spacing w:after="0" w:line="264" w:lineRule="auto"/>
        <w:rPr>
          <w:rFonts w:ascii="Times New Roman" w:cs="Times New Roman" w:eastAsia="Times New Roman" w:hAnsi="Times New Roman"/>
          <w:sz w:val="24"/>
          <w:szCs w:val="24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*Gabriele Galati and Richhild Moessner, “Macroprudential policy – a literature review,” BIS Working Paper No. 337, February 2011, at </w:t>
      </w:r>
      <w:hyperlink r:id="rId21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www.bis.org/publ/work337.pdf</w:t>
        </w:r>
        <w:r>
          <w:rPr>
            <w:rFonts w:ascii="Times New Roman" w:cs="Times New Roman" w:eastAsia="Times New Roman" w:hAnsi="Times New Roman"/>
            <w:sz w:val="24"/>
            <w:szCs w:val="24"/>
            <w:color w:val="000000"/>
          </w:rPr>
          <w:t>.</w:t>
        </w:r>
      </w:hyperlink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Tobias Adrian, Dong He, Nellie Liang, and Fabio Natalucci ,“A Monitoring Framework for Global Financial Stability,” IMF Staff Discussion Note, 2019.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周小川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仿宋" w:cs="仿宋" w:eastAsia="仿宋" w:hAnsi="仿宋"/>
          <w:sz w:val="24"/>
          <w:szCs w:val="24"/>
          <w:color w:val="auto"/>
        </w:rPr>
        <w:t>金融政策对金融危机的响应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——</w:t>
      </w:r>
      <w:r>
        <w:rPr>
          <w:rFonts w:ascii="仿宋" w:cs="仿宋" w:eastAsia="仿宋" w:hAnsi="仿宋"/>
          <w:sz w:val="24"/>
          <w:szCs w:val="24"/>
          <w:color w:val="auto"/>
        </w:rPr>
        <w:t>宏观审慎政策框架的形成背景、内在逻辑和主要内容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金融研究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.2011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01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8. Case Study: The Financial Crises /Euro Crisis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Alan S. Blinder,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After the Music Stopped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Chapters 2-7, 9. Also, skim Chapter 13 for the parts about the Fed.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Ben Bernanke, “Some Reflections on the Crisis and the Policy Response,” in A.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Blinder, A. Lo, and R. Solow (eds.), </w:t>
      </w:r>
      <w:r>
        <w:rPr>
          <w:rFonts w:ascii="Times New Roman" w:cs="Times New Roman" w:eastAsia="Times New Roman" w:hAnsi="Times New Roman"/>
          <w:sz w:val="23"/>
          <w:szCs w:val="23"/>
          <w:u w:val="single" w:color="auto"/>
          <w:color w:val="auto"/>
        </w:rPr>
        <w:t>Rethinking the Financial Crisis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 Russell Sage, 2012.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Michele Lenza, Huw Pill, and Lucrezia Reichlin, “Monetary Policy in Exceptional Times,”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Policy,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25(62): 295-339, April 2010.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David Wessel,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 Fed We Trust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(Crown Business), 2009, Introduction, Chapter 1, pp. 54-66, pp. 87-95, Chapters 5-14.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7" w:lineRule="auto"/>
        <w:rPr>
          <w:rFonts w:ascii="Times New Roman" w:cs="Times New Roman" w:eastAsia="Times New Roman" w:hAnsi="Times New Roman"/>
          <w:sz w:val="24"/>
          <w:szCs w:val="24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James McBride and Christopher Alessi, “The Role of the European Central Bank,”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CFR Backgrounder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last updated July 2015. (At: </w:t>
      </w:r>
      <w:hyperlink r:id="rId2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www.cfr.org/europe/role-european-</w:t>
        </w:r>
      </w:hyperlink>
      <w:hyperlink r:id="rId2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central-bank/p28989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This is a useful website, focusing on factual information. It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includes links to a number of closely-related topics and websites.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10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1" w:name="page12"/>
    <w:bookmarkEnd w:id="11"/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Paul De Grauwe, “The European Central Bank as a lender of last resort,”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VoxEU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660" w:hanging="302"/>
        <w:spacing w:after="0"/>
        <w:tabs>
          <w:tab w:leader="none" w:pos="66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August 2011 (at: </w:t>
      </w:r>
      <w:hyperlink r:id="rId23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www.voxeu.org/article/european-central-bank-lender-last-resort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360" w:right="246" w:firstLine="283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Paul De Grauwe, “The ECB grants debt relief to all Eurozone nations except Greece,”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VoxEU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13 May 2016 (at: </w:t>
      </w:r>
      <w:hyperlink r:id="rId2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http://voxeu.org/article/ecb-grants-debt-relief-all-eurozone-</w:t>
        </w:r>
      </w:hyperlink>
      <w:hyperlink r:id="rId24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nations-except-greece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Charles Wyplosz, “Grexit: The staggering cost of central bank independence,” VoxEU, 29 June 2015 (at: </w:t>
      </w:r>
      <w:hyperlink r:id="rId2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www.voxeu.org/article/grexit-staggering-cost-central-bank-</w:t>
        </w:r>
      </w:hyperlink>
      <w:hyperlink r:id="rId25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dependence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Philippe Legrain, “The ECB Needs to Know Its Place,”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Foreign Policy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22 April 2015 (at foreignpolicy.com/2015/04/22/end-the-european-central-bank-dictatorship).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*Ben Bernanke,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Courage to Act: A Memoir of a Crisis and Its Aftermath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(Norton: 2015), Part II.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*Andrew Ross Sorkin,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Too Big To Fail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(Viking), 2009. (Browse; this book focuses on Lehman but is broader than that.)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*Gillian Tett,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Fool’s Gold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(Little Brown), 2009 (Browse; this is about JP Morgan and the development of credit default swaps.)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*William Cohan,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House of Cards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(Random House), 2009 (Browse; this is about the fall of Bear Stearns.)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1"/>
        <w:spacing w:after="0" w:line="260" w:lineRule="auto"/>
        <w:tabs>
          <w:tab w:leader="none" w:pos="84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Nicola Gennaioli and Andrei Shleifer,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 Crisis of Beliefs: Investor Psychology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and Financial Fragility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(Princeton: 2018).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*Timothy Geithner,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Stress Test: Reflections of Financial Crises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(Crown :2014).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*Carmen Reinhart and Kenneth Rogoff,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This Time is Different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Princeton University Press, 2009.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7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*Barry Eichengreen, “The European Central Bank from Problem to Solution,” in Open Mind, BBVA Group, The Search for Europe: Contrasting Approaches, 2016. </w:t>
      </w:r>
      <w:hyperlink r:id="rId2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https://www.bbvaopenmind.com/wp-content/uploads/2016/02/BBVA-OpenMind-</w:t>
        </w:r>
      </w:hyperlink>
      <w:hyperlink r:id="rId26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book-the-search-for-europe-contrasting-approaches.pdf</w:t>
        </w:r>
      </w:hyperlink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缪延亮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欧债危机救助的经验与反思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金融研究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.2018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06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周小川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国际金融危机：观察、分析与应对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北京：中国金融出版社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.2012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第三大模块将聚焦我国中央银行制度和货币政策框架，探讨利率和汇率制度改革前景。大家应通过本章学习，熟悉我国货币政策框架及其特点，了解利率和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11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2" w:name="page13"/>
    <w:bookmarkEnd w:id="12"/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 w:right="346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汇率制度改革进程，理解汇率决定机制（从一般意义上汇率的决定到美元和人民币汇率的决定），并对汇率市场化改革前景进行深入思考。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China’s Quiet Central Banking Revolution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9. China’s Monetary Policy Framework</w:t>
      </w: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360" w:right="246" w:firstLine="283"/>
        <w:spacing w:after="0" w:line="283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 xml:space="preserve">李波主编《构建货币政策和宏观审慎政策双支柱调控框架》，中国金融出版社，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2018 </w:t>
      </w:r>
      <w:r>
        <w:rPr>
          <w:rFonts w:ascii="仿宋" w:cs="仿宋" w:eastAsia="仿宋" w:hAnsi="仿宋"/>
          <w:sz w:val="24"/>
          <w:szCs w:val="24"/>
          <w:color w:val="auto"/>
        </w:rPr>
        <w:t>年。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640"/>
        <w:spacing w:after="0" w:line="28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马骏，纪敏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仿宋" w:cs="仿宋" w:eastAsia="仿宋" w:hAnsi="仿宋"/>
          <w:sz w:val="23"/>
          <w:szCs w:val="23"/>
          <w:color w:val="auto"/>
        </w:rPr>
        <w:t>新货币政策框架下的利率传导机制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仿宋" w:cs="仿宋" w:eastAsia="仿宋" w:hAnsi="仿宋"/>
          <w:sz w:val="23"/>
          <w:szCs w:val="23"/>
          <w:color w:val="auto"/>
        </w:rPr>
        <w:t>北京：中国金融出版社，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2016</w:t>
      </w:r>
      <w:r>
        <w:rPr>
          <w:rFonts w:ascii="仿宋" w:cs="仿宋" w:eastAsia="仿宋" w:hAnsi="仿宋"/>
          <w:sz w:val="23"/>
          <w:szCs w:val="23"/>
          <w:color w:val="auto"/>
        </w:rPr>
        <w:t>。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马骏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仿宋" w:cs="仿宋" w:eastAsia="仿宋" w:hAnsi="仿宋"/>
          <w:sz w:val="24"/>
          <w:szCs w:val="24"/>
          <w:color w:val="auto"/>
        </w:rPr>
        <w:t>管涛等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利率市场化与货币政策框架转型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北京：中国金融出版社，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2018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79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中国金融改革思考录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北京：商务印书馆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.2009</w:t>
      </w:r>
      <w:r>
        <w:rPr>
          <w:rFonts w:ascii="仿宋" w:cs="仿宋" w:eastAsia="仿宋" w:hAnsi="仿宋"/>
          <w:sz w:val="24"/>
          <w:szCs w:val="24"/>
          <w:color w:val="auto"/>
        </w:rPr>
        <w:t>，第二部分宏观经济与货币政策。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中国货币政策框架：支持实体经济，处理好内部均衡和外部均衡的平衡，中国经济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50 </w:t>
      </w:r>
      <w:r>
        <w:rPr>
          <w:rFonts w:ascii="仿宋" w:cs="仿宋" w:eastAsia="仿宋" w:hAnsi="仿宋"/>
          <w:sz w:val="24"/>
          <w:szCs w:val="24"/>
          <w:color w:val="auto"/>
        </w:rPr>
        <w:t>人论坛长安讲坛讲话，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2018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12 </w:t>
      </w:r>
      <w:r>
        <w:rPr>
          <w:rFonts w:ascii="仿宋" w:cs="仿宋" w:eastAsia="仿宋" w:hAnsi="仿宋"/>
          <w:sz w:val="24"/>
          <w:szCs w:val="24"/>
          <w:color w:val="auto"/>
        </w:rPr>
        <w:t>月。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 w:line="29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中国人民银行网站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仿宋" w:cs="仿宋" w:eastAsia="仿宋" w:hAnsi="仿宋"/>
          <w:sz w:val="24"/>
          <w:szCs w:val="24"/>
          <w:color w:val="auto"/>
        </w:rPr>
        <w:t>货币政策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hyperlink r:id="rId27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http://www.pbc.gov.cn/rmyh/105145/index.html</w:t>
        </w:r>
      </w:hyperlink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缪延亮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央行不可承受之重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——</w:t>
      </w:r>
      <w:r>
        <w:rPr>
          <w:rFonts w:ascii="仿宋" w:cs="仿宋" w:eastAsia="仿宋" w:hAnsi="仿宋"/>
          <w:sz w:val="24"/>
          <w:szCs w:val="24"/>
          <w:color w:val="auto"/>
        </w:rPr>
        <w:t>以土耳其政策实验为例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新金融评论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.2016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40" w:hanging="182"/>
        <w:spacing w:after="0" w:line="292" w:lineRule="exact"/>
        <w:tabs>
          <w:tab w:leader="none" w:pos="5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</w:t>
      </w: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中国货币化进程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北京：商务印书馆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.2004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Handbook of China’s Financial System,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Edited by Marlene Amstad, Guofeng Sun, Wei Xiong: Chapter 1 to Chapter 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Michael McMahon, Alfred Schipke and Xiang Li, “China’s Monetary Policy Communication: Frameworks, Impact, and Recommendations,” IMF Working Paper.2018.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Yanliang Miao. China’s Quiet Central Banking Revolution. Project Syndicate .March 2019. </w:t>
      </w:r>
      <w:hyperlink r:id="rId2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https://www.project-syndicate.org/commentary/china-central-</w:t>
        </w:r>
      </w:hyperlink>
      <w:hyperlink r:id="rId2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bank-communication-exchange-rate-by-miao-yanliang-2019-03</w:t>
        </w:r>
      </w:hyperlink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*Yanliang Miao and Tuo Deng. China’s Capital Account Liberalization: A Ruby Jubilee and Beyond” (with Tuo Deng). China Economic Journal, 2019, 12(3). An expanded version is forthcoming in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Handbook of China’s Financial System,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Princeton University Press.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10. China's Interest Rate Liberalization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何东，王红林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利率双轨制与中国货币政策实施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金融研究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.2012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12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12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3" w:name="page14"/>
    <w:bookmarkEnd w:id="13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金中夏，洪浩，李宏瑾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利率市场化对货币政策有效性和经济结构调整的影响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经济研究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.2013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04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马骏，王红林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政策利率传导机制的理论模型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金融研究，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2014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12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杨筝，刘放，李茫茫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利率市场化、非效率投资与资本配置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——</w:t>
      </w:r>
      <w:r>
        <w:rPr>
          <w:rFonts w:ascii="仿宋" w:cs="仿宋" w:eastAsia="仿宋" w:hAnsi="仿宋"/>
          <w:sz w:val="24"/>
          <w:szCs w:val="24"/>
          <w:color w:val="auto"/>
        </w:rPr>
        <w:t>基于中国人民银行取消贷款利率上下限的自然实验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仿宋" w:cs="仿宋" w:eastAsia="仿宋" w:hAnsi="仿宋"/>
          <w:sz w:val="24"/>
          <w:szCs w:val="24"/>
          <w:color w:val="auto"/>
        </w:rPr>
        <w:t>金融研究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.2017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05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中国改革开放三十年的利率市场化进程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金融研究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.2009 </w:t>
      </w:r>
      <w:r>
        <w:rPr>
          <w:rFonts w:ascii="仿宋" w:cs="仿宋" w:eastAsia="仿宋" w:hAnsi="仿宋"/>
          <w:sz w:val="24"/>
          <w:szCs w:val="24"/>
          <w:color w:val="auto"/>
        </w:rPr>
        <w:t>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.2018 </w:t>
      </w:r>
      <w:r>
        <w:rPr>
          <w:rFonts w:ascii="仿宋" w:cs="仿宋" w:eastAsia="仿宋" w:hAnsi="仿宋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4 </w:t>
      </w:r>
      <w:r>
        <w:rPr>
          <w:rFonts w:ascii="仿宋" w:cs="仿宋" w:eastAsia="仿宋" w:hAnsi="仿宋"/>
          <w:sz w:val="24"/>
          <w:szCs w:val="24"/>
          <w:color w:val="auto"/>
        </w:rPr>
        <w:t>月博鳌亚洲论坛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仿宋" w:cs="仿宋" w:eastAsia="仿宋" w:hAnsi="仿宋"/>
          <w:sz w:val="24"/>
          <w:szCs w:val="24"/>
          <w:color w:val="auto"/>
        </w:rPr>
        <w:t>货币政策的正常化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分论坛讲话。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中国金融四十人论坛，上海新金融研究院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中国金融改革报告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2015——</w:t>
      </w:r>
      <w:r>
        <w:rPr>
          <w:rFonts w:ascii="仿宋" w:cs="仿宋" w:eastAsia="仿宋" w:hAnsi="仿宋"/>
          <w:sz w:val="24"/>
          <w:szCs w:val="24"/>
          <w:color w:val="auto"/>
        </w:rPr>
        <w:t>中国经济发展与改革中的利率市场化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北京：中国金融出版社，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2015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Maxwell J.Fry, “Models of financially repressed developing economies”.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World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Development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1982,10(9):731-750.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Carmen Reinhart and Ioannis Tokatlidis. “Before and After Financial Liberalization”.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African Economies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5. 231-271, 1996.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*Enrica Detragiache, Abdul d Abiad and Thierry Tressel,“A New Database of Financial Reforms”, IMF Working Papers,2013</w:t>
      </w:r>
      <w:r>
        <w:rPr>
          <w:rFonts w:ascii="仿宋" w:cs="仿宋" w:eastAsia="仿宋" w:hAnsi="仿宋"/>
          <w:sz w:val="24"/>
          <w:szCs w:val="24"/>
          <w:color w:val="auto"/>
        </w:rPr>
        <w:t>．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*Jaewoon Koo, and Sunwoo Shin. “Financial Liberalization and Corporate Investments: Evidence from Korean Firm Data”.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Asian Economic Journal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18.3 ,2004.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*Wei Liao and Sampawende J Tapsoba, “China’s Monetary Policy and Interest Rate Liberalization: Lessons from International Experiences”, IMF Working Paper No. 14/75, 2014.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11. Towards a Clean Floating RENMINBI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管涛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人民币有贬值压力无贬值预期？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中国金融四十人论坛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.2018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缪延亮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从此岸到彼岸：人民币汇率如何实现清洁浮动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北京：中国金融出版社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.2019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87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3"/>
          <w:szCs w:val="23"/>
          <w:color w:val="auto"/>
        </w:rPr>
        <w:t>缪延亮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.Fear of floating, overshooting and fear: can exchange rate regime transitions be smooth?.</w:t>
      </w:r>
      <w:r>
        <w:rPr>
          <w:rFonts w:ascii="仿宋" w:cs="仿宋" w:eastAsia="仿宋" w:hAnsi="仿宋"/>
          <w:sz w:val="23"/>
          <w:szCs w:val="23"/>
          <w:color w:val="auto"/>
        </w:rPr>
        <w:t>人民银行与国际货币基金组织研讨会会议报告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.2017 </w:t>
      </w:r>
      <w:r>
        <w:rPr>
          <w:rFonts w:ascii="仿宋" w:cs="仿宋" w:eastAsia="仿宋" w:hAnsi="仿宋"/>
          <w:sz w:val="23"/>
          <w:szCs w:val="23"/>
          <w:color w:val="auto"/>
        </w:rPr>
        <w:t>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4 </w:t>
      </w:r>
      <w:r>
        <w:rPr>
          <w:rFonts w:ascii="仿宋" w:cs="仿宋" w:eastAsia="仿宋" w:hAnsi="仿宋"/>
          <w:sz w:val="23"/>
          <w:szCs w:val="23"/>
          <w:color w:val="auto"/>
        </w:rPr>
        <w:t>月。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潘功胜，跨境资本流动：挑战与应对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财新网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.2017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13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bookmarkStart w:id="14" w:name="page15"/>
    <w:bookmarkEnd w:id="14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易纲，汤弦，汇率制度的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仿宋" w:cs="仿宋" w:eastAsia="仿宋" w:hAnsi="仿宋"/>
          <w:sz w:val="24"/>
          <w:szCs w:val="24"/>
          <w:color w:val="auto"/>
        </w:rPr>
        <w:t>角点解假设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的一个理论基础，《金融研究》，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2001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08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易纲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改革开放三十年来人民币汇率体制的演变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中国经济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50 </w:t>
      </w:r>
      <w:r>
        <w:rPr>
          <w:rFonts w:ascii="仿宋" w:cs="仿宋" w:eastAsia="仿宋" w:hAnsi="仿宋"/>
          <w:sz w:val="24"/>
          <w:szCs w:val="24"/>
          <w:color w:val="auto"/>
        </w:rPr>
        <w:t>人看三十年：回顾与分析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北京：中国经济出版社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.2008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余永定、肖立晟，完成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“811 </w:t>
      </w:r>
      <w:r>
        <w:rPr>
          <w:rFonts w:ascii="仿宋" w:cs="仿宋" w:eastAsia="仿宋" w:hAnsi="仿宋"/>
          <w:sz w:val="24"/>
          <w:szCs w:val="24"/>
          <w:color w:val="auto"/>
        </w:rPr>
        <w:t>汇改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仿宋" w:cs="仿宋" w:eastAsia="仿宋" w:hAnsi="仿宋"/>
          <w:sz w:val="24"/>
          <w:szCs w:val="24"/>
          <w:color w:val="auto"/>
        </w:rPr>
        <w:t>：人民币汇率形成机制改革方向分析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国际经济评论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.2017 </w:t>
      </w:r>
      <w:r>
        <w:rPr>
          <w:rFonts w:ascii="仿宋" w:cs="仿宋" w:eastAsia="仿宋" w:hAnsi="仿宋"/>
          <w:sz w:val="24"/>
          <w:szCs w:val="24"/>
          <w:color w:val="auto"/>
        </w:rPr>
        <w:t>年第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 </w:t>
      </w:r>
      <w:r>
        <w:rPr>
          <w:rFonts w:ascii="仿宋" w:cs="仿宋" w:eastAsia="仿宋" w:hAnsi="仿宋"/>
          <w:sz w:val="24"/>
          <w:szCs w:val="24"/>
          <w:color w:val="auto"/>
        </w:rPr>
        <w:t>期。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Ötker-Robe and David Vávra, “Moving to Greater Exchange Rate Flexibility; Operational Aspects Based on Lessons from Detailed Country Experiences”. International Monetary Fund, 2007.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Stanley Fischer. “Exchange Rate Regimes: Is the Bipolar View Correct? ”, Journal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of Economic Perspectives,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Association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vol. 15.2 (2001): 3-24.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Calvo G A, Reinhart C M., “Fear of floating”.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Quarterly Journal of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2002, 117(2): 379-408.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Joshua Aizenman, Menzie David Chinn and Hiro Ito,“The emerging global financial architecture: Tracing and evaluating new patterns of the trilemma configuration”,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International Money and Finance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2010, 29(4): 615-641.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Rudiger Dornbusch, "Expectations and Exchange Rate Dynamics".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Political Economy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1976, 84 (6): 1161–1176.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Rudiger Dornbusch and Yung Chul Park, “Flexibility or nominal anchors? Exchange rate policies in emerging Asian countries”, 1999: 3-34.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Sebastian Edwards, “The order of liberalization of the external sector in developing countries”. Princeton Essays in International Finance, No.156, Princeton: Princeton University Press,1984.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Jeffrey A Frankel, “No single currency regime is right for all countries or at all times”. National Bureau of Economic Research, 1999.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Robert Mundell. “Capital Mobility and Stabilization Policy under Fixed and Flexible Exchange Rates”.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Canadian Journal of Economics and Political Science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1963, 29 (4):475-485.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Xuehui Han, Shang-Jin Wei, “International transmissions of monetary shocks: Between a trilemma and a dilemma”.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International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2018, 110: 205-219.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14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5" w:name="page16"/>
    <w:bookmarkEnd w:id="15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Michael W. Klein and Jay C. “Shambaugh. Rounding the corners of the policy trilemma: sources of monetary policy autonomy”.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Journal: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Macroeconomics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2015, 7(4): 33-66.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Paul Krugman, “A model of balance-of-payments crises. Journal of money, credit and banking”, 1979, 11(3): 311-325.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Paul Krugman, “Target zones and exchange rate dynamics”.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Quarterly Journal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of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1991, 106(3): 669-682.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9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Ronald Ian McKinnon, “The order of economic liberalization: lessons from Chile and Argentina”. Carnegie-Rochester Conference Series on Public Policy, Vol 17, Amsterdam, 1982</w:t>
      </w:r>
      <w:r>
        <w:rPr>
          <w:rFonts w:ascii="仿宋" w:cs="仿宋" w:eastAsia="仿宋" w:hAnsi="仿宋"/>
          <w:sz w:val="24"/>
          <w:szCs w:val="24"/>
          <w:color w:val="auto"/>
        </w:rPr>
        <w:t>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159-186.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Ronald Ian McKinnon, “The order of economic liberalization: financial control in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transition to a market economy”. Baltimore: Johns Hopkins University Press,1991.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John Williamson, “Exchange rate regimes for emerging markets: reviving the intermediate option”.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Peterson Institute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2000.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*Maurice Obstfeld and Kenneth Rogoff, “The mirage of fixed exchange rates”.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Journal of Economic Perspectives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1995, 9(4): 73-96.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360" w:right="126"/>
        <w:spacing w:after="0" w:line="287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第四大模块将关注中央银行的对外金融关系，聚焦国际货币体系与人民币国际化。大家应通过本章学习，深入理解全球货币格局变化，国际货币体系面临的问题，以及在此背景下人民币国际化的机遇与挑战。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International Monetary System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12. The problem of the current IMS and China’s implication for the IMS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640"/>
        <w:spacing w:after="0" w:line="292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周小川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国际金融危机：观察、分析与应对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北京：中国金融出版社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.2012</w:t>
      </w:r>
      <w:r>
        <w:rPr>
          <w:rFonts w:ascii="仿宋" w:cs="仿宋" w:eastAsia="仿宋" w:hAnsi="仿宋"/>
          <w:sz w:val="24"/>
          <w:szCs w:val="24"/>
          <w:color w:val="auto"/>
        </w:rPr>
        <w:t>。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Ben Bernanke, “The Global Saving Glut and the U.S. Current Account Deficit”, Sandridge Lecture, Virginia Association of Economics, Richmond, Virginia, Federal Reserve Board March 2005.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Barry Eichengreen, Arnaud Mehl, Livia Chitu,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How Global Currencies Work: Past,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Present, and Future,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Princeton University Press, 2017.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Barry Eichengreen,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Globalizing Capital: A History of the International Monetary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System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Princeton University Press; 3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rd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Edition, 2019.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Claudio Borio, “More pluralism, more stability?”.2016.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15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6" w:name="page17"/>
    <w:bookmarkEnd w:id="16"/>
    <w:p>
      <w:pPr>
        <w:spacing w:after="0" w:line="27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Gita Gopinath and Jeremy C. Stein, “Banking, Trade, and the Making of a Dominant Currency”. NBER Working Paper No. 24485.2018.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Linda Goldberg, Signe Krogstrup, John Lipsky, Hélène Rey, “Why is financial stability essential for key currencies in the international monetary system,” VOXEU 2014. </w:t>
      </w:r>
      <w:hyperlink r:id="rId2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http://voxeu.org/article/new-thinking-reserve-currency-status</w:t>
        </w:r>
      </w:hyperlink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Michael Bordo and Robert McCauley, “Triffin: dilemma or myth?”. BIS Working Papers No. 684. 2017.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Mark Carney, “The Evolution of the International Monetary System”. Remarks to the Foreign Policy Association, 19 November 2009.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Mark Carney, “The Growing Challenges for Monetary Policy in the current International Monetary and Financial System”. Jackson Hole Symposium 2019.23 August 2019.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Peter Kenen, “Reforming the global reserve regime: the role of a substitution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International Finance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13.1 (2010): 1-23.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Pierre-Olivier Gourinchas and Hélène Rey, “From world banker to world venture capitalist: US external adjustment and the exorbitant privilege”. NBER Working Paper No. w11563, 2005.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Stanley Fischer, “The Transmission of Exchange Rate Changes to Output and Inflation”, Monetary Policy Implementation and Transmission in the Post-Crisis Period conference, Federal Reserve System, Washington, DC. 2015.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Zhiguo He, Arvind Krishnamurthy, and Konstantin Milbradt, “A model of safe asset determination”.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American 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109.4 (2019): 1230-62.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360" w:right="346" w:firstLine="283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Ethan Ilzetzki, Carmen M. Reinhart, and Kenneth S. Rogoff, “Exchange arrangements entering the 21st century: Which anchor will hold?”. No. w23134. National Bureau of Economic Research, 2017.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13. RENMINBI Internationalization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680" w:right="686" w:hanging="47"/>
        <w:spacing w:after="0" w:line="288" w:lineRule="exact"/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</w:pPr>
      <w:r>
        <w:rPr>
          <w:rFonts w:ascii="仿宋" w:cs="仿宋" w:eastAsia="仿宋" w:hAnsi="仿宋"/>
          <w:sz w:val="24"/>
          <w:szCs w:val="24"/>
          <w:color w:val="auto"/>
        </w:rPr>
        <w:t>中国人民银行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.2019</w:t>
      </w:r>
      <w:r>
        <w:rPr>
          <w:rFonts w:ascii="仿宋" w:cs="仿宋" w:eastAsia="仿宋" w:hAnsi="仿宋"/>
          <w:sz w:val="24"/>
          <w:szCs w:val="24"/>
          <w:color w:val="auto"/>
        </w:rPr>
        <w:t>年人民币国际化报告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hyperlink r:id="rId30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http://www.pbc.gov.cn/huobizhengceersi/214481/3871621/3879422/index.html</w:t>
        </w:r>
      </w:hyperlink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88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周小川，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“ </w:t>
      </w:r>
      <w:r>
        <w:rPr>
          <w:rFonts w:ascii="仿宋" w:cs="仿宋" w:eastAsia="仿宋" w:hAnsi="仿宋"/>
          <w:sz w:val="24"/>
          <w:szCs w:val="24"/>
          <w:color w:val="auto"/>
        </w:rPr>
        <w:t>关于改革国际货币体系的思考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” </w:t>
      </w:r>
      <w:r>
        <w:rPr>
          <w:rFonts w:ascii="仿宋" w:cs="仿宋" w:eastAsia="仿宋" w:hAnsi="仿宋"/>
          <w:sz w:val="24"/>
          <w:szCs w:val="24"/>
          <w:color w:val="auto"/>
        </w:rPr>
        <w:t>，人民银行网站，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2009 </w:t>
      </w:r>
      <w:r>
        <w:rPr>
          <w:rFonts w:ascii="仿宋" w:cs="仿宋" w:eastAsia="仿宋" w:hAnsi="仿宋"/>
          <w:sz w:val="24"/>
          <w:szCs w:val="24"/>
          <w:color w:val="auto"/>
        </w:rPr>
        <w:t>年。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http://www.pbc.gov.cn/hanglingdao/128697/128719/128772/2847833/index.html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79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color w:val="auto"/>
        </w:rPr>
        <w:t>周小川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关于人民币跨境使用和走出去的若干问题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仿宋" w:cs="仿宋" w:eastAsia="仿宋" w:hAnsi="仿宋"/>
          <w:sz w:val="24"/>
          <w:szCs w:val="24"/>
          <w:color w:val="auto"/>
        </w:rPr>
        <w:t>人民银行乌鲁木齐支行专题报告会上的讲话。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</w:sectPr>
      </w:pP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16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432" w:gutter="0" w:footer="0" w:header="0"/>
          <w:type w:val="continuous"/>
        </w:sectPr>
      </w:pPr>
    </w:p>
    <w:bookmarkStart w:id="17" w:name="page18"/>
    <w:bookmarkEnd w:id="17"/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Emmanuel Farhi and Matteo Maggiori.“A Model of the International Monetary System”.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The Quarterly Journal of Economics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133(1): 295–355.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Emmanuel Farhi and Matteo Maggiori, “China vs. U.S.: IMS Meets IPS”. NBER Working Paper No. 25469. 2019.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Nobuhiro Kiyotaki, Akihiko Matsui and Kiminori Matsuyama, “Toward a theory of international currency,”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Review of Economic Studies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Vol. 60 (1993), pp. 283-307.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360" w:right="346" w:firstLine="283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Peter Kenen, “The role of the dollar as an international currency”,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Group of Thirty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Occasional Papers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no. 13, 1983.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360" w:right="366" w:firstLine="283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Devereux, Michael B., and Shouyong Shi, “Vehicle currency”.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International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Economic Review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2013, 54(1): 97-133.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17</w:t>
      </w:r>
    </w:p>
    <w:sectPr>
      <w:pgSz w:w="11900" w:h="16838" w:orient="portrait"/>
      <w:cols w:equalWidth="0" w:num="1">
        <w:col w:w="9026"/>
      </w:cols>
      <w:pgMar w:left="1440" w:top="1440" w:right="1440" w:bottom="43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1EB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BB3"/>
    <w:multiLevelType w:val="hybridMultilevel"/>
    <w:lvl w:ilvl="0">
      <w:lvlJc w:val="left"/>
      <w:lvlText w:val="%1."/>
      <w:numFmt w:val="lowerLetter"/>
      <w:start w:val="42"/>
    </w:lvl>
  </w:abstractNum>
  <w:abstractNum w:abstractNumId="2">
    <w:nsid w:val="2EA6"/>
    <w:multiLevelType w:val="hybridMultilevel"/>
    <w:lvl w:ilvl="0">
      <w:lvlJc w:val="left"/>
      <w:lvlText w:val="*"/>
      <w:numFmt w:val="bullet"/>
      <w:start w:val="1"/>
    </w:lvl>
  </w:abstractNum>
  <w:abstractNum w:abstractNumId="3">
    <w:nsid w:val="12DB"/>
    <w:multiLevelType w:val="hybridMultilevel"/>
    <w:lvl w:ilvl="0">
      <w:lvlJc w:val="left"/>
      <w:lvlText w:val="*"/>
      <w:numFmt w:val="bullet"/>
      <w:start w:val="1"/>
    </w:lvl>
  </w:abstractNum>
  <w:abstractNum w:abstractNumId="4">
    <w:nsid w:val="153C"/>
    <w:multiLevelType w:val="hybridMultilevel"/>
    <w:lvl w:ilvl="0">
      <w:lvlJc w:val="left"/>
      <w:lvlText w:val="%1."/>
      <w:numFmt w:val="lowerLetter"/>
      <w:start w:val="42"/>
    </w:lvl>
    <w:lvl w:ilvl="1">
      <w:lvlJc w:val="left"/>
      <w:lvlText w:val="*"/>
      <w:numFmt w:val="bullet"/>
      <w:start w:val="1"/>
    </w:lvl>
  </w:abstractNum>
  <w:abstractNum w:abstractNumId="5">
    <w:nsid w:val="7E87"/>
    <w:multiLevelType w:val="hybridMultilevel"/>
    <w:lvl w:ilvl="0">
      <w:lvlJc w:val="left"/>
      <w:lvlText w:val="*"/>
      <w:numFmt w:val="bullet"/>
      <w:start w:val="1"/>
    </w:lvl>
  </w:abstractNum>
  <w:abstractNum w:abstractNumId="6">
    <w:nsid w:val="390C"/>
    <w:multiLevelType w:val="hybridMultilevel"/>
    <w:lvl w:ilvl="0">
      <w:lvlJc w:val="left"/>
      <w:lvlText w:val="%1"/>
      <w:numFmt w:val="decimal"/>
      <w:start w:val="18"/>
    </w:lvl>
  </w:abstractNum>
  <w:abstractNum w:abstractNumId="7">
    <w:nsid w:val="F3E"/>
    <w:multiLevelType w:val="hybridMultilevel"/>
    <w:lvl w:ilvl="0">
      <w:lvlJc w:val="left"/>
      <w:lvlText w:val="*"/>
      <w:numFmt w:val="bullet"/>
      <w:start w:val="1"/>
    </w:lvl>
  </w:abstractNum>
  <w:abstractNum w:abstractNumId="8">
    <w:nsid w:val="99"/>
    <w:multiLevelType w:val="hybridMultilevel"/>
    <w:lvl w:ilvl="0">
      <w:lvlJc w:val="left"/>
      <w:lvlText w:val="%1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hyperlink" Target="http://www.jstor.org/view/00028282/di950055/95p0063u/0?currentResult=00028282%2bdi950055%2b95p0063u%2b0%2c00&amp;searchUrl=http%3A%2F%2Fwww.jstor.org%2Fsearch%2FAdvancedResults%3Fhp%3D25%26so%3DNewestFirst%26si%3D1%26All%3DBlinder%26Exact%3D%26One%3D%26None%3D%26au%3Don%26ar%3Don%26xc%3Don%26sd%3D%26ed%3D%26jt%3D%26dc%3DEconomics" TargetMode="External"/><Relationship Id="rId9" Type="http://schemas.openxmlformats.org/officeDocument/2006/relationships/hyperlink" Target="https://www.federalreserve.gov/newsevents/speech/powell20180824a.htm" TargetMode="External"/><Relationship Id="rId10" Type="http://schemas.openxmlformats.org/officeDocument/2006/relationships/hyperlink" Target="http://www.banque-france.fr/en/publications/financial-stability-review.html" TargetMode="External"/><Relationship Id="rId11" Type="http://schemas.openxmlformats.org/officeDocument/2006/relationships/hyperlink" Target="https://www.brookings.edu/wp-content/uploads/2016/06/16-monetary-policy-zero-lower-bound-williams.pdf" TargetMode="External"/><Relationship Id="rId12" Type="http://schemas.openxmlformats.org/officeDocument/2006/relationships/hyperlink" Target="https://www.federalreserve.gov/monetarypolicy/policy-normalization.htm" TargetMode="External"/><Relationship Id="rId13" Type="http://schemas.openxmlformats.org/officeDocument/2006/relationships/hyperlink" Target="http://www.brookings.edu/blogs/ben-bernanke/posts/2016/03/18-negative-interest-rates" TargetMode="External"/><Relationship Id="rId14" Type="http://schemas.openxmlformats.org/officeDocument/2006/relationships/hyperlink" Target="http://www.imf.org/en/Publications/Policy-Papers/Issues/2017/08/03/pp080317-negative-interest-rate-policies-initial-experiences-and-assessments" TargetMode="External"/><Relationship Id="rId15" Type="http://schemas.openxmlformats.org/officeDocument/2006/relationships/hyperlink" Target="https://research.chicagobooth.edu/igm/events/speakers/david-greenlaw" TargetMode="External"/><Relationship Id="rId16" Type="http://schemas.openxmlformats.org/officeDocument/2006/relationships/hyperlink" Target="https://research.chicagobooth.edu/igm/events/speakers/peter-hooper" TargetMode="External"/><Relationship Id="rId17" Type="http://schemas.openxmlformats.org/officeDocument/2006/relationships/hyperlink" Target="https://research.chicagobooth.edu/igm/events/speakers/frederic-s-mishkin" TargetMode="External"/><Relationship Id="rId18" Type="http://schemas.openxmlformats.org/officeDocument/2006/relationships/hyperlink" Target="https://research.chicagobooth.edu/igm/events/speakers/amir-sufi" TargetMode="External"/><Relationship Id="rId19" Type="http://schemas.openxmlformats.org/officeDocument/2006/relationships/hyperlink" Target="https://research.chicagobooth.edu/~/media/43F102F822844375A7476A8A2B0132A5.pdf" TargetMode="External"/><Relationship Id="rId20" Type="http://schemas.openxmlformats.org/officeDocument/2006/relationships/hyperlink" Target="https://doi.org/10.1016/j.rie.2017.04.003" TargetMode="External"/><Relationship Id="rId21" Type="http://schemas.openxmlformats.org/officeDocument/2006/relationships/hyperlink" Target="http://www.bis.org/publ/work337.pdf" TargetMode="External"/><Relationship Id="rId22" Type="http://schemas.openxmlformats.org/officeDocument/2006/relationships/hyperlink" Target="http://www.cfr.org/europe/role-european-central-bank/p28989" TargetMode="External"/><Relationship Id="rId23" Type="http://schemas.openxmlformats.org/officeDocument/2006/relationships/hyperlink" Target="http://www.voxeu.org/article/european-central-bank-lender-last-resort" TargetMode="External"/><Relationship Id="rId24" Type="http://schemas.openxmlformats.org/officeDocument/2006/relationships/hyperlink" Target="http://voxeu.org/article/ecb-grants-debt-relief-all-eurozone-nations-except-greece" TargetMode="External"/><Relationship Id="rId25" Type="http://schemas.openxmlformats.org/officeDocument/2006/relationships/hyperlink" Target="http://www.voxeu.org/article/grexit-staggering-cost-central-bank-dependence" TargetMode="External"/><Relationship Id="rId26" Type="http://schemas.openxmlformats.org/officeDocument/2006/relationships/hyperlink" Target="https://www.bbvaopenmind.com/wp-content/uploads/2016/02/BBVA-OpenMind-book-the-search-for-europe-contrasting-approaches.pdf" TargetMode="External"/><Relationship Id="rId27" Type="http://schemas.openxmlformats.org/officeDocument/2006/relationships/hyperlink" Target="http://www.pbc.gov.cn/rmyh/105145/index.html" TargetMode="External"/><Relationship Id="rId28" Type="http://schemas.openxmlformats.org/officeDocument/2006/relationships/hyperlink" Target="https://www.project-syndicate.org/commentary/china-central-bank-communication-exchange-rate-by-miao-yanliang-2019-03" TargetMode="External"/><Relationship Id="rId29" Type="http://schemas.openxmlformats.org/officeDocument/2006/relationships/hyperlink" Target="http://voxeu.org/article/new-thinking-reserve-currency-status" TargetMode="External"/><Relationship Id="rId30" Type="http://schemas.openxmlformats.org/officeDocument/2006/relationships/hyperlink" Target="http://www.pbc.gov.cn/huobizhengceersi/214481/3871621/3879422/index.htm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2020-01-17T11:08:14Z</dcterms:created>
  <dcterms:modified xsi:type="dcterms:W3CDTF">2020-01-17T11:08:14Z</dcterms:modified>
</cp:coreProperties>
</file>