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黑体" w:hAnsi="黑体" w:eastAsia="黑体" w:cs="Times New Roman"/>
          <w:color w:val="000000" w:themeColor="text1"/>
          <w:sz w:val="30"/>
          <w:szCs w:val="30"/>
          <w14:textFill>
            <w14:solidFill>
              <w14:schemeClr w14:val="tx1"/>
            </w14:solidFill>
          </w14:textFill>
        </w:rPr>
      </w:pPr>
    </w:p>
    <w:p>
      <w:pPr>
        <w:spacing w:line="480" w:lineRule="auto"/>
        <w:jc w:val="center"/>
        <w:rPr>
          <w:rFonts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高管校友网络与公司违约风险</w:t>
      </w:r>
    </w:p>
    <w:p>
      <w:pPr>
        <w:spacing w:line="480" w:lineRule="auto"/>
        <w:jc w:val="center"/>
        <w:rPr>
          <w:rFonts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——基于社会信任的分析</w:t>
      </w:r>
    </w:p>
    <w:p>
      <w:pPr>
        <w:spacing w:line="480" w:lineRule="auto"/>
        <w:jc w:val="center"/>
        <w:rPr>
          <w:rFonts w:ascii="Times New Roman" w:hAnsi="Times New Roman" w:eastAsia="楷体" w:cs="Times New Roman"/>
          <w:color w:val="000000" w:themeColor="text1"/>
          <w:sz w:val="28"/>
          <w:szCs w:val="28"/>
          <w:vertAlign w:val="superscript"/>
          <w14:textFill>
            <w14:solidFill>
              <w14:schemeClr w14:val="tx1"/>
            </w14:solidFill>
          </w14:textFill>
        </w:rPr>
      </w:pPr>
      <w:r>
        <w:rPr>
          <w:rFonts w:hint="default" w:ascii="Times New Roman" w:hAnsi="Times New Roman" w:eastAsia="楷体" w:cs="Times New Roman"/>
          <w:color w:val="000000" w:themeColor="text1"/>
          <w:sz w:val="28"/>
          <w:szCs w:val="28"/>
          <w14:textFill>
            <w14:solidFill>
              <w14:schemeClr w14:val="tx1"/>
            </w14:solidFill>
          </w14:textFill>
        </w:rPr>
        <w:t>陈胜蓝 刘晓玲 马慧</w:t>
      </w:r>
    </w:p>
    <w:p>
      <w:pPr>
        <w:widowControl/>
        <w:jc w:val="left"/>
        <w:rPr>
          <w:rFonts w:ascii="Times New Roman" w:hAnsi="Times New Roman" w:eastAsia="仿宋" w:cs="Times New Roman"/>
          <w:b/>
          <w:bCs/>
          <w:sz w:val="28"/>
          <w:szCs w:val="28"/>
        </w:rPr>
      </w:pPr>
    </w:p>
    <w:p>
      <w:pPr>
        <w:widowControl/>
        <w:jc w:val="left"/>
        <w:rPr>
          <w:rFonts w:ascii="Times New Roman" w:hAnsi="Times New Roman" w:eastAsia="仿宋" w:cs="Times New Roman"/>
          <w:b/>
          <w:bCs/>
          <w:sz w:val="28"/>
          <w:szCs w:val="28"/>
        </w:rPr>
      </w:pPr>
    </w:p>
    <w:p>
      <w:pPr>
        <w:widowControl/>
        <w:jc w:val="center"/>
        <w:rPr>
          <w:rFonts w:ascii="Times New Roman" w:hAnsi="Times New Roman" w:eastAsia="仿宋" w:cs="Times New Roman"/>
          <w:b/>
          <w:bCs/>
          <w:sz w:val="28"/>
          <w:szCs w:val="28"/>
        </w:rPr>
      </w:pPr>
      <w:r>
        <w:rPr>
          <w:rFonts w:hint="default" w:ascii="Times New Roman" w:hAnsi="Times New Roman" w:eastAsia="仿宋" w:cs="Times New Roman"/>
          <w:b/>
          <w:bCs/>
          <w:sz w:val="28"/>
          <w:szCs w:val="28"/>
        </w:rPr>
        <w:t>目 录</w:t>
      </w:r>
    </w:p>
    <w:p>
      <w:pPr>
        <w:pStyle w:val="25"/>
        <w:spacing w:line="240" w:lineRule="auto"/>
        <w:ind w:firstLine="643"/>
        <w:jc w:val="center"/>
        <w:rPr>
          <w:rFonts w:ascii="Times New Roman" w:hAnsi="Times New Roman" w:eastAsia="仿宋" w:cs="Times New Roman"/>
          <w:b/>
          <w:bCs/>
          <w:sz w:val="32"/>
          <w:szCs w:val="32"/>
        </w:rPr>
      </w:pPr>
    </w:p>
    <w:p>
      <w:pPr>
        <w:pStyle w:val="6"/>
        <w:tabs>
          <w:tab w:val="right" w:leader="dot" w:pos="8306"/>
        </w:tabs>
        <w:rPr>
          <w:rFonts w:ascii="Times New Roman" w:hAnsi="Times New Roman" w:eastAsia="仿宋" w:cs="Times New Roman"/>
        </w:rPr>
      </w:pPr>
      <w:r>
        <w:rPr>
          <w:rFonts w:hint="default" w:ascii="Times New Roman" w:hAnsi="Times New Roman" w:eastAsia="仿宋" w:cs="Times New Roman"/>
        </w:rPr>
        <w:t>附录I 中心度具体计算公式</w:t>
      </w:r>
      <w:r>
        <w:rPr>
          <w:rFonts w:hint="default" w:ascii="Times New Roman" w:hAnsi="Times New Roman" w:eastAsia="仿宋" w:cs="Times New Roman"/>
          <w:bCs/>
          <w:lang w:val="zh-CN"/>
        </w:rPr>
        <w:tab/>
      </w:r>
      <w:r>
        <w:rPr>
          <w:rFonts w:hint="default" w:ascii="Times New Roman" w:hAnsi="Times New Roman" w:eastAsia="仿宋" w:cs="Times New Roman"/>
          <w:bCs/>
          <w:lang w:val="zh-CN"/>
        </w:rPr>
        <w:t>1</w:t>
      </w:r>
    </w:p>
    <w:p>
      <w:pPr>
        <w:pStyle w:val="6"/>
        <w:tabs>
          <w:tab w:val="right" w:leader="dot" w:pos="8306"/>
        </w:tabs>
        <w:rPr>
          <w:rFonts w:ascii="Times New Roman" w:hAnsi="Times New Roman" w:eastAsia="仿宋" w:cs="Times New Roman"/>
        </w:rPr>
      </w:pPr>
      <w:r>
        <w:rPr>
          <w:rFonts w:hint="default" w:ascii="Times New Roman" w:hAnsi="Times New Roman" w:eastAsia="仿宋" w:cs="Times New Roman"/>
          <w:bCs/>
          <w:lang w:val="zh-CN"/>
        </w:rPr>
        <w:t>附录II 主要变量描述性统计</w:t>
      </w:r>
      <w:r>
        <w:rPr>
          <w:rFonts w:hint="default" w:ascii="Times New Roman" w:hAnsi="Times New Roman" w:eastAsia="仿宋" w:cs="Times New Roman"/>
          <w:bCs/>
          <w:lang w:val="zh-CN"/>
        </w:rPr>
        <w:tab/>
      </w:r>
      <w:r>
        <w:rPr>
          <w:rFonts w:hint="default" w:ascii="Times New Roman" w:hAnsi="Times New Roman" w:eastAsia="仿宋" w:cs="Times New Roman"/>
          <w:bCs/>
        </w:rPr>
        <w:t>2</w:t>
      </w: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widowControl/>
        <w:jc w:val="left"/>
        <w:rPr>
          <w:rFonts w:ascii="Times New Roman" w:hAnsi="Times New Roman" w:cs="Times New Roman"/>
        </w:rPr>
      </w:pPr>
    </w:p>
    <w:p>
      <w:pPr>
        <w:jc w:val="center"/>
        <w:rPr>
          <w:rFonts w:ascii="Times New Roman" w:hAnsi="Times New Roman" w:eastAsia="楷体" w:cs="Times New Roman"/>
          <w:sz w:val="28"/>
          <w:szCs w:val="28"/>
        </w:rPr>
      </w:pPr>
      <w:r>
        <w:rPr>
          <w:rFonts w:hint="default" w:ascii="Times New Roman" w:hAnsi="Times New Roman" w:eastAsia="楷体" w:cs="Times New Roman"/>
          <w:sz w:val="28"/>
          <w:szCs w:val="28"/>
        </w:rPr>
        <w:t>附录I 中心度具体计算公式</w:t>
      </w:r>
    </w:p>
    <w:p>
      <w:pPr>
        <w:ind w:firstLine="420" w:firstLineChars="200"/>
        <w:rPr>
          <w:rFonts w:ascii="Times New Roman" w:hAnsi="Times New Roman" w:eastAsia="仿宋" w:cs="Times New Roman"/>
        </w:rPr>
      </w:pPr>
      <w:r>
        <w:rPr>
          <w:rFonts w:hint="default" w:ascii="Times New Roman" w:hAnsi="Times New Roman" w:eastAsia="仿宋" w:cs="Times New Roman"/>
        </w:rPr>
        <w:t>度中心</w:t>
      </w:r>
      <w:r>
        <w:rPr>
          <w:rFonts w:hint="default" w:ascii="Times New Roman" w:hAnsi="Times New Roman" w:eastAsia="仿宋" w:cs="Times New Roman"/>
          <w:color w:val="auto"/>
          <w:rPrChange w:id="0" w:author="刘京" w:date="2023-09-27T11:51:43Z">
            <w:rPr>
              <w:rFonts w:hint="default" w:ascii="Times New Roman" w:hAnsi="Times New Roman" w:eastAsia="仿宋" w:cs="Times New Roman"/>
            </w:rPr>
          </w:rPrChange>
        </w:rPr>
        <w:t>度</w:t>
      </w:r>
      <w:r>
        <w:rPr>
          <w:rFonts w:hint="default" w:ascii="Times New Roman" w:hAnsi="Times New Roman" w:eastAsia="仿宋" w:cs="Times New Roman"/>
          <w:color w:val="auto"/>
          <w:rPrChange w:id="1" w:author="刘京" w:date="2023-09-27T11:51:43Z">
            <w:rPr>
              <w:rFonts w:hint="default" w:ascii="Times New Roman" w:hAnsi="Times New Roman" w:eastAsia="仿宋" w:cs="Times New Roman"/>
              <w:color w:val="FF0000"/>
            </w:rPr>
          </w:rPrChange>
        </w:rPr>
        <w:t>（Degree）</w:t>
      </w:r>
      <w:r>
        <w:rPr>
          <w:rFonts w:hint="default" w:ascii="Times New Roman" w:hAnsi="Times New Roman" w:eastAsia="仿宋" w:cs="Times New Roman"/>
        </w:rPr>
        <w:t>具体计算公式如下：</w:t>
      </w:r>
    </w:p>
    <w:p>
      <w:pPr>
        <w:ind w:firstLine="360" w:firstLineChars="200"/>
        <w:jc w:val="center"/>
        <w:rPr>
          <w:rFonts w:ascii="Times New Roman" w:hAnsi="Times New Roman" w:eastAsia="仿宋" w:cs="Times New Roman"/>
        </w:rPr>
      </w:pPr>
      <w:r>
        <w:rPr>
          <w:rFonts w:hint="default" w:ascii="Times New Roman" w:hAnsi="Times New Roman" w:eastAsia="宋体" w:cs="Times New Roman"/>
          <w:position w:val="-22"/>
          <w:sz w:val="18"/>
        </w:rPr>
        <w:t xml:space="preserve">                                  </w:t>
      </w:r>
      <w:r>
        <w:rPr>
          <w:rFonts w:ascii="Times New Roman" w:hAnsi="Times New Roman" w:eastAsia="宋体" w:cs="Times New Roman"/>
          <w:position w:val="-22"/>
          <w:sz w:val="18"/>
        </w:rPr>
        <w:object>
          <v:shape id="_x0000_i1025" o:spt="75" type="#_x0000_t75" style="height:29.95pt;width:59.9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Fonts w:hint="default" w:ascii="Times New Roman" w:hAnsi="Times New Roman" w:eastAsia="宋体" w:cs="Times New Roman"/>
          <w:position w:val="-22"/>
          <w:sz w:val="18"/>
        </w:rPr>
        <w:t>，</w:t>
      </w:r>
      <w:r>
        <w:rPr>
          <w:rFonts w:ascii="Times New Roman" w:hAnsi="Times New Roman" w:eastAsia="宋体" w:cs="Times New Roman"/>
          <w:sz w:val="18"/>
        </w:rPr>
        <w:t xml:space="preserve">                             </w:t>
      </w:r>
      <w:r>
        <w:rPr>
          <w:rFonts w:ascii="Times New Roman" w:hAnsi="Times New Roman" w:eastAsia="宋体" w:cs="Times New Roman"/>
          <w:szCs w:val="21"/>
        </w:rPr>
        <w:t xml:space="preserve">    (1)</w:t>
      </w:r>
    </w:p>
    <w:p>
      <w:pPr>
        <w:rPr>
          <w:rFonts w:ascii="Times New Roman" w:hAnsi="Times New Roman" w:eastAsia="仿宋" w:cs="Times New Roman"/>
        </w:rPr>
      </w:pPr>
      <w:r>
        <w:rPr>
          <w:rFonts w:hint="default" w:ascii="Times New Roman" w:hAnsi="Times New Roman" w:eastAsia="仿宋" w:cs="Times New Roman"/>
        </w:rPr>
        <w:t>其中，如果公司</w:t>
      </w:r>
      <w:r>
        <w:rPr>
          <w:rFonts w:hint="default" w:ascii="Times New Roman" w:hAnsi="Times New Roman" w:eastAsia="仿宋" w:cs="Times New Roman"/>
          <w:i/>
          <w:iCs/>
        </w:rPr>
        <w:t>i</w:t>
      </w:r>
      <w:r>
        <w:rPr>
          <w:rFonts w:hint="default" w:ascii="Times New Roman" w:hAnsi="Times New Roman" w:eastAsia="仿宋" w:cs="Times New Roman"/>
        </w:rPr>
        <w:t>和</w:t>
      </w:r>
      <w:r>
        <w:rPr>
          <w:rFonts w:hint="default" w:ascii="Times New Roman" w:hAnsi="Times New Roman" w:eastAsia="仿宋" w:cs="Times New Roman"/>
          <w:i/>
          <w:iCs/>
        </w:rPr>
        <w:t>j</w:t>
      </w:r>
      <w:r>
        <w:rPr>
          <w:rFonts w:hint="default" w:ascii="Times New Roman" w:hAnsi="Times New Roman" w:eastAsia="仿宋" w:cs="Times New Roman"/>
        </w:rPr>
        <w:t>之间存在校友关系，则</w:t>
      </w:r>
      <w:r>
        <w:rPr>
          <w:rFonts w:hint="default" w:ascii="Times New Roman" w:hAnsi="Times New Roman" w:eastAsia="仿宋" w:cs="Times New Roman"/>
          <w:i/>
          <w:iCs/>
        </w:rPr>
        <w:t>X</w:t>
      </w:r>
      <w:r>
        <w:rPr>
          <w:rFonts w:hint="default" w:ascii="Times New Roman" w:hAnsi="Times New Roman" w:eastAsia="仿宋" w:cs="Times New Roman"/>
          <w:i/>
          <w:iCs/>
          <w:vertAlign w:val="subscript"/>
        </w:rPr>
        <w:t>ij</w:t>
      </w:r>
      <w:r>
        <w:rPr>
          <w:rFonts w:hint="default" w:ascii="Times New Roman" w:hAnsi="Times New Roman" w:eastAsia="仿宋" w:cs="Times New Roman"/>
        </w:rPr>
        <w:t>=1，否则为0。</w:t>
      </w:r>
      <w:r>
        <w:rPr>
          <w:rFonts w:hint="default" w:ascii="Times New Roman" w:hAnsi="Times New Roman" w:eastAsia="仿宋" w:cs="Times New Roman"/>
          <w:i/>
          <w:iCs/>
        </w:rPr>
        <w:t>N</w:t>
      </w:r>
      <w:r>
        <w:rPr>
          <w:rFonts w:hint="default" w:ascii="Times New Roman" w:hAnsi="Times New Roman" w:eastAsia="仿宋" w:cs="Times New Roman"/>
        </w:rPr>
        <w:t>表示整个网络的公司数。</w:t>
      </w:r>
    </w:p>
    <w:p>
      <w:pPr>
        <w:ind w:firstLine="420" w:firstLineChars="200"/>
        <w:rPr>
          <w:rFonts w:ascii="Times New Roman" w:hAnsi="Times New Roman" w:eastAsia="仿宋" w:cs="Times New Roman"/>
        </w:rPr>
      </w:pPr>
      <w:r>
        <w:rPr>
          <w:rFonts w:hint="default" w:ascii="Times New Roman" w:hAnsi="Times New Roman" w:eastAsia="仿宋" w:cs="Times New Roman"/>
        </w:rPr>
        <w:t>接近中</w:t>
      </w:r>
      <w:r>
        <w:rPr>
          <w:rFonts w:hint="default" w:ascii="Times New Roman" w:hAnsi="Times New Roman" w:eastAsia="仿宋" w:cs="Times New Roman"/>
          <w:color w:val="auto"/>
          <w:rPrChange w:id="2" w:author="刘京" w:date="2023-09-27T11:51:46Z">
            <w:rPr>
              <w:rFonts w:hint="default" w:ascii="Times New Roman" w:hAnsi="Times New Roman" w:eastAsia="仿宋" w:cs="Times New Roman"/>
            </w:rPr>
          </w:rPrChange>
        </w:rPr>
        <w:t>心度</w:t>
      </w:r>
      <w:r>
        <w:rPr>
          <w:rFonts w:hint="default" w:ascii="Times New Roman" w:hAnsi="Times New Roman" w:eastAsia="仿宋" w:cs="Times New Roman"/>
          <w:color w:val="auto"/>
          <w:rPrChange w:id="3" w:author="刘京" w:date="2023-09-27T11:51:46Z">
            <w:rPr>
              <w:rFonts w:hint="default" w:ascii="Times New Roman" w:hAnsi="Times New Roman" w:eastAsia="仿宋" w:cs="Times New Roman"/>
              <w:color w:val="FF0000"/>
            </w:rPr>
          </w:rPrChange>
        </w:rPr>
        <w:t>（Closeness）</w:t>
      </w:r>
      <w:r>
        <w:rPr>
          <w:rFonts w:hint="default" w:ascii="Times New Roman" w:hAnsi="Times New Roman" w:eastAsia="仿宋" w:cs="Times New Roman"/>
          <w:color w:val="auto"/>
          <w:rPrChange w:id="4" w:author="刘京" w:date="2023-09-27T11:51:46Z">
            <w:rPr>
              <w:rFonts w:hint="default" w:ascii="Times New Roman" w:hAnsi="Times New Roman" w:eastAsia="仿宋" w:cs="Times New Roman"/>
            </w:rPr>
          </w:rPrChange>
        </w:rPr>
        <w:t>具</w:t>
      </w:r>
      <w:r>
        <w:rPr>
          <w:rFonts w:hint="default" w:ascii="Times New Roman" w:hAnsi="Times New Roman" w:eastAsia="仿宋" w:cs="Times New Roman"/>
        </w:rPr>
        <w:t>体计算公式如下：</w:t>
      </w:r>
    </w:p>
    <w:p>
      <w:pPr>
        <w:ind w:firstLine="3420" w:firstLineChars="1900"/>
        <w:rPr>
          <w:rFonts w:ascii="Times New Roman" w:hAnsi="Times New Roman" w:eastAsia="仿宋" w:cs="Times New Roman"/>
          <w:szCs w:val="21"/>
        </w:rPr>
      </w:pPr>
      <w:r>
        <w:rPr>
          <w:rFonts w:ascii="Times New Roman" w:hAnsi="Times New Roman" w:eastAsia="宋体" w:cs="Times New Roman"/>
          <w:position w:val="-32"/>
          <w:sz w:val="18"/>
        </w:rPr>
        <w:object>
          <v:shape id="_x0000_i1026" o:spt="75" type="#_x0000_t75" style="height:36.35pt;width:84.1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Fonts w:ascii="Times New Roman" w:hAnsi="Times New Roman" w:eastAsia="宋体" w:cs="Times New Roman"/>
          <w:sz w:val="18"/>
        </w:rPr>
        <w:t xml:space="preserve"> </w:t>
      </w:r>
      <w:r>
        <w:rPr>
          <w:rFonts w:hint="default" w:ascii="Times New Roman" w:hAnsi="Times New Roman" w:eastAsia="宋体" w:cs="Times New Roman"/>
          <w:sz w:val="18"/>
        </w:rPr>
        <w:t>，</w:t>
      </w:r>
      <w:r>
        <w:rPr>
          <w:rFonts w:ascii="Times New Roman" w:hAnsi="Times New Roman" w:eastAsia="宋体" w:cs="Times New Roman"/>
          <w:sz w:val="18"/>
        </w:rPr>
        <w:t xml:space="preserve">                            </w:t>
      </w:r>
      <w:r>
        <w:rPr>
          <w:rFonts w:ascii="Times New Roman" w:hAnsi="Times New Roman" w:eastAsia="宋体" w:cs="Times New Roman"/>
          <w:szCs w:val="21"/>
        </w:rPr>
        <w:t xml:space="preserve">  (2)</w:t>
      </w:r>
    </w:p>
    <w:p>
      <w:pPr>
        <w:rPr>
          <w:rFonts w:ascii="Times New Roman" w:hAnsi="Times New Roman" w:eastAsia="仿宋" w:cs="Times New Roman"/>
        </w:rPr>
      </w:pPr>
      <w:r>
        <w:rPr>
          <w:rFonts w:hint="default" w:ascii="Times New Roman" w:hAnsi="Times New Roman" w:eastAsia="仿宋" w:cs="Times New Roman"/>
        </w:rPr>
        <w:t>其中，</w:t>
      </w:r>
      <w:r>
        <w:rPr>
          <w:rFonts w:hint="default" w:ascii="Times New Roman" w:hAnsi="Times New Roman" w:eastAsia="仿宋" w:cs="Times New Roman"/>
          <w:i/>
          <w:iCs/>
        </w:rPr>
        <w:t>d</w:t>
      </w:r>
      <w:r>
        <w:rPr>
          <w:rFonts w:hint="default" w:ascii="Times New Roman" w:hAnsi="Times New Roman" w:eastAsia="仿宋" w:cs="Times New Roman"/>
          <w:i/>
          <w:iCs/>
          <w:vertAlign w:val="subscript"/>
        </w:rPr>
        <w:t>ij</w:t>
      </w:r>
      <w:r>
        <w:rPr>
          <w:rFonts w:hint="default" w:ascii="Times New Roman" w:hAnsi="Times New Roman" w:eastAsia="仿宋" w:cs="Times New Roman"/>
        </w:rPr>
        <w:t>是公司</w:t>
      </w:r>
      <w:r>
        <w:rPr>
          <w:rFonts w:hint="default" w:ascii="Times New Roman" w:hAnsi="Times New Roman" w:eastAsia="仿宋" w:cs="Times New Roman"/>
          <w:i/>
          <w:iCs/>
        </w:rPr>
        <w:t>i</w:t>
      </w:r>
      <w:r>
        <w:rPr>
          <w:rFonts w:hint="default" w:ascii="Times New Roman" w:hAnsi="Times New Roman" w:eastAsia="仿宋" w:cs="Times New Roman"/>
        </w:rPr>
        <w:t>和</w:t>
      </w:r>
      <w:r>
        <w:rPr>
          <w:rFonts w:hint="default" w:ascii="Times New Roman" w:hAnsi="Times New Roman" w:eastAsia="仿宋" w:cs="Times New Roman"/>
          <w:i/>
          <w:iCs/>
        </w:rPr>
        <w:t>j</w:t>
      </w:r>
      <w:r>
        <w:rPr>
          <w:rFonts w:hint="default" w:ascii="Times New Roman" w:hAnsi="Times New Roman" w:eastAsia="仿宋" w:cs="Times New Roman"/>
        </w:rPr>
        <w:t>之间的最短距离，</w:t>
      </w:r>
      <w:r>
        <w:rPr>
          <w:rFonts w:hint="default" w:ascii="Times New Roman" w:hAnsi="Times New Roman" w:eastAsia="仿宋" w:cs="Times New Roman"/>
          <w:i/>
          <w:iCs/>
        </w:rPr>
        <w:t>n</w:t>
      </w:r>
      <w:r>
        <w:rPr>
          <w:rFonts w:hint="default" w:ascii="Times New Roman" w:hAnsi="Times New Roman" w:eastAsia="仿宋" w:cs="Times New Roman"/>
        </w:rPr>
        <w:t>是组成部分</w:t>
      </w:r>
      <w:r>
        <w:rPr>
          <w:rFonts w:hint="default" w:ascii="Times New Roman" w:hAnsi="Times New Roman" w:eastAsia="仿宋" w:cs="Times New Roman"/>
          <w:i/>
          <w:iCs/>
        </w:rPr>
        <w:t>i</w:t>
      </w:r>
      <w:r>
        <w:rPr>
          <w:rFonts w:hint="default" w:ascii="Times New Roman" w:hAnsi="Times New Roman" w:eastAsia="仿宋" w:cs="Times New Roman"/>
        </w:rPr>
        <w:t>所属网络的公司数。</w:t>
      </w:r>
    </w:p>
    <w:p>
      <w:pPr>
        <w:ind w:firstLine="420" w:firstLineChars="200"/>
        <w:rPr>
          <w:rFonts w:ascii="Times New Roman" w:hAnsi="Times New Roman" w:eastAsia="仿宋" w:cs="Times New Roman"/>
        </w:rPr>
      </w:pPr>
      <w:r>
        <w:rPr>
          <w:rFonts w:hint="default" w:ascii="Times New Roman" w:hAnsi="Times New Roman" w:eastAsia="仿宋" w:cs="Times New Roman"/>
        </w:rPr>
        <w:t>中介中心度</w:t>
      </w:r>
      <w:r>
        <w:rPr>
          <w:rFonts w:hint="default" w:ascii="Times New Roman" w:hAnsi="Times New Roman" w:eastAsia="仿宋" w:cs="Times New Roman"/>
          <w:color w:val="auto"/>
          <w:rPrChange w:id="5" w:author="刘京" w:date="2023-09-27T11:51:48Z">
            <w:rPr>
              <w:rFonts w:hint="default" w:ascii="Times New Roman" w:hAnsi="Times New Roman" w:eastAsia="仿宋" w:cs="Times New Roman"/>
              <w:color w:val="FF0000"/>
            </w:rPr>
          </w:rPrChange>
        </w:rPr>
        <w:t>（Betweenness）</w:t>
      </w:r>
      <w:r>
        <w:rPr>
          <w:rFonts w:hint="default" w:ascii="Times New Roman" w:hAnsi="Times New Roman" w:eastAsia="仿宋" w:cs="Times New Roman"/>
        </w:rPr>
        <w:t>具体计算公式如下：</w:t>
      </w:r>
    </w:p>
    <w:p>
      <w:pPr>
        <w:ind w:firstLine="2700" w:firstLineChars="1500"/>
        <w:rPr>
          <w:rFonts w:ascii="Times New Roman" w:hAnsi="Times New Roman" w:eastAsia="仿宋" w:cs="Times New Roman"/>
        </w:rPr>
      </w:pPr>
      <w:r>
        <w:rPr>
          <w:rFonts w:ascii="Times New Roman" w:hAnsi="Times New Roman" w:eastAsia="宋体" w:cs="Times New Roman"/>
          <w:position w:val="-26"/>
          <w:sz w:val="18"/>
        </w:rPr>
        <w:object>
          <v:shape id="_x0000_i1027" o:spt="75" type="#_x0000_t75" style="height:35.65pt;width:131.9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rPr>
          <w:rFonts w:ascii="Times New Roman" w:hAnsi="Times New Roman" w:eastAsia="宋体" w:cs="Times New Roman"/>
          <w:sz w:val="18"/>
        </w:rPr>
        <w:t xml:space="preserve"> </w:t>
      </w:r>
      <w:r>
        <w:rPr>
          <w:rFonts w:hint="default" w:ascii="Times New Roman" w:hAnsi="Times New Roman" w:eastAsia="宋体" w:cs="Times New Roman"/>
          <w:sz w:val="18"/>
        </w:rPr>
        <w:t>，</w:t>
      </w:r>
      <w:r>
        <w:rPr>
          <w:rFonts w:ascii="Times New Roman" w:hAnsi="Times New Roman" w:eastAsia="宋体" w:cs="Times New Roman"/>
          <w:sz w:val="18"/>
        </w:rPr>
        <w:t xml:space="preserve">                     </w:t>
      </w:r>
      <w:r>
        <w:rPr>
          <w:rFonts w:ascii="Times New Roman" w:hAnsi="Times New Roman" w:eastAsia="宋体" w:cs="Times New Roman"/>
          <w:szCs w:val="21"/>
        </w:rPr>
        <w:t xml:space="preserve">      (3)</w:t>
      </w:r>
    </w:p>
    <w:p>
      <w:pPr>
        <w:rPr>
          <w:rFonts w:ascii="Times New Roman" w:hAnsi="Times New Roman" w:eastAsia="仿宋" w:cs="Times New Roman"/>
        </w:rPr>
      </w:pPr>
      <w:r>
        <w:rPr>
          <w:rFonts w:hint="default" w:ascii="Times New Roman" w:hAnsi="Times New Roman" w:eastAsia="仿宋" w:cs="Times New Roman"/>
        </w:rPr>
        <w:t>其中，</w:t>
      </w:r>
      <w:r>
        <w:rPr>
          <w:rFonts w:hint="default" w:ascii="Times New Roman" w:hAnsi="Times New Roman" w:eastAsia="仿宋" w:cs="Times New Roman"/>
          <w:i/>
          <w:iCs/>
        </w:rPr>
        <w:t>P</w:t>
      </w:r>
      <w:r>
        <w:rPr>
          <w:rFonts w:hint="default" w:ascii="Times New Roman" w:hAnsi="Times New Roman" w:eastAsia="仿宋" w:cs="Times New Roman"/>
          <w:i/>
          <w:iCs/>
          <w:vertAlign w:val="subscript"/>
        </w:rPr>
        <w:t>ij</w:t>
      </w:r>
      <w:r>
        <w:rPr>
          <w:rFonts w:hint="default" w:ascii="Times New Roman" w:hAnsi="Times New Roman" w:eastAsia="仿宋" w:cs="Times New Roman"/>
        </w:rPr>
        <w:t>是公司</w:t>
      </w:r>
      <w:r>
        <w:rPr>
          <w:rFonts w:hint="default" w:ascii="Times New Roman" w:hAnsi="Times New Roman" w:eastAsia="仿宋" w:cs="Times New Roman"/>
          <w:i/>
          <w:iCs/>
        </w:rPr>
        <w:t>i</w:t>
      </w:r>
      <w:r>
        <w:rPr>
          <w:rFonts w:hint="default" w:ascii="Times New Roman" w:hAnsi="Times New Roman" w:eastAsia="仿宋" w:cs="Times New Roman"/>
        </w:rPr>
        <w:t>与</w:t>
      </w:r>
      <w:r>
        <w:rPr>
          <w:rFonts w:hint="default" w:ascii="Times New Roman" w:hAnsi="Times New Roman" w:eastAsia="仿宋" w:cs="Times New Roman"/>
          <w:i/>
          <w:iCs/>
        </w:rPr>
        <w:t>j</w:t>
      </w:r>
      <w:r>
        <w:rPr>
          <w:rFonts w:hint="default" w:ascii="Times New Roman" w:hAnsi="Times New Roman" w:eastAsia="仿宋" w:cs="Times New Roman"/>
        </w:rPr>
        <w:t>之间最短路径的总数量，</w:t>
      </w:r>
      <w:r>
        <w:rPr>
          <w:rFonts w:hint="default" w:ascii="Times New Roman" w:hAnsi="Times New Roman" w:eastAsia="仿宋" w:cs="Times New Roman"/>
          <w:i/>
          <w:iCs/>
        </w:rPr>
        <w:t>P</w:t>
      </w:r>
      <w:r>
        <w:rPr>
          <w:rFonts w:hint="default" w:ascii="Times New Roman" w:hAnsi="Times New Roman" w:eastAsia="仿宋" w:cs="Times New Roman"/>
          <w:i/>
          <w:iCs/>
          <w:vertAlign w:val="subscript"/>
        </w:rPr>
        <w:t>ij(k)</w:t>
      </w:r>
      <w:r>
        <w:rPr>
          <w:rFonts w:hint="default" w:ascii="Times New Roman" w:hAnsi="Times New Roman" w:eastAsia="仿宋" w:cs="Times New Roman"/>
        </w:rPr>
        <w:t>是公司</w:t>
      </w:r>
      <w:r>
        <w:rPr>
          <w:rFonts w:hint="default" w:ascii="Times New Roman" w:hAnsi="Times New Roman" w:eastAsia="仿宋" w:cs="Times New Roman"/>
          <w:i/>
          <w:iCs/>
        </w:rPr>
        <w:t>i</w:t>
      </w:r>
      <w:r>
        <w:rPr>
          <w:rFonts w:hint="default" w:ascii="Times New Roman" w:hAnsi="Times New Roman" w:eastAsia="仿宋" w:cs="Times New Roman"/>
        </w:rPr>
        <w:t>与</w:t>
      </w:r>
      <w:r>
        <w:rPr>
          <w:rFonts w:hint="default" w:ascii="Times New Roman" w:hAnsi="Times New Roman" w:eastAsia="仿宋" w:cs="Times New Roman"/>
          <w:i/>
          <w:iCs/>
        </w:rPr>
        <w:t>j</w:t>
      </w:r>
      <w:r>
        <w:rPr>
          <w:rFonts w:hint="default" w:ascii="Times New Roman" w:hAnsi="Times New Roman" w:eastAsia="仿宋" w:cs="Times New Roman"/>
        </w:rPr>
        <w:t>之间必须通过节点</w:t>
      </w:r>
      <w:r>
        <w:rPr>
          <w:rFonts w:hint="default" w:ascii="Times New Roman" w:hAnsi="Times New Roman" w:eastAsia="仿宋" w:cs="Times New Roman"/>
          <w:i/>
          <w:iCs/>
        </w:rPr>
        <w:t>k</w:t>
      </w:r>
      <w:r>
        <w:rPr>
          <w:rFonts w:hint="default" w:ascii="Times New Roman" w:hAnsi="Times New Roman" w:eastAsia="仿宋" w:cs="Times New Roman"/>
        </w:rPr>
        <w:t>的最短路径数。</w:t>
      </w:r>
    </w:p>
    <w:p>
      <w:pPr>
        <w:ind w:firstLine="420" w:firstLineChars="200"/>
        <w:rPr>
          <w:rFonts w:ascii="Times New Roman" w:hAnsi="Times New Roman" w:eastAsia="仿宋" w:cs="Times New Roman"/>
        </w:rPr>
      </w:pPr>
      <w:r>
        <w:rPr>
          <w:rFonts w:hint="default" w:ascii="Times New Roman" w:hAnsi="Times New Roman" w:eastAsia="仿宋" w:cs="Times New Roman"/>
        </w:rPr>
        <w:t>特征向量</w:t>
      </w:r>
      <w:r>
        <w:rPr>
          <w:rFonts w:hint="default" w:ascii="Times New Roman" w:hAnsi="Times New Roman" w:eastAsia="仿宋" w:cs="Times New Roman"/>
          <w:color w:val="auto"/>
          <w:rPrChange w:id="6" w:author="刘京" w:date="2023-09-27T11:51:51Z">
            <w:rPr>
              <w:rFonts w:hint="default" w:ascii="Times New Roman" w:hAnsi="Times New Roman" w:eastAsia="仿宋" w:cs="Times New Roman"/>
            </w:rPr>
          </w:rPrChange>
        </w:rPr>
        <w:t>中心度</w:t>
      </w:r>
      <w:r>
        <w:rPr>
          <w:rFonts w:hint="default" w:ascii="Times New Roman" w:hAnsi="Times New Roman" w:eastAsia="仿宋" w:cs="Times New Roman"/>
          <w:color w:val="auto"/>
          <w:rPrChange w:id="7" w:author="刘京" w:date="2023-09-27T11:51:51Z">
            <w:rPr>
              <w:rFonts w:hint="default" w:ascii="Times New Roman" w:hAnsi="Times New Roman" w:eastAsia="仿宋" w:cs="Times New Roman"/>
              <w:color w:val="FF0000"/>
            </w:rPr>
          </w:rPrChange>
        </w:rPr>
        <w:t>（Eigenvector）</w:t>
      </w:r>
      <w:r>
        <w:rPr>
          <w:rFonts w:hint="default" w:ascii="Times New Roman" w:hAnsi="Times New Roman" w:eastAsia="仿宋" w:cs="Times New Roman"/>
        </w:rPr>
        <w:t>具体计算公式如下：</w:t>
      </w:r>
    </w:p>
    <w:p>
      <w:pPr>
        <w:ind w:firstLine="3600" w:firstLineChars="2000"/>
        <w:rPr>
          <w:rFonts w:ascii="Times New Roman" w:hAnsi="Times New Roman" w:eastAsia="仿宋" w:cs="Times New Roman"/>
          <w:szCs w:val="21"/>
        </w:rPr>
      </w:pPr>
      <w:r>
        <w:rPr>
          <w:rFonts w:ascii="Times New Roman" w:hAnsi="Times New Roman" w:eastAsia="宋体" w:cs="Times New Roman"/>
          <w:position w:val="-26"/>
          <w:sz w:val="18"/>
        </w:rPr>
        <w:object>
          <v:shape id="_x0000_i1028" o:spt="75" type="#_x0000_t75" style="height:25.65pt;width:70.55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r>
        <w:rPr>
          <w:rFonts w:ascii="Times New Roman" w:hAnsi="Times New Roman" w:eastAsia="宋体" w:cs="Times New Roman"/>
          <w:sz w:val="18"/>
        </w:rPr>
        <w:t xml:space="preserve"> </w:t>
      </w:r>
      <w:r>
        <w:rPr>
          <w:rFonts w:hint="default" w:ascii="Times New Roman" w:hAnsi="Times New Roman" w:eastAsia="宋体" w:cs="Times New Roman"/>
          <w:sz w:val="18"/>
        </w:rPr>
        <w:t>，</w:t>
      </w:r>
      <w:r>
        <w:rPr>
          <w:rFonts w:ascii="Times New Roman" w:hAnsi="Times New Roman" w:eastAsia="宋体" w:cs="Times New Roman"/>
          <w:sz w:val="18"/>
        </w:rPr>
        <w:t xml:space="preserve">     </w:t>
      </w:r>
      <w:r>
        <w:rPr>
          <w:rFonts w:hint="default" w:ascii="Times New Roman" w:hAnsi="Times New Roman" w:eastAsia="宋体" w:cs="Times New Roman"/>
          <w:sz w:val="18"/>
        </w:rPr>
        <w:t xml:space="preserve">          </w:t>
      </w:r>
      <w:r>
        <w:rPr>
          <w:rFonts w:ascii="Times New Roman" w:hAnsi="Times New Roman" w:eastAsia="宋体" w:cs="Times New Roman"/>
          <w:sz w:val="18"/>
        </w:rPr>
        <w:t xml:space="preserve">  </w:t>
      </w:r>
      <w:bookmarkStart w:id="2" w:name="_GoBack"/>
      <w:bookmarkEnd w:id="2"/>
      <w:r>
        <w:rPr>
          <w:rFonts w:ascii="Times New Roman" w:hAnsi="Times New Roman" w:eastAsia="宋体" w:cs="Times New Roman"/>
          <w:sz w:val="18"/>
        </w:rPr>
        <w:t xml:space="preserve">          </w:t>
      </w:r>
      <w:r>
        <w:rPr>
          <w:rFonts w:ascii="Times New Roman" w:hAnsi="Times New Roman" w:eastAsia="宋体" w:cs="Times New Roman"/>
          <w:szCs w:val="21"/>
        </w:rPr>
        <w:t xml:space="preserve">    (4)</w:t>
      </w:r>
    </w:p>
    <w:p>
      <w:pPr>
        <w:rPr>
          <w:rFonts w:ascii="Times New Roman" w:hAnsi="Times New Roman" w:eastAsia="宋体" w:cs="Times New Roman"/>
        </w:rPr>
      </w:pPr>
      <w:r>
        <w:rPr>
          <w:rFonts w:hint="default" w:ascii="Times New Roman" w:hAnsi="Times New Roman" w:eastAsia="仿宋" w:cs="Times New Roman"/>
        </w:rPr>
        <w:t>其中，</w:t>
      </w:r>
      <w:r>
        <w:rPr>
          <w:rFonts w:ascii="Times New Roman" w:hAnsi="Times New Roman" w:eastAsia="仿宋" w:cs="Times New Roman"/>
          <w:i/>
          <w:iCs/>
        </w:rPr>
        <w:t>λ</w:t>
      </w:r>
      <w:r>
        <w:rPr>
          <w:rFonts w:hint="default" w:ascii="Times New Roman" w:hAnsi="Times New Roman" w:eastAsia="仿宋" w:cs="Times New Roman"/>
        </w:rPr>
        <w:t>表示比例因子，并且如果公司</w:t>
      </w:r>
      <w:r>
        <w:rPr>
          <w:rFonts w:hint="default" w:ascii="Times New Roman" w:hAnsi="Times New Roman" w:eastAsia="仿宋" w:cs="Times New Roman"/>
          <w:i/>
          <w:iCs/>
        </w:rPr>
        <w:t>i</w:t>
      </w:r>
      <w:r>
        <w:rPr>
          <w:rFonts w:hint="default" w:ascii="Times New Roman" w:hAnsi="Times New Roman" w:eastAsia="仿宋" w:cs="Times New Roman"/>
        </w:rPr>
        <w:t>与</w:t>
      </w:r>
      <w:r>
        <w:rPr>
          <w:rFonts w:hint="default" w:ascii="Times New Roman" w:hAnsi="Times New Roman" w:eastAsia="仿宋" w:cs="Times New Roman"/>
          <w:i/>
          <w:iCs/>
        </w:rPr>
        <w:t>j</w:t>
      </w:r>
      <w:r>
        <w:rPr>
          <w:rFonts w:hint="default" w:ascii="Times New Roman" w:hAnsi="Times New Roman" w:eastAsia="仿宋" w:cs="Times New Roman"/>
        </w:rPr>
        <w:t>之间存在联系，则</w:t>
      </w:r>
      <w:r>
        <w:rPr>
          <w:rFonts w:hint="default" w:ascii="Times New Roman" w:hAnsi="Times New Roman" w:eastAsia="仿宋" w:cs="Times New Roman"/>
          <w:i/>
          <w:iCs/>
        </w:rPr>
        <w:t>X</w:t>
      </w:r>
      <w:r>
        <w:rPr>
          <w:rFonts w:hint="default" w:ascii="Times New Roman" w:hAnsi="Times New Roman" w:eastAsia="仿宋" w:cs="Times New Roman"/>
          <w:i/>
          <w:iCs/>
          <w:vertAlign w:val="subscript"/>
        </w:rPr>
        <w:t>ij</w:t>
      </w:r>
      <w:r>
        <w:rPr>
          <w:rFonts w:hint="default" w:ascii="Times New Roman" w:hAnsi="Times New Roman" w:eastAsia="仿宋" w:cs="Times New Roman"/>
        </w:rPr>
        <w:t>=1，否则为0。</w:t>
      </w:r>
    </w:p>
    <w:p>
      <w:pPr>
        <w:widowControl/>
        <w:jc w:val="left"/>
        <w:rPr>
          <w:rFonts w:ascii="Times New Roman" w:hAnsi="Times New Roman" w:eastAsia="宋体"/>
        </w:rPr>
      </w:pPr>
      <w:r>
        <w:rPr>
          <w:rFonts w:ascii="Times New Roman" w:hAnsi="Times New Roman" w:eastAsia="宋体"/>
        </w:rPr>
        <w:br w:type="page"/>
      </w:r>
    </w:p>
    <w:p>
      <w:pPr>
        <w:jc w:val="center"/>
        <w:rPr>
          <w:rFonts w:ascii="Times New Roman" w:hAnsi="Times New Roman" w:eastAsia="楷体" w:cs="Times New Roman"/>
          <w:sz w:val="28"/>
          <w:szCs w:val="28"/>
        </w:rPr>
      </w:pPr>
      <w:r>
        <w:rPr>
          <w:rFonts w:hint="default" w:ascii="Times New Roman" w:hAnsi="Times New Roman" w:eastAsia="楷体" w:cs="Times New Roman"/>
          <w:sz w:val="28"/>
          <w:szCs w:val="28"/>
        </w:rPr>
        <w:t>附录II 主要变量描述性统计</w:t>
      </w:r>
    </w:p>
    <w:p>
      <w:pPr>
        <w:ind w:firstLine="420" w:firstLineChars="200"/>
        <w:rPr>
          <w:rFonts w:ascii="Times New Roman" w:hAnsi="Times New Roman" w:eastAsia="仿宋" w:cs="Times New Roman"/>
        </w:rPr>
      </w:pPr>
      <w:r>
        <w:rPr>
          <w:rFonts w:hint="default" w:ascii="Times New Roman" w:hAnsi="Times New Roman" w:eastAsia="仿宋" w:cs="Times New Roman"/>
        </w:rPr>
        <w:t>表II1的Panel A报告了</w:t>
      </w:r>
      <w:bookmarkStart w:id="0" w:name="OLE_LINK7"/>
      <w:bookmarkStart w:id="1" w:name="OLE_LINK8"/>
      <w:r>
        <w:rPr>
          <w:rFonts w:hint="default" w:ascii="Times New Roman" w:hAnsi="Times New Roman" w:eastAsia="仿宋" w:cs="Times New Roman"/>
        </w:rPr>
        <w:t>样本期内基本回归模型中包含变量的描述性统计</w:t>
      </w:r>
      <w:bookmarkEnd w:id="0"/>
      <w:bookmarkEnd w:id="1"/>
      <w:r>
        <w:rPr>
          <w:rFonts w:hint="default" w:ascii="Times New Roman" w:hAnsi="Times New Roman" w:eastAsia="仿宋" w:cs="Times New Roman"/>
        </w:rPr>
        <w:t>结果。从Panel A可以看出，本文样本中公司预期违约频率（</w:t>
      </w:r>
      <w:r>
        <w:rPr>
          <w:rFonts w:hint="default" w:ascii="Times New Roman" w:hAnsi="Times New Roman" w:eastAsia="仿宋" w:cs="Times New Roman"/>
          <w:i/>
          <w:iCs/>
        </w:rPr>
        <w:t>EDF</w:t>
      </w:r>
      <w:r>
        <w:rPr>
          <w:rFonts w:hint="default" w:ascii="Times New Roman" w:hAnsi="Times New Roman" w:eastAsia="仿宋" w:cs="Times New Roman"/>
        </w:rPr>
        <w:t>）的均值为1.26%，标准差为8.98%，分布与Brogaard et al.（2017）基本一致。对于中心度变量，度中心度（</w:t>
      </w:r>
      <w:r>
        <w:rPr>
          <w:rFonts w:hint="default" w:ascii="Times New Roman" w:hAnsi="Times New Roman" w:eastAsia="仿宋" w:cs="Times New Roman"/>
          <w:i/>
          <w:iCs/>
        </w:rPr>
        <w:t>Degree</w:t>
      </w:r>
      <w:r>
        <w:rPr>
          <w:rFonts w:hint="default" w:ascii="Times New Roman" w:hAnsi="Times New Roman" w:eastAsia="仿宋" w:cs="Times New Roman"/>
        </w:rPr>
        <w:t>）的均值（中值）为0.0649（0.0516），接近中心度（</w:t>
      </w:r>
      <w:r>
        <w:rPr>
          <w:rFonts w:hint="default" w:ascii="Times New Roman" w:hAnsi="Times New Roman" w:eastAsia="仿宋" w:cs="Times New Roman"/>
          <w:i/>
          <w:iCs/>
        </w:rPr>
        <w:t>Closeness</w:t>
      </w:r>
      <w:r>
        <w:rPr>
          <w:rFonts w:hint="default" w:ascii="Times New Roman" w:hAnsi="Times New Roman" w:eastAsia="仿宋" w:cs="Times New Roman"/>
        </w:rPr>
        <w:t>）的均值（中值）为0.4557（0.4696），中介中心度（Betweenness）的均值（中值）为0.0010（0.0000），特征向量中心度（</w:t>
      </w:r>
      <w:r>
        <w:rPr>
          <w:rFonts w:hint="default" w:ascii="Times New Roman" w:hAnsi="Times New Roman" w:eastAsia="仿宋" w:cs="Times New Roman"/>
          <w:i/>
          <w:iCs/>
        </w:rPr>
        <w:t>Eigenvector</w:t>
      </w:r>
      <w:r>
        <w:rPr>
          <w:rFonts w:hint="default" w:ascii="Times New Roman" w:hAnsi="Times New Roman" w:eastAsia="仿宋" w:cs="Times New Roman"/>
        </w:rPr>
        <w:t>）的均值（中值）为0.0233（0.0165）。对于控制变量，公司权益市场价值的均值（中值）为22.4486（22.3358），负债账面价值的均值（中值）为21.0430（20.9301），股票回报波动率的均值（中值）为0.1275（0.1353），资产回报率的均值（中值）为3.85%（3.55%），超额回报率的均值（中值）为-0.0023（-0.0036）。</w:t>
      </w:r>
    </w:p>
    <w:p>
      <w:pPr>
        <w:ind w:firstLine="420" w:firstLineChars="200"/>
        <w:rPr>
          <w:rFonts w:ascii="Times New Roman" w:hAnsi="Times New Roman" w:eastAsia="仿宋" w:cs="Times New Roman"/>
        </w:rPr>
      </w:pPr>
      <w:r>
        <w:rPr>
          <w:rFonts w:hint="default" w:ascii="Times New Roman" w:hAnsi="Times New Roman" w:eastAsia="仿宋" w:cs="Times New Roman"/>
        </w:rPr>
        <w:t>表II1的Panel B报告了四种中心度变量的相关性系数。由Panel B可知，上市公司之间由高管校友关系构建的网络中心度变量之间展现了高度的相关性。也就是说，在公司校友网络中，如果公司与更多公司具有直接关联（连接的数量更多），该公司也更接近其他公司，更可能位于关键的中介位置（处于中心位置），而且，该公司与其关联的公司更可能连接较多的公司（质量较高）。这种特征导致网络中心度的相关文献在研究设计上不适合把四个中心度变量同时放入一个回归模型中，而是通过主成分分析方法考察不同中心度变量的联合影响。因此，依据已有研究（Larcker et al.，2013），本文对四个中心度变量进行了主成分分析，结果如Panel C所示。第一主成分（特征值大于1的唯一部分）捕捉到</w:t>
      </w:r>
      <w:r>
        <w:rPr>
          <w:rFonts w:hint="default" w:ascii="Times New Roman" w:hAnsi="Times New Roman" w:eastAsia="仿宋" w:cs="Times New Roman"/>
          <w:i/>
          <w:iCs/>
        </w:rPr>
        <w:t>Degree</w:t>
      </w:r>
      <w:r>
        <w:rPr>
          <w:rFonts w:hint="default" w:ascii="Times New Roman" w:hAnsi="Times New Roman" w:eastAsia="仿宋" w:cs="Times New Roman"/>
        </w:rPr>
        <w:t>、</w:t>
      </w:r>
      <w:r>
        <w:rPr>
          <w:rFonts w:hint="default" w:ascii="Times New Roman" w:hAnsi="Times New Roman" w:eastAsia="仿宋" w:cs="Times New Roman"/>
          <w:i/>
          <w:iCs/>
        </w:rPr>
        <w:t>Closeness</w:t>
      </w:r>
      <w:r>
        <w:rPr>
          <w:rFonts w:hint="default" w:ascii="Times New Roman" w:hAnsi="Times New Roman" w:eastAsia="仿宋" w:cs="Times New Roman"/>
        </w:rPr>
        <w:t>、</w:t>
      </w:r>
      <w:r>
        <w:rPr>
          <w:rFonts w:hint="default" w:ascii="Times New Roman" w:hAnsi="Times New Roman" w:eastAsia="仿宋" w:cs="Times New Roman"/>
          <w:i/>
          <w:iCs/>
        </w:rPr>
        <w:t>Betweenness</w:t>
      </w:r>
      <w:r>
        <w:rPr>
          <w:rFonts w:hint="default" w:ascii="Times New Roman" w:hAnsi="Times New Roman" w:eastAsia="仿宋" w:cs="Times New Roman"/>
        </w:rPr>
        <w:t>和</w:t>
      </w:r>
      <w:r>
        <w:rPr>
          <w:rFonts w:hint="default" w:ascii="Times New Roman" w:hAnsi="Times New Roman" w:eastAsia="仿宋" w:cs="Times New Roman"/>
          <w:i/>
          <w:iCs/>
        </w:rPr>
        <w:t>Eigenvector</w:t>
      </w:r>
      <w:r>
        <w:rPr>
          <w:rFonts w:hint="default" w:ascii="Times New Roman" w:hAnsi="Times New Roman" w:eastAsia="仿宋" w:cs="Times New Roman"/>
        </w:rPr>
        <w:t>四种中心度方差的70%以上。由于每一个指标的因子基本相同，本文将第一主成分（PC1）作为衡量公司在校友关系网络中重要性的总体指标。</w:t>
      </w:r>
    </w:p>
    <w:p>
      <w:pPr>
        <w:ind w:firstLine="420" w:firstLineChars="200"/>
        <w:rPr>
          <w:rFonts w:ascii="Times New Roman" w:hAnsi="Times New Roman" w:eastAsia="仿宋" w:cs="Times New Roman"/>
        </w:rPr>
      </w:pPr>
    </w:p>
    <w:p>
      <w:pPr>
        <w:jc w:val="center"/>
        <w:rPr>
          <w:rFonts w:ascii="Times New Roman" w:hAnsi="Times New Roman" w:eastAsia="宋体" w:cs="Times New Roman"/>
          <w:b/>
          <w:bCs/>
          <w:sz w:val="20"/>
          <w:szCs w:val="20"/>
        </w:rPr>
      </w:pPr>
      <w:r>
        <w:rPr>
          <w:rFonts w:hint="default" w:ascii="Times New Roman" w:hAnsi="Times New Roman" w:eastAsia="宋体" w:cs="Times New Roman"/>
          <w:b/>
          <w:bCs/>
          <w:sz w:val="20"/>
          <w:szCs w:val="20"/>
        </w:rPr>
        <w:t>表II1 描述性统计</w:t>
      </w:r>
    </w:p>
    <w:tbl>
      <w:tblPr>
        <w:tblStyle w:val="10"/>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7"/>
        <w:gridCol w:w="829"/>
        <w:gridCol w:w="21"/>
        <w:gridCol w:w="869"/>
        <w:gridCol w:w="673"/>
        <w:gridCol w:w="192"/>
        <w:gridCol w:w="889"/>
        <w:gridCol w:w="461"/>
        <w:gridCol w:w="428"/>
        <w:gridCol w:w="889"/>
        <w:gridCol w:w="225"/>
        <w:gridCol w:w="664"/>
        <w:gridCol w:w="879"/>
        <w:gridCol w:w="1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306" w:type="dxa"/>
            <w:gridSpan w:val="14"/>
            <w:tcBorders>
              <w:top w:val="single" w:color="auto" w:sz="4" w:space="0"/>
              <w:bottom w:val="single" w:color="auto" w:sz="4" w:space="0"/>
            </w:tcBorders>
            <w:vAlign w:val="center"/>
          </w:tcPr>
          <w:p>
            <w:pPr>
              <w:rPr>
                <w:rFonts w:ascii="Times New Roman" w:hAnsi="Times New Roman" w:eastAsia="仿宋" w:cs="Times New Roman"/>
                <w:sz w:val="18"/>
                <w:szCs w:val="18"/>
              </w:rPr>
            </w:pPr>
            <w:r>
              <w:rPr>
                <w:rFonts w:hint="default" w:ascii="Times New Roman" w:hAnsi="Times New Roman" w:eastAsia="仿宋" w:cs="Times New Roman"/>
                <w:sz w:val="18"/>
                <w:szCs w:val="18"/>
              </w:rPr>
              <w:t>Panel A：主要变量的描述性统计</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7" w:type="dxa"/>
            <w:tcBorders>
              <w:top w:val="single" w:color="auto" w:sz="4" w:space="0"/>
              <w:bottom w:val="single" w:color="auto" w:sz="4" w:space="0"/>
            </w:tcBorders>
            <w:vAlign w:val="center"/>
          </w:tcPr>
          <w:p>
            <w:pPr>
              <w:rPr>
                <w:rFonts w:ascii="Times New Roman" w:hAnsi="Times New Roman" w:eastAsia="仿宋" w:cs="Times New Roman"/>
                <w:sz w:val="18"/>
                <w:szCs w:val="18"/>
              </w:rPr>
            </w:pPr>
            <w:r>
              <w:rPr>
                <w:rFonts w:hint="default" w:ascii="Times New Roman" w:hAnsi="Times New Roman" w:eastAsia="仿宋" w:cs="Times New Roman"/>
                <w:sz w:val="18"/>
                <w:szCs w:val="18"/>
              </w:rPr>
              <w:t>Variable</w:t>
            </w:r>
          </w:p>
        </w:tc>
        <w:tc>
          <w:tcPr>
            <w:tcW w:w="829" w:type="dxa"/>
            <w:tcBorders>
              <w:top w:val="single" w:color="auto" w:sz="4" w:space="0"/>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Obs</w:t>
            </w:r>
          </w:p>
        </w:tc>
        <w:tc>
          <w:tcPr>
            <w:tcW w:w="890" w:type="dxa"/>
            <w:gridSpan w:val="2"/>
            <w:tcBorders>
              <w:top w:val="single" w:color="auto" w:sz="4" w:space="0"/>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Mean</w:t>
            </w:r>
          </w:p>
        </w:tc>
        <w:tc>
          <w:tcPr>
            <w:tcW w:w="865" w:type="dxa"/>
            <w:gridSpan w:val="2"/>
            <w:tcBorders>
              <w:top w:val="single" w:color="auto" w:sz="4" w:space="0"/>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SD</w:t>
            </w:r>
          </w:p>
        </w:tc>
        <w:tc>
          <w:tcPr>
            <w:tcW w:w="889" w:type="dxa"/>
            <w:tcBorders>
              <w:top w:val="single" w:color="auto" w:sz="4" w:space="0"/>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Min</w:t>
            </w:r>
          </w:p>
        </w:tc>
        <w:tc>
          <w:tcPr>
            <w:tcW w:w="889" w:type="dxa"/>
            <w:gridSpan w:val="2"/>
            <w:tcBorders>
              <w:top w:val="single" w:color="auto" w:sz="4" w:space="0"/>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P25</w:t>
            </w:r>
          </w:p>
        </w:tc>
        <w:tc>
          <w:tcPr>
            <w:tcW w:w="889" w:type="dxa"/>
            <w:tcBorders>
              <w:top w:val="single" w:color="auto" w:sz="4" w:space="0"/>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Median</w:t>
            </w:r>
          </w:p>
        </w:tc>
        <w:tc>
          <w:tcPr>
            <w:tcW w:w="889" w:type="dxa"/>
            <w:gridSpan w:val="2"/>
            <w:tcBorders>
              <w:top w:val="single" w:color="auto" w:sz="4" w:space="0"/>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P75</w:t>
            </w:r>
          </w:p>
        </w:tc>
        <w:tc>
          <w:tcPr>
            <w:tcW w:w="889" w:type="dxa"/>
            <w:gridSpan w:val="2"/>
            <w:tcBorders>
              <w:top w:val="single" w:color="auto" w:sz="4" w:space="0"/>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Max</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7" w:type="dxa"/>
            <w:tcBorders>
              <w:top w:val="single" w:color="auto" w:sz="4" w:space="0"/>
            </w:tcBorders>
            <w:vAlign w:val="center"/>
          </w:tcPr>
          <w:p>
            <w:pPr>
              <w:rPr>
                <w:rFonts w:ascii="Times New Roman" w:hAnsi="Times New Roman" w:eastAsia="仿宋" w:cs="Times New Roman"/>
                <w:i/>
                <w:iCs/>
                <w:sz w:val="18"/>
                <w:szCs w:val="18"/>
              </w:rPr>
            </w:pPr>
            <w:r>
              <w:rPr>
                <w:rFonts w:hint="default" w:ascii="Times New Roman" w:hAnsi="Times New Roman" w:eastAsia="仿宋" w:cs="Times New Roman"/>
                <w:i/>
                <w:iCs/>
                <w:sz w:val="18"/>
                <w:szCs w:val="18"/>
              </w:rPr>
              <w:t>EDF</w:t>
            </w:r>
          </w:p>
        </w:tc>
        <w:tc>
          <w:tcPr>
            <w:tcW w:w="829" w:type="dxa"/>
            <w:tcBorders>
              <w:top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6348</w:t>
            </w:r>
          </w:p>
        </w:tc>
        <w:tc>
          <w:tcPr>
            <w:tcW w:w="890" w:type="dxa"/>
            <w:gridSpan w:val="2"/>
            <w:tcBorders>
              <w:top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0.0126</w:t>
            </w:r>
          </w:p>
        </w:tc>
        <w:tc>
          <w:tcPr>
            <w:tcW w:w="865" w:type="dxa"/>
            <w:gridSpan w:val="2"/>
            <w:tcBorders>
              <w:top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0.0898</w:t>
            </w:r>
          </w:p>
        </w:tc>
        <w:tc>
          <w:tcPr>
            <w:tcW w:w="889" w:type="dxa"/>
            <w:tcBorders>
              <w:top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0.0000</w:t>
            </w:r>
          </w:p>
        </w:tc>
        <w:tc>
          <w:tcPr>
            <w:tcW w:w="889" w:type="dxa"/>
            <w:gridSpan w:val="2"/>
            <w:tcBorders>
              <w:top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0.0000</w:t>
            </w:r>
          </w:p>
        </w:tc>
        <w:tc>
          <w:tcPr>
            <w:tcW w:w="889" w:type="dxa"/>
            <w:tcBorders>
              <w:top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0.0000</w:t>
            </w:r>
          </w:p>
        </w:tc>
        <w:tc>
          <w:tcPr>
            <w:tcW w:w="889" w:type="dxa"/>
            <w:gridSpan w:val="2"/>
            <w:tcBorders>
              <w:top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0.0000</w:t>
            </w:r>
          </w:p>
        </w:tc>
        <w:tc>
          <w:tcPr>
            <w:tcW w:w="889" w:type="dxa"/>
            <w:gridSpan w:val="2"/>
            <w:tcBorders>
              <w:top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1.0000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7" w:type="dxa"/>
            <w:vAlign w:val="center"/>
          </w:tcPr>
          <w:p>
            <w:pPr>
              <w:rPr>
                <w:rFonts w:ascii="Times New Roman" w:hAnsi="Times New Roman" w:eastAsia="仿宋" w:cs="Times New Roman"/>
                <w:i/>
                <w:iCs/>
                <w:sz w:val="18"/>
                <w:szCs w:val="18"/>
              </w:rPr>
            </w:pPr>
            <w:r>
              <w:rPr>
                <w:rFonts w:hint="default" w:ascii="Times New Roman" w:hAnsi="Times New Roman" w:eastAsia="仿宋" w:cs="Times New Roman"/>
                <w:i/>
                <w:iCs/>
                <w:sz w:val="18"/>
                <w:szCs w:val="18"/>
              </w:rPr>
              <w:t>Degree</w:t>
            </w:r>
          </w:p>
        </w:tc>
        <w:tc>
          <w:tcPr>
            <w:tcW w:w="829" w:type="dxa"/>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6348</w:t>
            </w:r>
          </w:p>
        </w:tc>
        <w:tc>
          <w:tcPr>
            <w:tcW w:w="890"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0.0649</w:t>
            </w:r>
          </w:p>
        </w:tc>
        <w:tc>
          <w:tcPr>
            <w:tcW w:w="865"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0.0572</w:t>
            </w:r>
          </w:p>
        </w:tc>
        <w:tc>
          <w:tcPr>
            <w:tcW w:w="889" w:type="dxa"/>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0.0008</w:t>
            </w:r>
          </w:p>
        </w:tc>
        <w:tc>
          <w:tcPr>
            <w:tcW w:w="889"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0.0201</w:t>
            </w:r>
          </w:p>
        </w:tc>
        <w:tc>
          <w:tcPr>
            <w:tcW w:w="889" w:type="dxa"/>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0.0516</w:t>
            </w:r>
          </w:p>
        </w:tc>
        <w:tc>
          <w:tcPr>
            <w:tcW w:w="889"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0.0920</w:t>
            </w:r>
          </w:p>
        </w:tc>
        <w:tc>
          <w:tcPr>
            <w:tcW w:w="889"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0.3809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7" w:type="dxa"/>
            <w:vAlign w:val="center"/>
          </w:tcPr>
          <w:p>
            <w:pPr>
              <w:rPr>
                <w:rFonts w:ascii="Times New Roman" w:hAnsi="Times New Roman" w:eastAsia="仿宋" w:cs="Times New Roman"/>
                <w:i/>
                <w:iCs/>
                <w:sz w:val="18"/>
                <w:szCs w:val="18"/>
              </w:rPr>
            </w:pPr>
            <w:r>
              <w:rPr>
                <w:rFonts w:hint="default" w:ascii="Times New Roman" w:hAnsi="Times New Roman" w:eastAsia="仿宋" w:cs="Times New Roman"/>
                <w:i/>
                <w:iCs/>
                <w:sz w:val="18"/>
                <w:szCs w:val="18"/>
              </w:rPr>
              <w:t>Closeness</w:t>
            </w:r>
          </w:p>
        </w:tc>
        <w:tc>
          <w:tcPr>
            <w:tcW w:w="829" w:type="dxa"/>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6348</w:t>
            </w:r>
          </w:p>
        </w:tc>
        <w:tc>
          <w:tcPr>
            <w:tcW w:w="890"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0.4557</w:t>
            </w:r>
          </w:p>
        </w:tc>
        <w:tc>
          <w:tcPr>
            <w:tcW w:w="865"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0.0654</w:t>
            </w:r>
          </w:p>
        </w:tc>
        <w:tc>
          <w:tcPr>
            <w:tcW w:w="889" w:type="dxa"/>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0.0036</w:t>
            </w:r>
          </w:p>
        </w:tc>
        <w:tc>
          <w:tcPr>
            <w:tcW w:w="889"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0.4255</w:t>
            </w:r>
          </w:p>
        </w:tc>
        <w:tc>
          <w:tcPr>
            <w:tcW w:w="889" w:type="dxa"/>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0.4696</w:t>
            </w:r>
          </w:p>
        </w:tc>
        <w:tc>
          <w:tcPr>
            <w:tcW w:w="889"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0.4970</w:t>
            </w:r>
          </w:p>
        </w:tc>
        <w:tc>
          <w:tcPr>
            <w:tcW w:w="889"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0.6118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7" w:type="dxa"/>
            <w:vAlign w:val="center"/>
          </w:tcPr>
          <w:p>
            <w:pPr>
              <w:rPr>
                <w:rFonts w:ascii="Times New Roman" w:hAnsi="Times New Roman" w:eastAsia="仿宋" w:cs="Times New Roman"/>
                <w:i/>
                <w:iCs/>
                <w:sz w:val="18"/>
                <w:szCs w:val="18"/>
              </w:rPr>
            </w:pPr>
            <w:r>
              <w:rPr>
                <w:rFonts w:hint="default" w:ascii="Times New Roman" w:hAnsi="Times New Roman" w:eastAsia="仿宋" w:cs="Times New Roman"/>
                <w:i/>
                <w:iCs/>
                <w:sz w:val="18"/>
                <w:szCs w:val="18"/>
              </w:rPr>
              <w:t>Betweenness</w:t>
            </w:r>
          </w:p>
        </w:tc>
        <w:tc>
          <w:tcPr>
            <w:tcW w:w="829" w:type="dxa"/>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6348</w:t>
            </w:r>
          </w:p>
        </w:tc>
        <w:tc>
          <w:tcPr>
            <w:tcW w:w="890"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0.0010</w:t>
            </w:r>
          </w:p>
        </w:tc>
        <w:tc>
          <w:tcPr>
            <w:tcW w:w="865"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0.0030</w:t>
            </w:r>
          </w:p>
        </w:tc>
        <w:tc>
          <w:tcPr>
            <w:tcW w:w="889" w:type="dxa"/>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0.0000</w:t>
            </w:r>
          </w:p>
        </w:tc>
        <w:tc>
          <w:tcPr>
            <w:tcW w:w="889"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0.0000</w:t>
            </w:r>
          </w:p>
        </w:tc>
        <w:tc>
          <w:tcPr>
            <w:tcW w:w="889" w:type="dxa"/>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0.0000</w:t>
            </w:r>
          </w:p>
        </w:tc>
        <w:tc>
          <w:tcPr>
            <w:tcW w:w="889"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0.0006</w:t>
            </w:r>
          </w:p>
        </w:tc>
        <w:tc>
          <w:tcPr>
            <w:tcW w:w="889"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0.0290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7" w:type="dxa"/>
            <w:vAlign w:val="center"/>
          </w:tcPr>
          <w:p>
            <w:pPr>
              <w:rPr>
                <w:rFonts w:ascii="Times New Roman" w:hAnsi="Times New Roman" w:eastAsia="仿宋" w:cs="Times New Roman"/>
                <w:i/>
                <w:iCs/>
                <w:sz w:val="18"/>
                <w:szCs w:val="18"/>
              </w:rPr>
            </w:pPr>
            <w:r>
              <w:rPr>
                <w:rFonts w:hint="default" w:ascii="Times New Roman" w:hAnsi="Times New Roman" w:eastAsia="仿宋" w:cs="Times New Roman"/>
                <w:i/>
                <w:iCs/>
                <w:sz w:val="18"/>
                <w:szCs w:val="18"/>
              </w:rPr>
              <w:t>Eigenvector</w:t>
            </w:r>
          </w:p>
        </w:tc>
        <w:tc>
          <w:tcPr>
            <w:tcW w:w="829" w:type="dxa"/>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6348</w:t>
            </w:r>
          </w:p>
        </w:tc>
        <w:tc>
          <w:tcPr>
            <w:tcW w:w="890"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0.0233</w:t>
            </w:r>
          </w:p>
        </w:tc>
        <w:tc>
          <w:tcPr>
            <w:tcW w:w="865"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0.0233</w:t>
            </w:r>
          </w:p>
        </w:tc>
        <w:tc>
          <w:tcPr>
            <w:tcW w:w="889" w:type="dxa"/>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0.0000</w:t>
            </w:r>
          </w:p>
        </w:tc>
        <w:tc>
          <w:tcPr>
            <w:tcW w:w="889"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0.0054</w:t>
            </w:r>
          </w:p>
        </w:tc>
        <w:tc>
          <w:tcPr>
            <w:tcW w:w="889" w:type="dxa"/>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0.0165</w:t>
            </w:r>
          </w:p>
        </w:tc>
        <w:tc>
          <w:tcPr>
            <w:tcW w:w="889"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0.0331</w:t>
            </w:r>
          </w:p>
        </w:tc>
        <w:tc>
          <w:tcPr>
            <w:tcW w:w="889"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0.1242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7" w:type="dxa"/>
            <w:vAlign w:val="center"/>
          </w:tcPr>
          <w:p>
            <w:pPr>
              <w:rPr>
                <w:rFonts w:ascii="Times New Roman" w:hAnsi="Times New Roman" w:eastAsia="仿宋" w:cs="Times New Roman"/>
                <w:sz w:val="18"/>
                <w:szCs w:val="18"/>
              </w:rPr>
            </w:pPr>
            <w:r>
              <w:rPr>
                <w:rFonts w:hint="default" w:ascii="Times New Roman" w:hAnsi="Times New Roman" w:eastAsia="仿宋" w:cs="Times New Roman"/>
                <w:sz w:val="18"/>
                <w:szCs w:val="18"/>
              </w:rPr>
              <w:t>ln(</w:t>
            </w:r>
            <w:r>
              <w:rPr>
                <w:rFonts w:hint="default" w:ascii="Times New Roman" w:hAnsi="Times New Roman" w:eastAsia="仿宋" w:cs="Times New Roman"/>
                <w:i/>
                <w:iCs/>
                <w:sz w:val="18"/>
                <w:szCs w:val="18"/>
              </w:rPr>
              <w:t>equity</w:t>
            </w:r>
            <w:r>
              <w:rPr>
                <w:rFonts w:hint="default" w:ascii="Times New Roman" w:hAnsi="Times New Roman" w:eastAsia="仿宋" w:cs="Times New Roman"/>
                <w:sz w:val="18"/>
                <w:szCs w:val="18"/>
              </w:rPr>
              <w:t>)</w:t>
            </w:r>
          </w:p>
        </w:tc>
        <w:tc>
          <w:tcPr>
            <w:tcW w:w="829" w:type="dxa"/>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6348</w:t>
            </w:r>
          </w:p>
        </w:tc>
        <w:tc>
          <w:tcPr>
            <w:tcW w:w="890"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22.4486</w:t>
            </w:r>
          </w:p>
        </w:tc>
        <w:tc>
          <w:tcPr>
            <w:tcW w:w="865"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1.1029</w:t>
            </w:r>
          </w:p>
        </w:tc>
        <w:tc>
          <w:tcPr>
            <w:tcW w:w="889" w:type="dxa"/>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19.8203</w:t>
            </w:r>
          </w:p>
        </w:tc>
        <w:tc>
          <w:tcPr>
            <w:tcW w:w="889"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21.6841</w:t>
            </w:r>
          </w:p>
        </w:tc>
        <w:tc>
          <w:tcPr>
            <w:tcW w:w="889" w:type="dxa"/>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22.3358</w:t>
            </w:r>
          </w:p>
        </w:tc>
        <w:tc>
          <w:tcPr>
            <w:tcW w:w="889"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23.0590</w:t>
            </w:r>
          </w:p>
        </w:tc>
        <w:tc>
          <w:tcPr>
            <w:tcW w:w="889"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28.0060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7" w:type="dxa"/>
            <w:vAlign w:val="center"/>
          </w:tcPr>
          <w:p>
            <w:pPr>
              <w:rPr>
                <w:rFonts w:ascii="Times New Roman" w:hAnsi="Times New Roman" w:eastAsia="仿宋" w:cs="Times New Roman"/>
                <w:sz w:val="18"/>
                <w:szCs w:val="18"/>
              </w:rPr>
            </w:pPr>
            <w:r>
              <w:rPr>
                <w:rFonts w:hint="default" w:ascii="Times New Roman" w:hAnsi="Times New Roman" w:eastAsia="仿宋" w:cs="Times New Roman"/>
                <w:sz w:val="18"/>
                <w:szCs w:val="18"/>
              </w:rPr>
              <w:t>ln(</w:t>
            </w:r>
            <w:r>
              <w:rPr>
                <w:rFonts w:hint="default" w:ascii="Times New Roman" w:hAnsi="Times New Roman" w:eastAsia="仿宋" w:cs="Times New Roman"/>
                <w:i/>
                <w:iCs/>
                <w:sz w:val="18"/>
                <w:szCs w:val="18"/>
              </w:rPr>
              <w:t>debt</w:t>
            </w:r>
            <w:r>
              <w:rPr>
                <w:rFonts w:hint="default" w:ascii="Times New Roman" w:hAnsi="Times New Roman" w:eastAsia="仿宋" w:cs="Times New Roman"/>
                <w:sz w:val="18"/>
                <w:szCs w:val="18"/>
              </w:rPr>
              <w:t>)</w:t>
            </w:r>
          </w:p>
        </w:tc>
        <w:tc>
          <w:tcPr>
            <w:tcW w:w="829" w:type="dxa"/>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6348</w:t>
            </w:r>
          </w:p>
        </w:tc>
        <w:tc>
          <w:tcPr>
            <w:tcW w:w="890"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21.0430</w:t>
            </w:r>
          </w:p>
        </w:tc>
        <w:tc>
          <w:tcPr>
            <w:tcW w:w="865"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1.7455</w:t>
            </w:r>
          </w:p>
        </w:tc>
        <w:tc>
          <w:tcPr>
            <w:tcW w:w="889" w:type="dxa"/>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16.5542</w:t>
            </w:r>
          </w:p>
        </w:tc>
        <w:tc>
          <w:tcPr>
            <w:tcW w:w="889"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19.8379</w:t>
            </w:r>
          </w:p>
        </w:tc>
        <w:tc>
          <w:tcPr>
            <w:tcW w:w="889" w:type="dxa"/>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20.9301</w:t>
            </w:r>
          </w:p>
        </w:tc>
        <w:tc>
          <w:tcPr>
            <w:tcW w:w="889"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22.0847</w:t>
            </w:r>
          </w:p>
        </w:tc>
        <w:tc>
          <w:tcPr>
            <w:tcW w:w="889"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27.2981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7" w:type="dxa"/>
            <w:vAlign w:val="center"/>
          </w:tcPr>
          <w:p>
            <w:pPr>
              <w:rPr>
                <w:rFonts w:ascii="Times New Roman" w:hAnsi="Times New Roman" w:eastAsia="仿宋" w:cs="Times New Roman"/>
                <w:sz w:val="18"/>
                <w:szCs w:val="18"/>
              </w:rPr>
            </w:pPr>
            <w:r>
              <w:rPr>
                <w:rFonts w:hint="default" w:ascii="Times New Roman" w:hAnsi="Times New Roman" w:eastAsia="仿宋" w:cs="Times New Roman"/>
                <w:sz w:val="18"/>
                <w:szCs w:val="18"/>
              </w:rPr>
              <w:t>1/</w:t>
            </w:r>
            <w:r>
              <w:rPr>
                <w:rFonts w:hint="default" w:ascii="Times New Roman" w:hAnsi="Times New Roman" w:eastAsia="仿宋" w:cs="Times New Roman"/>
                <w:i/>
                <w:iCs/>
                <w:sz w:val="18"/>
                <w:szCs w:val="18"/>
              </w:rPr>
              <w:t>σ</w:t>
            </w:r>
            <w:r>
              <w:rPr>
                <w:rFonts w:hint="default" w:ascii="Times New Roman" w:hAnsi="Times New Roman" w:eastAsia="仿宋" w:cs="Times New Roman"/>
                <w:i/>
                <w:iCs/>
                <w:sz w:val="18"/>
                <w:szCs w:val="18"/>
                <w:vertAlign w:val="subscript"/>
              </w:rPr>
              <w:t>E</w:t>
            </w:r>
          </w:p>
        </w:tc>
        <w:tc>
          <w:tcPr>
            <w:tcW w:w="829" w:type="dxa"/>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6348</w:t>
            </w:r>
          </w:p>
        </w:tc>
        <w:tc>
          <w:tcPr>
            <w:tcW w:w="890"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7.8419</w:t>
            </w:r>
          </w:p>
        </w:tc>
        <w:tc>
          <w:tcPr>
            <w:tcW w:w="865"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3.2841</w:t>
            </w:r>
          </w:p>
        </w:tc>
        <w:tc>
          <w:tcPr>
            <w:tcW w:w="889" w:type="dxa"/>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0.1397</w:t>
            </w:r>
          </w:p>
        </w:tc>
        <w:tc>
          <w:tcPr>
            <w:tcW w:w="889"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5.5584</w:t>
            </w:r>
          </w:p>
        </w:tc>
        <w:tc>
          <w:tcPr>
            <w:tcW w:w="889" w:type="dxa"/>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7.3934</w:t>
            </w:r>
          </w:p>
        </w:tc>
        <w:tc>
          <w:tcPr>
            <w:tcW w:w="889"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9.5860</w:t>
            </w:r>
          </w:p>
        </w:tc>
        <w:tc>
          <w:tcPr>
            <w:tcW w:w="889"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92.4112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7" w:type="dxa"/>
            <w:tcBorders>
              <w:bottom w:val="nil"/>
            </w:tcBorders>
            <w:vAlign w:val="center"/>
          </w:tcPr>
          <w:p>
            <w:pPr>
              <w:rPr>
                <w:rFonts w:ascii="Times New Roman" w:hAnsi="Times New Roman" w:eastAsia="仿宋" w:cs="Times New Roman"/>
                <w:sz w:val="18"/>
                <w:szCs w:val="18"/>
              </w:rPr>
            </w:pPr>
            <w:r>
              <w:rPr>
                <w:rFonts w:hint="default" w:ascii="Times New Roman" w:hAnsi="Times New Roman" w:eastAsia="仿宋" w:cs="Times New Roman"/>
                <w:i/>
                <w:iCs/>
                <w:sz w:val="18"/>
                <w:szCs w:val="18"/>
              </w:rPr>
              <w:t>Income</w:t>
            </w:r>
            <w:r>
              <w:rPr>
                <w:rFonts w:hint="default" w:ascii="Times New Roman" w:hAnsi="Times New Roman" w:eastAsia="仿宋" w:cs="Times New Roman"/>
                <w:sz w:val="18"/>
                <w:szCs w:val="18"/>
              </w:rPr>
              <w:t>/</w:t>
            </w:r>
            <w:r>
              <w:rPr>
                <w:rFonts w:hint="default" w:ascii="Times New Roman" w:hAnsi="Times New Roman" w:eastAsia="仿宋" w:cs="Times New Roman"/>
                <w:i/>
                <w:iCs/>
                <w:sz w:val="18"/>
                <w:szCs w:val="18"/>
              </w:rPr>
              <w:t>Assets</w:t>
            </w:r>
          </w:p>
        </w:tc>
        <w:tc>
          <w:tcPr>
            <w:tcW w:w="829" w:type="dxa"/>
            <w:tcBorders>
              <w:bottom w:val="nil"/>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6348</w:t>
            </w:r>
          </w:p>
        </w:tc>
        <w:tc>
          <w:tcPr>
            <w:tcW w:w="890" w:type="dxa"/>
            <w:gridSpan w:val="2"/>
            <w:tcBorders>
              <w:bottom w:val="nil"/>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0.0385</w:t>
            </w:r>
          </w:p>
        </w:tc>
        <w:tc>
          <w:tcPr>
            <w:tcW w:w="865" w:type="dxa"/>
            <w:gridSpan w:val="2"/>
            <w:tcBorders>
              <w:bottom w:val="nil"/>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0.0597</w:t>
            </w:r>
          </w:p>
        </w:tc>
        <w:tc>
          <w:tcPr>
            <w:tcW w:w="889" w:type="dxa"/>
            <w:tcBorders>
              <w:bottom w:val="nil"/>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-1.0939</w:t>
            </w:r>
          </w:p>
        </w:tc>
        <w:tc>
          <w:tcPr>
            <w:tcW w:w="889" w:type="dxa"/>
            <w:gridSpan w:val="2"/>
            <w:tcBorders>
              <w:bottom w:val="nil"/>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0.0132</w:t>
            </w:r>
          </w:p>
        </w:tc>
        <w:tc>
          <w:tcPr>
            <w:tcW w:w="889" w:type="dxa"/>
            <w:tcBorders>
              <w:bottom w:val="nil"/>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0.0355</w:t>
            </w:r>
          </w:p>
        </w:tc>
        <w:tc>
          <w:tcPr>
            <w:tcW w:w="889" w:type="dxa"/>
            <w:gridSpan w:val="2"/>
            <w:tcBorders>
              <w:bottom w:val="nil"/>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0.0643</w:t>
            </w:r>
          </w:p>
        </w:tc>
        <w:tc>
          <w:tcPr>
            <w:tcW w:w="889" w:type="dxa"/>
            <w:gridSpan w:val="2"/>
            <w:tcBorders>
              <w:bottom w:val="nil"/>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0.9208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7" w:type="dxa"/>
            <w:tcBorders>
              <w:top w:val="nil"/>
              <w:bottom w:val="single" w:color="auto" w:sz="4" w:space="0"/>
            </w:tcBorders>
            <w:vAlign w:val="center"/>
          </w:tcPr>
          <w:p>
            <w:pPr>
              <w:rPr>
                <w:rFonts w:ascii="Times New Roman" w:hAnsi="Times New Roman" w:eastAsia="仿宋" w:cs="Times New Roman"/>
                <w:sz w:val="18"/>
                <w:szCs w:val="18"/>
              </w:rPr>
            </w:pPr>
            <w:r>
              <w:rPr>
                <w:rFonts w:hint="default" w:ascii="Times New Roman" w:hAnsi="Times New Roman" w:eastAsia="仿宋" w:cs="Times New Roman"/>
                <w:i/>
                <w:iCs/>
                <w:sz w:val="18"/>
                <w:szCs w:val="18"/>
              </w:rPr>
              <w:t>Excess Return</w:t>
            </w:r>
          </w:p>
        </w:tc>
        <w:tc>
          <w:tcPr>
            <w:tcW w:w="829" w:type="dxa"/>
            <w:tcBorders>
              <w:top w:val="nil"/>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6348</w:t>
            </w:r>
          </w:p>
        </w:tc>
        <w:tc>
          <w:tcPr>
            <w:tcW w:w="890" w:type="dxa"/>
            <w:gridSpan w:val="2"/>
            <w:tcBorders>
              <w:top w:val="nil"/>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-0.0023</w:t>
            </w:r>
          </w:p>
        </w:tc>
        <w:tc>
          <w:tcPr>
            <w:tcW w:w="865" w:type="dxa"/>
            <w:gridSpan w:val="2"/>
            <w:tcBorders>
              <w:top w:val="nil"/>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0.0204</w:t>
            </w:r>
          </w:p>
        </w:tc>
        <w:tc>
          <w:tcPr>
            <w:tcW w:w="889" w:type="dxa"/>
            <w:tcBorders>
              <w:top w:val="nil"/>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-0.1148</w:t>
            </w:r>
          </w:p>
        </w:tc>
        <w:tc>
          <w:tcPr>
            <w:tcW w:w="889" w:type="dxa"/>
            <w:gridSpan w:val="2"/>
            <w:tcBorders>
              <w:top w:val="nil"/>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-0.0128</w:t>
            </w:r>
          </w:p>
        </w:tc>
        <w:tc>
          <w:tcPr>
            <w:tcW w:w="889" w:type="dxa"/>
            <w:tcBorders>
              <w:top w:val="nil"/>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-0.0036</w:t>
            </w:r>
          </w:p>
        </w:tc>
        <w:tc>
          <w:tcPr>
            <w:tcW w:w="889" w:type="dxa"/>
            <w:gridSpan w:val="2"/>
            <w:tcBorders>
              <w:top w:val="nil"/>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0.0064</w:t>
            </w:r>
          </w:p>
        </w:tc>
        <w:tc>
          <w:tcPr>
            <w:tcW w:w="889" w:type="dxa"/>
            <w:gridSpan w:val="2"/>
            <w:tcBorders>
              <w:top w:val="nil"/>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0.1182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306" w:type="dxa"/>
            <w:gridSpan w:val="14"/>
            <w:tcBorders>
              <w:top w:val="single" w:color="auto" w:sz="4" w:space="0"/>
            </w:tcBorders>
            <w:vAlign w:val="center"/>
          </w:tcPr>
          <w:p>
            <w:pPr>
              <w:rPr>
                <w:rFonts w:ascii="Times New Roman" w:hAnsi="Times New Roman" w:eastAsia="仿宋" w:cs="Times New Roman"/>
                <w:sz w:val="18"/>
                <w:szCs w:val="18"/>
              </w:rPr>
            </w:pPr>
            <w:r>
              <w:rPr>
                <w:rFonts w:hint="default" w:ascii="Times New Roman" w:hAnsi="Times New Roman" w:eastAsia="仿宋" w:cs="Times New Roman"/>
                <w:sz w:val="18"/>
                <w:szCs w:val="18"/>
              </w:rPr>
              <w:t>Panel B：中心度变量的相关性系数</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17" w:hRule="atLeast"/>
        </w:trPr>
        <w:tc>
          <w:tcPr>
            <w:tcW w:w="2127" w:type="dxa"/>
            <w:gridSpan w:val="3"/>
            <w:tcBorders>
              <w:top w:val="single" w:color="auto" w:sz="4" w:space="0"/>
              <w:bottom w:val="single" w:color="auto" w:sz="4" w:space="0"/>
            </w:tcBorders>
          </w:tcPr>
          <w:p>
            <w:pPr>
              <w:rPr>
                <w:rFonts w:ascii="Times New Roman" w:hAnsi="Times New Roman" w:eastAsia="仿宋" w:cs="Times New Roman"/>
                <w:sz w:val="18"/>
                <w:szCs w:val="18"/>
              </w:rPr>
            </w:pPr>
          </w:p>
        </w:tc>
        <w:tc>
          <w:tcPr>
            <w:tcW w:w="1542" w:type="dxa"/>
            <w:gridSpan w:val="2"/>
            <w:tcBorders>
              <w:top w:val="single" w:color="auto" w:sz="4" w:space="0"/>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i/>
                <w:iCs/>
                <w:sz w:val="18"/>
                <w:szCs w:val="18"/>
              </w:rPr>
              <w:t>Degree</w:t>
            </w:r>
          </w:p>
        </w:tc>
        <w:tc>
          <w:tcPr>
            <w:tcW w:w="1542" w:type="dxa"/>
            <w:gridSpan w:val="3"/>
            <w:tcBorders>
              <w:top w:val="single" w:color="auto" w:sz="4" w:space="0"/>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i/>
                <w:iCs/>
                <w:sz w:val="18"/>
                <w:szCs w:val="18"/>
              </w:rPr>
              <w:t>Closeness</w:t>
            </w:r>
          </w:p>
        </w:tc>
        <w:tc>
          <w:tcPr>
            <w:tcW w:w="1542" w:type="dxa"/>
            <w:gridSpan w:val="3"/>
            <w:tcBorders>
              <w:top w:val="single" w:color="auto" w:sz="4" w:space="0"/>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i/>
                <w:iCs/>
                <w:sz w:val="18"/>
                <w:szCs w:val="18"/>
              </w:rPr>
              <w:t>Betweenness</w:t>
            </w:r>
          </w:p>
        </w:tc>
        <w:tc>
          <w:tcPr>
            <w:tcW w:w="1543" w:type="dxa"/>
            <w:gridSpan w:val="2"/>
            <w:tcBorders>
              <w:top w:val="single" w:color="auto" w:sz="4" w:space="0"/>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i/>
                <w:iCs/>
                <w:sz w:val="18"/>
                <w:szCs w:val="18"/>
              </w:rPr>
              <w:t>Eigenvector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17" w:hRule="atLeast"/>
        </w:trPr>
        <w:tc>
          <w:tcPr>
            <w:tcW w:w="2127" w:type="dxa"/>
            <w:gridSpan w:val="3"/>
            <w:tcBorders>
              <w:top w:val="single" w:color="auto" w:sz="4" w:space="0"/>
            </w:tcBorders>
            <w:vAlign w:val="center"/>
          </w:tcPr>
          <w:p>
            <w:pPr>
              <w:rPr>
                <w:rFonts w:ascii="Times New Roman" w:hAnsi="Times New Roman" w:eastAsia="仿宋" w:cs="Times New Roman"/>
                <w:i/>
                <w:iCs/>
                <w:sz w:val="18"/>
                <w:szCs w:val="18"/>
              </w:rPr>
            </w:pPr>
            <w:r>
              <w:rPr>
                <w:rFonts w:hint="default" w:ascii="Times New Roman" w:hAnsi="Times New Roman" w:eastAsia="仿宋" w:cs="Times New Roman"/>
                <w:i/>
                <w:iCs/>
                <w:sz w:val="18"/>
                <w:szCs w:val="18"/>
              </w:rPr>
              <w:t>Degree</w:t>
            </w:r>
          </w:p>
        </w:tc>
        <w:tc>
          <w:tcPr>
            <w:tcW w:w="1542" w:type="dxa"/>
            <w:gridSpan w:val="2"/>
            <w:tcBorders>
              <w:top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1.0000</w:t>
            </w:r>
          </w:p>
        </w:tc>
        <w:tc>
          <w:tcPr>
            <w:tcW w:w="1542" w:type="dxa"/>
            <w:gridSpan w:val="3"/>
            <w:tcBorders>
              <w:top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0.8731</w:t>
            </w:r>
          </w:p>
        </w:tc>
        <w:tc>
          <w:tcPr>
            <w:tcW w:w="1542" w:type="dxa"/>
            <w:gridSpan w:val="3"/>
            <w:tcBorders>
              <w:top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0.6930</w:t>
            </w:r>
          </w:p>
        </w:tc>
        <w:tc>
          <w:tcPr>
            <w:tcW w:w="1543" w:type="dxa"/>
            <w:gridSpan w:val="2"/>
            <w:tcBorders>
              <w:top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0.9542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17" w:hRule="atLeast"/>
        </w:trPr>
        <w:tc>
          <w:tcPr>
            <w:tcW w:w="2127" w:type="dxa"/>
            <w:gridSpan w:val="3"/>
            <w:vAlign w:val="center"/>
          </w:tcPr>
          <w:p>
            <w:pPr>
              <w:rPr>
                <w:rFonts w:ascii="Times New Roman" w:hAnsi="Times New Roman" w:eastAsia="仿宋" w:cs="Times New Roman"/>
                <w:i/>
                <w:iCs/>
                <w:sz w:val="18"/>
                <w:szCs w:val="18"/>
              </w:rPr>
            </w:pPr>
            <w:r>
              <w:rPr>
                <w:rFonts w:hint="default" w:ascii="Times New Roman" w:hAnsi="Times New Roman" w:eastAsia="仿宋" w:cs="Times New Roman"/>
                <w:i/>
                <w:iCs/>
                <w:sz w:val="18"/>
                <w:szCs w:val="18"/>
              </w:rPr>
              <w:t>Closeness</w:t>
            </w:r>
          </w:p>
        </w:tc>
        <w:tc>
          <w:tcPr>
            <w:tcW w:w="1542"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0.7175</w:t>
            </w:r>
          </w:p>
        </w:tc>
        <w:tc>
          <w:tcPr>
            <w:tcW w:w="1542" w:type="dxa"/>
            <w:gridSpan w:val="3"/>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1.0000</w:t>
            </w:r>
          </w:p>
        </w:tc>
        <w:tc>
          <w:tcPr>
            <w:tcW w:w="1542" w:type="dxa"/>
            <w:gridSpan w:val="3"/>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0.5502</w:t>
            </w:r>
          </w:p>
        </w:tc>
        <w:tc>
          <w:tcPr>
            <w:tcW w:w="1543"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0.7713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17" w:hRule="atLeast"/>
        </w:trPr>
        <w:tc>
          <w:tcPr>
            <w:tcW w:w="2127" w:type="dxa"/>
            <w:gridSpan w:val="3"/>
            <w:tcBorders>
              <w:bottom w:val="nil"/>
            </w:tcBorders>
            <w:vAlign w:val="center"/>
          </w:tcPr>
          <w:p>
            <w:pPr>
              <w:rPr>
                <w:rFonts w:ascii="Times New Roman" w:hAnsi="Times New Roman" w:eastAsia="仿宋" w:cs="Times New Roman"/>
                <w:i/>
                <w:iCs/>
                <w:sz w:val="18"/>
                <w:szCs w:val="18"/>
              </w:rPr>
            </w:pPr>
            <w:r>
              <w:rPr>
                <w:rFonts w:hint="default" w:ascii="Times New Roman" w:hAnsi="Times New Roman" w:eastAsia="仿宋" w:cs="Times New Roman"/>
                <w:i/>
                <w:iCs/>
                <w:sz w:val="18"/>
                <w:szCs w:val="18"/>
              </w:rPr>
              <w:t>Betweenness</w:t>
            </w:r>
          </w:p>
        </w:tc>
        <w:tc>
          <w:tcPr>
            <w:tcW w:w="1542" w:type="dxa"/>
            <w:gridSpan w:val="2"/>
            <w:tcBorders>
              <w:bottom w:val="nil"/>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0.5927</w:t>
            </w:r>
          </w:p>
        </w:tc>
        <w:tc>
          <w:tcPr>
            <w:tcW w:w="1542" w:type="dxa"/>
            <w:gridSpan w:val="3"/>
            <w:tcBorders>
              <w:bottom w:val="nil"/>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0.2791</w:t>
            </w:r>
          </w:p>
        </w:tc>
        <w:tc>
          <w:tcPr>
            <w:tcW w:w="1542" w:type="dxa"/>
            <w:gridSpan w:val="3"/>
            <w:tcBorders>
              <w:bottom w:val="nil"/>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1.0000</w:t>
            </w:r>
          </w:p>
        </w:tc>
        <w:tc>
          <w:tcPr>
            <w:tcW w:w="1543" w:type="dxa"/>
            <w:gridSpan w:val="2"/>
            <w:tcBorders>
              <w:bottom w:val="nil"/>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0.6371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17" w:hRule="atLeast"/>
        </w:trPr>
        <w:tc>
          <w:tcPr>
            <w:tcW w:w="2127" w:type="dxa"/>
            <w:gridSpan w:val="3"/>
            <w:tcBorders>
              <w:top w:val="nil"/>
              <w:bottom w:val="single" w:color="auto" w:sz="4" w:space="0"/>
            </w:tcBorders>
            <w:vAlign w:val="center"/>
          </w:tcPr>
          <w:p>
            <w:pPr>
              <w:rPr>
                <w:rFonts w:ascii="Times New Roman" w:hAnsi="Times New Roman" w:eastAsia="仿宋" w:cs="Times New Roman"/>
                <w:i/>
                <w:iCs/>
                <w:sz w:val="18"/>
                <w:szCs w:val="18"/>
              </w:rPr>
            </w:pPr>
            <w:r>
              <w:rPr>
                <w:rFonts w:hint="default" w:ascii="Times New Roman" w:hAnsi="Times New Roman" w:eastAsia="仿宋" w:cs="Times New Roman"/>
                <w:i/>
                <w:iCs/>
                <w:sz w:val="18"/>
                <w:szCs w:val="18"/>
              </w:rPr>
              <w:t>Eigenvector</w:t>
            </w:r>
          </w:p>
        </w:tc>
        <w:tc>
          <w:tcPr>
            <w:tcW w:w="1542" w:type="dxa"/>
            <w:gridSpan w:val="2"/>
            <w:tcBorders>
              <w:top w:val="nil"/>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0.8698</w:t>
            </w:r>
          </w:p>
        </w:tc>
        <w:tc>
          <w:tcPr>
            <w:tcW w:w="1542" w:type="dxa"/>
            <w:gridSpan w:val="3"/>
            <w:tcBorders>
              <w:top w:val="nil"/>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0.5800</w:t>
            </w:r>
          </w:p>
        </w:tc>
        <w:tc>
          <w:tcPr>
            <w:tcW w:w="1542" w:type="dxa"/>
            <w:gridSpan w:val="3"/>
            <w:tcBorders>
              <w:top w:val="nil"/>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0.5512</w:t>
            </w:r>
          </w:p>
        </w:tc>
        <w:tc>
          <w:tcPr>
            <w:tcW w:w="1543" w:type="dxa"/>
            <w:gridSpan w:val="2"/>
            <w:tcBorders>
              <w:top w:val="nil"/>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1.0000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17" w:hRule="atLeast"/>
        </w:trPr>
        <w:tc>
          <w:tcPr>
            <w:tcW w:w="8296" w:type="dxa"/>
            <w:gridSpan w:val="13"/>
            <w:tcBorders>
              <w:top w:val="single" w:color="auto" w:sz="4" w:space="0"/>
            </w:tcBorders>
            <w:vAlign w:val="center"/>
          </w:tcPr>
          <w:p>
            <w:pPr>
              <w:rPr>
                <w:rFonts w:ascii="Times New Roman" w:hAnsi="Times New Roman" w:eastAsia="仿宋" w:cs="Times New Roman"/>
                <w:sz w:val="18"/>
                <w:szCs w:val="18"/>
              </w:rPr>
            </w:pPr>
            <w:r>
              <w:rPr>
                <w:rFonts w:hint="default" w:ascii="Times New Roman" w:hAnsi="Times New Roman" w:eastAsia="仿宋" w:cs="Times New Roman"/>
                <w:sz w:val="18"/>
                <w:szCs w:val="18"/>
              </w:rPr>
              <w:t>Panel C：中心度变量的主成分分析</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17" w:hRule="atLeast"/>
        </w:trPr>
        <w:tc>
          <w:tcPr>
            <w:tcW w:w="2127" w:type="dxa"/>
            <w:gridSpan w:val="3"/>
            <w:tcBorders>
              <w:top w:val="single" w:color="auto" w:sz="4" w:space="0"/>
              <w:bottom w:val="single" w:color="auto" w:sz="4" w:space="0"/>
            </w:tcBorders>
            <w:vAlign w:val="center"/>
          </w:tcPr>
          <w:p>
            <w:pPr>
              <w:rPr>
                <w:rFonts w:ascii="Times New Roman" w:hAnsi="Times New Roman" w:eastAsia="仿宋" w:cs="Times New Roman"/>
                <w:sz w:val="18"/>
                <w:szCs w:val="18"/>
              </w:rPr>
            </w:pPr>
          </w:p>
        </w:tc>
        <w:tc>
          <w:tcPr>
            <w:tcW w:w="1542" w:type="dxa"/>
            <w:gridSpan w:val="2"/>
            <w:tcBorders>
              <w:top w:val="single" w:color="auto" w:sz="4" w:space="0"/>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Comp. 1</w:t>
            </w:r>
          </w:p>
        </w:tc>
        <w:tc>
          <w:tcPr>
            <w:tcW w:w="1542" w:type="dxa"/>
            <w:gridSpan w:val="3"/>
            <w:tcBorders>
              <w:top w:val="single" w:color="auto" w:sz="4" w:space="0"/>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Comp. 2</w:t>
            </w:r>
          </w:p>
        </w:tc>
        <w:tc>
          <w:tcPr>
            <w:tcW w:w="1542" w:type="dxa"/>
            <w:gridSpan w:val="3"/>
            <w:tcBorders>
              <w:top w:val="single" w:color="auto" w:sz="4" w:space="0"/>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Comp. 3</w:t>
            </w:r>
          </w:p>
        </w:tc>
        <w:tc>
          <w:tcPr>
            <w:tcW w:w="1543" w:type="dxa"/>
            <w:gridSpan w:val="2"/>
            <w:tcBorders>
              <w:top w:val="single" w:color="auto" w:sz="4" w:space="0"/>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Comp. 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17" w:hRule="atLeast"/>
        </w:trPr>
        <w:tc>
          <w:tcPr>
            <w:tcW w:w="2127" w:type="dxa"/>
            <w:gridSpan w:val="3"/>
            <w:tcBorders>
              <w:top w:val="single" w:color="auto" w:sz="4" w:space="0"/>
            </w:tcBorders>
            <w:vAlign w:val="center"/>
          </w:tcPr>
          <w:p>
            <w:pPr>
              <w:rPr>
                <w:rFonts w:ascii="Times New Roman" w:hAnsi="Times New Roman" w:eastAsia="仿宋" w:cs="Times New Roman"/>
                <w:i/>
                <w:iCs/>
                <w:sz w:val="18"/>
                <w:szCs w:val="18"/>
              </w:rPr>
            </w:pPr>
            <w:r>
              <w:rPr>
                <w:rFonts w:hint="default" w:ascii="Times New Roman" w:hAnsi="Times New Roman" w:eastAsia="仿宋" w:cs="Times New Roman"/>
                <w:i/>
                <w:iCs/>
                <w:sz w:val="18"/>
                <w:szCs w:val="18"/>
              </w:rPr>
              <w:t>Degree</w:t>
            </w:r>
          </w:p>
        </w:tc>
        <w:tc>
          <w:tcPr>
            <w:tcW w:w="1542" w:type="dxa"/>
            <w:gridSpan w:val="2"/>
            <w:tcBorders>
              <w:top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0.5702</w:t>
            </w:r>
          </w:p>
        </w:tc>
        <w:tc>
          <w:tcPr>
            <w:tcW w:w="1542" w:type="dxa"/>
            <w:gridSpan w:val="3"/>
            <w:tcBorders>
              <w:top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-0.0745</w:t>
            </w:r>
          </w:p>
        </w:tc>
        <w:tc>
          <w:tcPr>
            <w:tcW w:w="1542" w:type="dxa"/>
            <w:gridSpan w:val="3"/>
            <w:tcBorders>
              <w:top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-0.1821</w:t>
            </w:r>
          </w:p>
        </w:tc>
        <w:tc>
          <w:tcPr>
            <w:tcW w:w="1543" w:type="dxa"/>
            <w:gridSpan w:val="2"/>
            <w:tcBorders>
              <w:top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-0.7976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17" w:hRule="atLeast"/>
        </w:trPr>
        <w:tc>
          <w:tcPr>
            <w:tcW w:w="2127" w:type="dxa"/>
            <w:gridSpan w:val="3"/>
            <w:vAlign w:val="center"/>
          </w:tcPr>
          <w:p>
            <w:pPr>
              <w:rPr>
                <w:rFonts w:ascii="Times New Roman" w:hAnsi="Times New Roman" w:eastAsia="仿宋" w:cs="Times New Roman"/>
                <w:i/>
                <w:iCs/>
                <w:sz w:val="18"/>
                <w:szCs w:val="18"/>
              </w:rPr>
            </w:pPr>
            <w:r>
              <w:rPr>
                <w:rFonts w:hint="default" w:ascii="Times New Roman" w:hAnsi="Times New Roman" w:eastAsia="仿宋" w:cs="Times New Roman"/>
                <w:i/>
                <w:iCs/>
                <w:sz w:val="18"/>
                <w:szCs w:val="18"/>
              </w:rPr>
              <w:t>Closeness</w:t>
            </w:r>
          </w:p>
        </w:tc>
        <w:tc>
          <w:tcPr>
            <w:tcW w:w="1542"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0.4575</w:t>
            </w:r>
          </w:p>
        </w:tc>
        <w:tc>
          <w:tcPr>
            <w:tcW w:w="1542" w:type="dxa"/>
            <w:gridSpan w:val="3"/>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-0.6303</w:t>
            </w:r>
          </w:p>
        </w:tc>
        <w:tc>
          <w:tcPr>
            <w:tcW w:w="1542" w:type="dxa"/>
            <w:gridSpan w:val="3"/>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0.5729</w:t>
            </w:r>
          </w:p>
        </w:tc>
        <w:tc>
          <w:tcPr>
            <w:tcW w:w="1543"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0.2551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17" w:hRule="atLeast"/>
        </w:trPr>
        <w:tc>
          <w:tcPr>
            <w:tcW w:w="2127" w:type="dxa"/>
            <w:gridSpan w:val="3"/>
            <w:tcBorders>
              <w:bottom w:val="nil"/>
            </w:tcBorders>
            <w:vAlign w:val="center"/>
          </w:tcPr>
          <w:p>
            <w:pPr>
              <w:rPr>
                <w:rFonts w:ascii="Times New Roman" w:hAnsi="Times New Roman" w:eastAsia="仿宋" w:cs="Times New Roman"/>
                <w:i/>
                <w:iCs/>
                <w:sz w:val="18"/>
                <w:szCs w:val="18"/>
              </w:rPr>
            </w:pPr>
            <w:r>
              <w:rPr>
                <w:rFonts w:hint="default" w:ascii="Times New Roman" w:hAnsi="Times New Roman" w:eastAsia="仿宋" w:cs="Times New Roman"/>
                <w:i/>
                <w:iCs/>
                <w:sz w:val="18"/>
                <w:szCs w:val="18"/>
              </w:rPr>
              <w:t>Betweenness</w:t>
            </w:r>
          </w:p>
        </w:tc>
        <w:tc>
          <w:tcPr>
            <w:tcW w:w="1542" w:type="dxa"/>
            <w:gridSpan w:val="2"/>
            <w:tcBorders>
              <w:bottom w:val="nil"/>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0.4165</w:t>
            </w:r>
          </w:p>
        </w:tc>
        <w:tc>
          <w:tcPr>
            <w:tcW w:w="1542" w:type="dxa"/>
            <w:gridSpan w:val="3"/>
            <w:tcBorders>
              <w:bottom w:val="nil"/>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0.7725</w:t>
            </w:r>
          </w:p>
        </w:tc>
        <w:tc>
          <w:tcPr>
            <w:tcW w:w="1542" w:type="dxa"/>
            <w:gridSpan w:val="3"/>
            <w:tcBorders>
              <w:bottom w:val="nil"/>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0.4641</w:t>
            </w:r>
          </w:p>
        </w:tc>
        <w:tc>
          <w:tcPr>
            <w:tcW w:w="1543" w:type="dxa"/>
            <w:gridSpan w:val="2"/>
            <w:tcBorders>
              <w:bottom w:val="nil"/>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0.1195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17" w:hRule="atLeast"/>
        </w:trPr>
        <w:tc>
          <w:tcPr>
            <w:tcW w:w="2127" w:type="dxa"/>
            <w:gridSpan w:val="3"/>
            <w:tcBorders>
              <w:top w:val="nil"/>
              <w:bottom w:val="single" w:color="auto" w:sz="4" w:space="0"/>
            </w:tcBorders>
            <w:vAlign w:val="center"/>
          </w:tcPr>
          <w:p>
            <w:pPr>
              <w:rPr>
                <w:rFonts w:ascii="Times New Roman" w:hAnsi="Times New Roman" w:eastAsia="仿宋" w:cs="Times New Roman"/>
                <w:sz w:val="18"/>
                <w:szCs w:val="18"/>
              </w:rPr>
            </w:pPr>
            <w:r>
              <w:rPr>
                <w:rFonts w:hint="default" w:ascii="Times New Roman" w:hAnsi="Times New Roman" w:eastAsia="仿宋" w:cs="Times New Roman"/>
                <w:i/>
                <w:iCs/>
                <w:sz w:val="18"/>
                <w:szCs w:val="18"/>
              </w:rPr>
              <w:t>Eigenvector</w:t>
            </w:r>
          </w:p>
        </w:tc>
        <w:tc>
          <w:tcPr>
            <w:tcW w:w="1542" w:type="dxa"/>
            <w:gridSpan w:val="2"/>
            <w:tcBorders>
              <w:top w:val="nil"/>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0.5405</w:t>
            </w:r>
          </w:p>
        </w:tc>
        <w:tc>
          <w:tcPr>
            <w:tcW w:w="1542" w:type="dxa"/>
            <w:gridSpan w:val="3"/>
            <w:tcBorders>
              <w:top w:val="nil"/>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0.0169</w:t>
            </w:r>
          </w:p>
        </w:tc>
        <w:tc>
          <w:tcPr>
            <w:tcW w:w="1542" w:type="dxa"/>
            <w:gridSpan w:val="3"/>
            <w:tcBorders>
              <w:top w:val="nil"/>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-0.6505</w:t>
            </w:r>
          </w:p>
        </w:tc>
        <w:tc>
          <w:tcPr>
            <w:tcW w:w="1543" w:type="dxa"/>
            <w:gridSpan w:val="2"/>
            <w:tcBorders>
              <w:top w:val="nil"/>
              <w:bottom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0.5333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17" w:hRule="atLeast"/>
        </w:trPr>
        <w:tc>
          <w:tcPr>
            <w:tcW w:w="2127" w:type="dxa"/>
            <w:gridSpan w:val="3"/>
            <w:tcBorders>
              <w:top w:val="single" w:color="auto" w:sz="4" w:space="0"/>
            </w:tcBorders>
            <w:vAlign w:val="center"/>
          </w:tcPr>
          <w:p>
            <w:pPr>
              <w:rPr>
                <w:rFonts w:ascii="Times New Roman" w:hAnsi="Times New Roman" w:eastAsia="仿宋" w:cs="Times New Roman"/>
                <w:sz w:val="18"/>
                <w:szCs w:val="18"/>
              </w:rPr>
            </w:pPr>
            <w:r>
              <w:rPr>
                <w:rFonts w:hint="default" w:ascii="Times New Roman" w:hAnsi="Times New Roman" w:eastAsia="仿宋" w:cs="Times New Roman"/>
                <w:sz w:val="18"/>
                <w:szCs w:val="18"/>
              </w:rPr>
              <w:t>特征值</w:t>
            </w:r>
          </w:p>
        </w:tc>
        <w:tc>
          <w:tcPr>
            <w:tcW w:w="1542" w:type="dxa"/>
            <w:gridSpan w:val="2"/>
            <w:tcBorders>
              <w:top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2.8333</w:t>
            </w:r>
          </w:p>
        </w:tc>
        <w:tc>
          <w:tcPr>
            <w:tcW w:w="1542" w:type="dxa"/>
            <w:gridSpan w:val="3"/>
            <w:tcBorders>
              <w:top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0.7272</w:t>
            </w:r>
          </w:p>
        </w:tc>
        <w:tc>
          <w:tcPr>
            <w:tcW w:w="1542" w:type="dxa"/>
            <w:gridSpan w:val="3"/>
            <w:tcBorders>
              <w:top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0.3394</w:t>
            </w:r>
          </w:p>
        </w:tc>
        <w:tc>
          <w:tcPr>
            <w:tcW w:w="1543" w:type="dxa"/>
            <w:gridSpan w:val="2"/>
            <w:tcBorders>
              <w:top w:val="single" w:color="auto" w:sz="4" w:space="0"/>
            </w:tcBorders>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0.1001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17" w:hRule="atLeast"/>
        </w:trPr>
        <w:tc>
          <w:tcPr>
            <w:tcW w:w="2127" w:type="dxa"/>
            <w:gridSpan w:val="3"/>
            <w:vAlign w:val="center"/>
          </w:tcPr>
          <w:p>
            <w:pPr>
              <w:rPr>
                <w:rFonts w:ascii="Times New Roman" w:hAnsi="Times New Roman" w:eastAsia="仿宋" w:cs="Times New Roman"/>
                <w:sz w:val="18"/>
                <w:szCs w:val="18"/>
              </w:rPr>
            </w:pPr>
            <w:r>
              <w:rPr>
                <w:rFonts w:hint="default" w:ascii="Times New Roman" w:hAnsi="Times New Roman" w:eastAsia="仿宋" w:cs="Times New Roman"/>
                <w:sz w:val="18"/>
                <w:szCs w:val="18"/>
              </w:rPr>
              <w:t>解释方差占比（%）</w:t>
            </w:r>
          </w:p>
        </w:tc>
        <w:tc>
          <w:tcPr>
            <w:tcW w:w="1542"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70.83%</w:t>
            </w:r>
          </w:p>
        </w:tc>
        <w:tc>
          <w:tcPr>
            <w:tcW w:w="1542" w:type="dxa"/>
            <w:gridSpan w:val="3"/>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18.18%</w:t>
            </w:r>
          </w:p>
        </w:tc>
        <w:tc>
          <w:tcPr>
            <w:tcW w:w="1542" w:type="dxa"/>
            <w:gridSpan w:val="3"/>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8.49%</w:t>
            </w:r>
          </w:p>
        </w:tc>
        <w:tc>
          <w:tcPr>
            <w:tcW w:w="1543"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2.50%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17" w:hRule="atLeast"/>
        </w:trPr>
        <w:tc>
          <w:tcPr>
            <w:tcW w:w="2127" w:type="dxa"/>
            <w:gridSpan w:val="3"/>
            <w:vAlign w:val="center"/>
          </w:tcPr>
          <w:p>
            <w:pPr>
              <w:rPr>
                <w:rFonts w:ascii="Times New Roman" w:hAnsi="Times New Roman" w:eastAsia="仿宋" w:cs="Times New Roman"/>
                <w:sz w:val="18"/>
                <w:szCs w:val="18"/>
              </w:rPr>
            </w:pPr>
            <w:r>
              <w:rPr>
                <w:rFonts w:hint="default" w:ascii="Times New Roman" w:hAnsi="Times New Roman" w:eastAsia="仿宋" w:cs="Times New Roman"/>
                <w:sz w:val="18"/>
                <w:szCs w:val="18"/>
              </w:rPr>
              <w:t>累计解释方差占比（%）</w:t>
            </w:r>
          </w:p>
        </w:tc>
        <w:tc>
          <w:tcPr>
            <w:tcW w:w="1542"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70.83%</w:t>
            </w:r>
          </w:p>
        </w:tc>
        <w:tc>
          <w:tcPr>
            <w:tcW w:w="1542" w:type="dxa"/>
            <w:gridSpan w:val="3"/>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89.01%</w:t>
            </w:r>
          </w:p>
        </w:tc>
        <w:tc>
          <w:tcPr>
            <w:tcW w:w="1542" w:type="dxa"/>
            <w:gridSpan w:val="3"/>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97.50%</w:t>
            </w:r>
          </w:p>
        </w:tc>
        <w:tc>
          <w:tcPr>
            <w:tcW w:w="1543" w:type="dxa"/>
            <w:gridSpan w:val="2"/>
            <w:vAlign w:val="center"/>
          </w:tcPr>
          <w:p>
            <w:pPr>
              <w:jc w:val="center"/>
              <w:rPr>
                <w:rFonts w:ascii="Times New Roman" w:hAnsi="Times New Roman" w:eastAsia="仿宋" w:cs="Times New Roman"/>
                <w:sz w:val="18"/>
                <w:szCs w:val="18"/>
              </w:rPr>
            </w:pPr>
            <w:r>
              <w:rPr>
                <w:rFonts w:hint="default" w:ascii="Times New Roman" w:hAnsi="Times New Roman" w:eastAsia="仿宋" w:cs="Times New Roman"/>
                <w:sz w:val="18"/>
                <w:szCs w:val="18"/>
              </w:rPr>
              <w:t>100.00%</w:t>
            </w:r>
          </w:p>
        </w:tc>
      </w:tr>
    </w:tbl>
    <w:p>
      <w:pPr>
        <w:rPr>
          <w:rFonts w:ascii="Times New Roman" w:hAnsi="Times New Roman" w:eastAsia="仿宋" w:cs="Times New Roman"/>
          <w:color w:val="FF0000"/>
          <w:sz w:val="18"/>
          <w:szCs w:val="18"/>
        </w:rPr>
      </w:pPr>
      <w:r>
        <w:rPr>
          <w:rFonts w:hint="default" w:ascii="Times New Roman" w:hAnsi="Times New Roman" w:eastAsia="仿宋" w:cs="Times New Roman"/>
          <w:sz w:val="18"/>
          <w:szCs w:val="18"/>
        </w:rPr>
        <w:t>注：在Panel B中，上三角为Spearman相关性系数，下三角为Pearson相关性系数。</w:t>
      </w:r>
    </w:p>
    <w:p>
      <w:pPr>
        <w:rPr>
          <w:rFonts w:ascii="Times New Roman" w:hAnsi="Times New Roman" w:eastAsia="宋体" w:cs="Times New Roman"/>
        </w:rPr>
      </w:pPr>
    </w:p>
    <w:p>
      <w:pPr>
        <w:jc w:val="center"/>
        <w:rPr>
          <w:rFonts w:ascii="楷体" w:hAnsi="楷体" w:eastAsia="楷体" w:cs="楷体"/>
          <w:sz w:val="28"/>
          <w:szCs w:val="28"/>
        </w:rPr>
      </w:pPr>
    </w:p>
    <w:p>
      <w:pPr>
        <w:jc w:val="center"/>
        <w:rPr>
          <w:rFonts w:ascii="楷体" w:hAnsi="楷体" w:eastAsia="楷体" w:cs="楷体"/>
          <w:sz w:val="28"/>
          <w:szCs w:val="28"/>
        </w:rPr>
      </w:pPr>
      <w:r>
        <w:rPr>
          <w:rFonts w:hint="eastAsia" w:ascii="楷体" w:hAnsi="楷体" w:eastAsia="楷体" w:cs="楷体"/>
          <w:sz w:val="28"/>
          <w:szCs w:val="28"/>
        </w:rPr>
        <w:t>参考文献</w:t>
      </w:r>
    </w:p>
    <w:p>
      <w:pPr>
        <w:rPr>
          <w:rFonts w:ascii="Times New Roman" w:hAnsi="Times New Roman" w:eastAsia="宋体"/>
          <w:szCs w:val="21"/>
        </w:rPr>
      </w:pPr>
      <w:r>
        <w:rPr>
          <w:rFonts w:hint="eastAsia" w:ascii="Times New Roman" w:hAnsi="Times New Roman" w:eastAsia="宋体" w:cs="Times New Roman"/>
          <w:szCs w:val="21"/>
        </w:rPr>
        <w:t>[1]</w:t>
      </w:r>
      <w:r>
        <w:rPr>
          <w:rFonts w:ascii="Times New Roman" w:hAnsi="Times New Roman" w:eastAsia="宋体" w:cs="Times New Roman"/>
          <w:szCs w:val="21"/>
        </w:rPr>
        <w:t xml:space="preserve">Brogaard, J., D. Li, and Y. Xia, “Stock </w:t>
      </w:r>
      <w:r>
        <w:rPr>
          <w:rFonts w:hint="eastAsia" w:ascii="Times New Roman" w:hAnsi="Times New Roman" w:eastAsia="宋体" w:cs="Times New Roman"/>
          <w:szCs w:val="21"/>
        </w:rPr>
        <w:t>L</w:t>
      </w:r>
      <w:r>
        <w:rPr>
          <w:rFonts w:ascii="Times New Roman" w:hAnsi="Times New Roman" w:eastAsia="宋体" w:cs="Times New Roman"/>
          <w:szCs w:val="21"/>
        </w:rPr>
        <w:t xml:space="preserve">iquidity and </w:t>
      </w:r>
      <w:r>
        <w:rPr>
          <w:rFonts w:hint="eastAsia" w:ascii="Times New Roman" w:hAnsi="Times New Roman" w:eastAsia="宋体" w:cs="Times New Roman"/>
          <w:szCs w:val="21"/>
        </w:rPr>
        <w:t>D</w:t>
      </w:r>
      <w:r>
        <w:rPr>
          <w:rFonts w:ascii="Times New Roman" w:hAnsi="Times New Roman" w:eastAsia="宋体" w:cs="Times New Roman"/>
          <w:szCs w:val="21"/>
        </w:rPr>
        <w:t xml:space="preserve">efault </w:t>
      </w:r>
      <w:r>
        <w:rPr>
          <w:rFonts w:hint="eastAsia" w:ascii="Times New Roman" w:hAnsi="Times New Roman" w:eastAsia="宋体" w:cs="Times New Roman"/>
          <w:szCs w:val="21"/>
        </w:rPr>
        <w:t>R</w:t>
      </w:r>
      <w:r>
        <w:rPr>
          <w:rFonts w:ascii="Times New Roman" w:hAnsi="Times New Roman" w:eastAsia="宋体" w:cs="Times New Roman"/>
          <w:szCs w:val="21"/>
        </w:rPr>
        <w:t xml:space="preserve">isk”, </w:t>
      </w:r>
      <w:r>
        <w:rPr>
          <w:rFonts w:ascii="Times New Roman" w:hAnsi="Times New Roman" w:eastAsia="宋体" w:cs="Times New Roman"/>
          <w:i/>
          <w:iCs/>
          <w:szCs w:val="21"/>
        </w:rPr>
        <w:t>Journal of Financial Economics</w:t>
      </w:r>
      <w:r>
        <w:rPr>
          <w:rFonts w:ascii="Times New Roman" w:hAnsi="Times New Roman" w:eastAsia="宋体" w:cs="Times New Roman"/>
          <w:szCs w:val="21"/>
        </w:rPr>
        <w:t>, 2017, 124(3), 486–502.</w:t>
      </w:r>
    </w:p>
    <w:p>
      <w:pPr>
        <w:rPr>
          <w:rFonts w:ascii="Times New Roman" w:hAnsi="Times New Roman" w:eastAsia="宋体" w:cs="Arial"/>
          <w:szCs w:val="21"/>
          <w:shd w:val="clear" w:color="auto" w:fill="FFFFFF"/>
        </w:rPr>
      </w:pPr>
      <w:r>
        <w:rPr>
          <w:rFonts w:hint="eastAsia" w:ascii="Times New Roman" w:hAnsi="Times New Roman" w:eastAsia="宋体" w:cs="Arial"/>
          <w:szCs w:val="21"/>
          <w:shd w:val="clear" w:color="auto" w:fill="FFFFFF"/>
        </w:rPr>
        <w:t>[2]</w:t>
      </w:r>
      <w:r>
        <w:rPr>
          <w:rFonts w:ascii="Times New Roman" w:hAnsi="Times New Roman" w:eastAsia="宋体" w:cs="Arial"/>
          <w:szCs w:val="21"/>
          <w:shd w:val="clear" w:color="auto" w:fill="FFFFFF"/>
        </w:rPr>
        <w:t xml:space="preserve">Larcker, D. F., E. C. So, and C. C. Wang, “Boardroom Centrality and Firm Performance”, </w:t>
      </w:r>
      <w:r>
        <w:rPr>
          <w:rFonts w:ascii="Times New Roman" w:hAnsi="Times New Roman" w:eastAsia="宋体" w:cs="Arial"/>
          <w:i/>
          <w:szCs w:val="21"/>
          <w:shd w:val="clear" w:color="auto" w:fill="FFFFFF"/>
        </w:rPr>
        <w:t>Journal of Accounting and Economics</w:t>
      </w:r>
      <w:r>
        <w:rPr>
          <w:rFonts w:ascii="Times New Roman" w:hAnsi="Times New Roman" w:eastAsia="宋体" w:cs="Arial"/>
          <w:szCs w:val="21"/>
          <w:shd w:val="clear" w:color="auto" w:fill="FFFFFF"/>
        </w:rPr>
        <w:t xml:space="preserve">, 2013, </w:t>
      </w:r>
      <w:r>
        <w:rPr>
          <w:rFonts w:ascii="Times New Roman" w:hAnsi="Times New Roman" w:eastAsia="宋体" w:cs="Arial"/>
          <w:iCs/>
          <w:szCs w:val="21"/>
          <w:shd w:val="clear" w:color="auto" w:fill="FFFFFF"/>
        </w:rPr>
        <w:t>55</w:t>
      </w:r>
      <w:r>
        <w:rPr>
          <w:rFonts w:ascii="Times New Roman" w:hAnsi="Times New Roman" w:eastAsia="宋体" w:cs="Arial"/>
          <w:szCs w:val="21"/>
          <w:shd w:val="clear" w:color="auto" w:fill="FFFFFF"/>
        </w:rPr>
        <w:t>(2</w:t>
      </w:r>
      <w:r>
        <w:rPr>
          <w:rFonts w:ascii="Times New Roman" w:hAnsi="Times New Roman" w:eastAsia="宋体" w:cs="Times New Roman"/>
          <w:szCs w:val="21"/>
        </w:rPr>
        <w:t>–</w:t>
      </w:r>
      <w:r>
        <w:rPr>
          <w:rFonts w:ascii="Times New Roman" w:hAnsi="Times New Roman" w:eastAsia="宋体" w:cs="Arial"/>
          <w:szCs w:val="21"/>
          <w:shd w:val="clear" w:color="auto" w:fill="FFFFFF"/>
        </w:rPr>
        <w:t>3), 225</w:t>
      </w:r>
      <w:r>
        <w:rPr>
          <w:rFonts w:ascii="Times New Roman" w:hAnsi="Times New Roman" w:eastAsia="宋体" w:cs="Times New Roman"/>
          <w:szCs w:val="21"/>
        </w:rPr>
        <w:t>–</w:t>
      </w:r>
      <w:r>
        <w:rPr>
          <w:rFonts w:ascii="Times New Roman" w:hAnsi="Times New Roman" w:eastAsia="宋体" w:cs="Arial"/>
          <w:szCs w:val="21"/>
          <w:shd w:val="clear" w:color="auto" w:fill="FFFFFF"/>
        </w:rPr>
        <w:t>250.</w:t>
      </w:r>
    </w:p>
    <w:p>
      <w:pPr>
        <w:rPr>
          <w:rFonts w:ascii="Times New Roman" w:hAnsi="Times New Roman" w:eastAsia="宋体" w:cs="Arial"/>
          <w:szCs w:val="21"/>
          <w:shd w:val="clear" w:color="auto" w:fill="FFFFFF"/>
        </w:rPr>
      </w:pPr>
    </w:p>
    <w:p>
      <w:pPr>
        <w:rPr>
          <w:rFonts w:ascii="Times New Roman" w:hAnsi="Times New Roman" w:eastAsia="宋体" w:cs="Arial"/>
          <w:szCs w:val="21"/>
          <w:shd w:val="clear" w:color="auto" w:fill="FFFFFF"/>
        </w:rPr>
      </w:pPr>
    </w:p>
    <w:p>
      <w:pPr>
        <w:rPr>
          <w:rFonts w:ascii="Times New Roman" w:hAnsi="Times New Roman" w:eastAsia="宋体" w:cs="Arial"/>
          <w:szCs w:val="21"/>
          <w:shd w:val="clear" w:color="auto" w:fill="FFFFFF"/>
        </w:rPr>
      </w:pPr>
    </w:p>
    <w:p>
      <w:pPr>
        <w:rPr>
          <w:rFonts w:ascii="Times New Roman" w:hAnsi="Times New Roman" w:eastAsia="宋体" w:cs="Arial"/>
          <w:szCs w:val="21"/>
          <w:shd w:val="clear" w:color="auto" w:fill="FFFFFF"/>
        </w:rPr>
      </w:pPr>
    </w:p>
    <w:p>
      <w:pPr>
        <w:rPr>
          <w:rFonts w:ascii="Times New Roman" w:hAnsi="Times New Roman" w:eastAsia="宋体" w:cs="Arial"/>
          <w:szCs w:val="21"/>
          <w:shd w:val="clear" w:color="auto" w:fill="FFFFFF"/>
        </w:rPr>
      </w:pPr>
    </w:p>
    <w:p>
      <w:pPr>
        <w:spacing w:line="360" w:lineRule="auto"/>
        <w:ind w:left="-2" w:leftChars="-1"/>
        <w:rPr>
          <w:rFonts w:ascii="宋体" w:hAnsi="宋体" w:cs="Arial"/>
          <w:b/>
          <w:bCs/>
          <w:kern w:val="0"/>
          <w:szCs w:val="21"/>
        </w:rPr>
      </w:pPr>
      <w:r>
        <w:rPr>
          <w:rFonts w:hint="eastAsia" w:ascii="Calibri" w:hAnsi="Calibri" w:cs="Times New Roman"/>
          <w:b/>
        </w:rPr>
        <w:t>注：该附录是期刊所发表论文的组成部分，同样视为作者公开发表的内容。如研究中使用该附录中的内容，</w:t>
      </w:r>
      <w:r>
        <w:rPr>
          <w:rFonts w:hint="eastAsia" w:ascii="宋体" w:hAnsi="宋体" w:cs="Arial"/>
          <w:b/>
          <w:bCs/>
          <w:kern w:val="0"/>
          <w:szCs w:val="21"/>
        </w:rPr>
        <w:t>请务必在研究成果上注明附录下载出处</w:t>
      </w:r>
      <w:r>
        <w:rPr>
          <w:rFonts w:hint="eastAsia" w:ascii="宋体" w:hAnsi="宋体" w:cs="Arial"/>
          <w:kern w:val="0"/>
          <w:szCs w:val="21"/>
        </w:rPr>
        <w:t>。</w:t>
      </w:r>
    </w:p>
    <w:p>
      <w:pPr>
        <w:rPr>
          <w:rFonts w:ascii="Times New Roman" w:hAnsi="Times New Roman" w:eastAsia="宋体" w:cs="Arial"/>
          <w:szCs w:val="21"/>
          <w:shd w:val="clear" w:color="auto" w:fill="FFFFFF"/>
        </w:rPr>
      </w:pPr>
    </w:p>
    <w:sectPr>
      <w:headerReference r:id="rId4" w:type="first"/>
      <w:headerReference r:id="rId3" w:type="default"/>
      <w:footerReference r:id="rId5"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403526435"/>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22</w:t>
        </w:r>
        <w:r>
          <w:rPr>
            <w:rFonts w:ascii="Times New Roman" w:hAnsi="Times New Roman" w:cs="Times New Roman"/>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rPr>
      <w:t>《经济学》（季刊）                                                              2023年第5期</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京">
    <w15:presenceInfo w15:providerId="WPS Office" w15:userId="3897745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YTY5MzAxODJhZDAxMGMwZGQwZTA0ZDg0NjA2ZDkifQ=="/>
  </w:docVars>
  <w:rsids>
    <w:rsidRoot w:val="00380DE9"/>
    <w:rsid w:val="000006EC"/>
    <w:rsid w:val="00000DA5"/>
    <w:rsid w:val="00001BD4"/>
    <w:rsid w:val="00002CF4"/>
    <w:rsid w:val="00004EE3"/>
    <w:rsid w:val="00004F9F"/>
    <w:rsid w:val="00014361"/>
    <w:rsid w:val="00020274"/>
    <w:rsid w:val="0002028A"/>
    <w:rsid w:val="00022F14"/>
    <w:rsid w:val="00022F84"/>
    <w:rsid w:val="00026EF5"/>
    <w:rsid w:val="00027652"/>
    <w:rsid w:val="0003282C"/>
    <w:rsid w:val="00032A67"/>
    <w:rsid w:val="00033798"/>
    <w:rsid w:val="0004066E"/>
    <w:rsid w:val="00040D41"/>
    <w:rsid w:val="00041010"/>
    <w:rsid w:val="000435A4"/>
    <w:rsid w:val="00043C34"/>
    <w:rsid w:val="00046A69"/>
    <w:rsid w:val="0004794A"/>
    <w:rsid w:val="00056371"/>
    <w:rsid w:val="00057F4C"/>
    <w:rsid w:val="0006137B"/>
    <w:rsid w:val="000654A8"/>
    <w:rsid w:val="000672B3"/>
    <w:rsid w:val="000676C1"/>
    <w:rsid w:val="000678C1"/>
    <w:rsid w:val="00071EED"/>
    <w:rsid w:val="00072704"/>
    <w:rsid w:val="000737ED"/>
    <w:rsid w:val="00076736"/>
    <w:rsid w:val="00082127"/>
    <w:rsid w:val="00082D27"/>
    <w:rsid w:val="00083453"/>
    <w:rsid w:val="00084FEE"/>
    <w:rsid w:val="00085A4A"/>
    <w:rsid w:val="000866FD"/>
    <w:rsid w:val="00087890"/>
    <w:rsid w:val="00092D4C"/>
    <w:rsid w:val="00095918"/>
    <w:rsid w:val="000A0A11"/>
    <w:rsid w:val="000A0ECF"/>
    <w:rsid w:val="000A173B"/>
    <w:rsid w:val="000A5371"/>
    <w:rsid w:val="000A6113"/>
    <w:rsid w:val="000A7674"/>
    <w:rsid w:val="000A7B54"/>
    <w:rsid w:val="000B2212"/>
    <w:rsid w:val="000B7B1A"/>
    <w:rsid w:val="000C6D08"/>
    <w:rsid w:val="000C6E9F"/>
    <w:rsid w:val="000C71A7"/>
    <w:rsid w:val="000D0492"/>
    <w:rsid w:val="000D34FE"/>
    <w:rsid w:val="000D678A"/>
    <w:rsid w:val="000D7993"/>
    <w:rsid w:val="000E009E"/>
    <w:rsid w:val="000E33AD"/>
    <w:rsid w:val="000E55FF"/>
    <w:rsid w:val="000E5DD0"/>
    <w:rsid w:val="000F04DE"/>
    <w:rsid w:val="000F3ABE"/>
    <w:rsid w:val="00102C41"/>
    <w:rsid w:val="00106B30"/>
    <w:rsid w:val="00113524"/>
    <w:rsid w:val="0011450C"/>
    <w:rsid w:val="00116364"/>
    <w:rsid w:val="00116672"/>
    <w:rsid w:val="001219C4"/>
    <w:rsid w:val="00126DD3"/>
    <w:rsid w:val="00126E97"/>
    <w:rsid w:val="001316D9"/>
    <w:rsid w:val="00131E0D"/>
    <w:rsid w:val="00132A98"/>
    <w:rsid w:val="00135258"/>
    <w:rsid w:val="00136360"/>
    <w:rsid w:val="00137EA6"/>
    <w:rsid w:val="00141F7D"/>
    <w:rsid w:val="00143A54"/>
    <w:rsid w:val="001571ED"/>
    <w:rsid w:val="00157F57"/>
    <w:rsid w:val="00161EBD"/>
    <w:rsid w:val="00163613"/>
    <w:rsid w:val="00163B3F"/>
    <w:rsid w:val="0016460D"/>
    <w:rsid w:val="00166168"/>
    <w:rsid w:val="00166B1C"/>
    <w:rsid w:val="00166C0C"/>
    <w:rsid w:val="00171C6C"/>
    <w:rsid w:val="00173B43"/>
    <w:rsid w:val="00177DFB"/>
    <w:rsid w:val="00180EE9"/>
    <w:rsid w:val="00184740"/>
    <w:rsid w:val="00185C8F"/>
    <w:rsid w:val="00187EE5"/>
    <w:rsid w:val="00190D73"/>
    <w:rsid w:val="0019173A"/>
    <w:rsid w:val="00191B72"/>
    <w:rsid w:val="00191F56"/>
    <w:rsid w:val="0019774D"/>
    <w:rsid w:val="00197CEC"/>
    <w:rsid w:val="001A1DD1"/>
    <w:rsid w:val="001A35A9"/>
    <w:rsid w:val="001A4D7D"/>
    <w:rsid w:val="001A5E0D"/>
    <w:rsid w:val="001A71EC"/>
    <w:rsid w:val="001B2854"/>
    <w:rsid w:val="001C2E4D"/>
    <w:rsid w:val="001D1BA1"/>
    <w:rsid w:val="001D1E1D"/>
    <w:rsid w:val="001D2E0D"/>
    <w:rsid w:val="001D3903"/>
    <w:rsid w:val="001D57EB"/>
    <w:rsid w:val="001D7E27"/>
    <w:rsid w:val="001E0A05"/>
    <w:rsid w:val="001E2EAA"/>
    <w:rsid w:val="001E680D"/>
    <w:rsid w:val="001F5232"/>
    <w:rsid w:val="001F6891"/>
    <w:rsid w:val="001F7615"/>
    <w:rsid w:val="00205B6C"/>
    <w:rsid w:val="00210C24"/>
    <w:rsid w:val="00212B93"/>
    <w:rsid w:val="00212C26"/>
    <w:rsid w:val="0021451D"/>
    <w:rsid w:val="00224BCD"/>
    <w:rsid w:val="00225B2C"/>
    <w:rsid w:val="002266B0"/>
    <w:rsid w:val="00233130"/>
    <w:rsid w:val="002350BC"/>
    <w:rsid w:val="00235A17"/>
    <w:rsid w:val="0023778E"/>
    <w:rsid w:val="00237FBE"/>
    <w:rsid w:val="00240583"/>
    <w:rsid w:val="00240BF5"/>
    <w:rsid w:val="00240EA2"/>
    <w:rsid w:val="00253914"/>
    <w:rsid w:val="002624D3"/>
    <w:rsid w:val="00262D46"/>
    <w:rsid w:val="0026304C"/>
    <w:rsid w:val="00264AB5"/>
    <w:rsid w:val="002658C5"/>
    <w:rsid w:val="0026700F"/>
    <w:rsid w:val="0027217C"/>
    <w:rsid w:val="0028728B"/>
    <w:rsid w:val="00287FFA"/>
    <w:rsid w:val="00290382"/>
    <w:rsid w:val="00290CF0"/>
    <w:rsid w:val="00292150"/>
    <w:rsid w:val="00292F97"/>
    <w:rsid w:val="002948E3"/>
    <w:rsid w:val="00294A45"/>
    <w:rsid w:val="002958F4"/>
    <w:rsid w:val="00295B4A"/>
    <w:rsid w:val="00296827"/>
    <w:rsid w:val="002968D0"/>
    <w:rsid w:val="00296E5D"/>
    <w:rsid w:val="002A1B25"/>
    <w:rsid w:val="002B1411"/>
    <w:rsid w:val="002B2724"/>
    <w:rsid w:val="002B284B"/>
    <w:rsid w:val="002B6F8D"/>
    <w:rsid w:val="002B757A"/>
    <w:rsid w:val="002C25AE"/>
    <w:rsid w:val="002C693E"/>
    <w:rsid w:val="002C7474"/>
    <w:rsid w:val="002D69E4"/>
    <w:rsid w:val="002E020C"/>
    <w:rsid w:val="002E7BEB"/>
    <w:rsid w:val="002F564C"/>
    <w:rsid w:val="00305902"/>
    <w:rsid w:val="00306717"/>
    <w:rsid w:val="0030770F"/>
    <w:rsid w:val="00307DE3"/>
    <w:rsid w:val="00310EE2"/>
    <w:rsid w:val="0031377D"/>
    <w:rsid w:val="00322AD6"/>
    <w:rsid w:val="00326586"/>
    <w:rsid w:val="003325A6"/>
    <w:rsid w:val="00333CB6"/>
    <w:rsid w:val="00334548"/>
    <w:rsid w:val="00335A52"/>
    <w:rsid w:val="00336D5A"/>
    <w:rsid w:val="00341D97"/>
    <w:rsid w:val="00344C26"/>
    <w:rsid w:val="00351AFA"/>
    <w:rsid w:val="00355744"/>
    <w:rsid w:val="00355E3D"/>
    <w:rsid w:val="00357476"/>
    <w:rsid w:val="003579E7"/>
    <w:rsid w:val="0036588D"/>
    <w:rsid w:val="003660AF"/>
    <w:rsid w:val="0037158A"/>
    <w:rsid w:val="003728C5"/>
    <w:rsid w:val="00372BFA"/>
    <w:rsid w:val="003751F9"/>
    <w:rsid w:val="00375A44"/>
    <w:rsid w:val="00377843"/>
    <w:rsid w:val="00380DE9"/>
    <w:rsid w:val="00382605"/>
    <w:rsid w:val="003847A6"/>
    <w:rsid w:val="00392755"/>
    <w:rsid w:val="00392A15"/>
    <w:rsid w:val="00392C83"/>
    <w:rsid w:val="00394D6D"/>
    <w:rsid w:val="003A0458"/>
    <w:rsid w:val="003A23AF"/>
    <w:rsid w:val="003A3473"/>
    <w:rsid w:val="003A7811"/>
    <w:rsid w:val="003B2008"/>
    <w:rsid w:val="003B3D5D"/>
    <w:rsid w:val="003B67C4"/>
    <w:rsid w:val="003C21E2"/>
    <w:rsid w:val="003C5E2B"/>
    <w:rsid w:val="003C6DEB"/>
    <w:rsid w:val="003D77A0"/>
    <w:rsid w:val="003E2137"/>
    <w:rsid w:val="003E4E6F"/>
    <w:rsid w:val="003F0E25"/>
    <w:rsid w:val="003F2806"/>
    <w:rsid w:val="003F403B"/>
    <w:rsid w:val="003F6703"/>
    <w:rsid w:val="003F7CFD"/>
    <w:rsid w:val="003F7E23"/>
    <w:rsid w:val="00401398"/>
    <w:rsid w:val="00402891"/>
    <w:rsid w:val="00404B54"/>
    <w:rsid w:val="004104B3"/>
    <w:rsid w:val="00416961"/>
    <w:rsid w:val="00422315"/>
    <w:rsid w:val="00425A7A"/>
    <w:rsid w:val="004303E4"/>
    <w:rsid w:val="00430BB8"/>
    <w:rsid w:val="00431FA1"/>
    <w:rsid w:val="004324D1"/>
    <w:rsid w:val="004351EA"/>
    <w:rsid w:val="004455F6"/>
    <w:rsid w:val="0044740E"/>
    <w:rsid w:val="0045148B"/>
    <w:rsid w:val="00457521"/>
    <w:rsid w:val="0047020D"/>
    <w:rsid w:val="00471331"/>
    <w:rsid w:val="00471977"/>
    <w:rsid w:val="00486263"/>
    <w:rsid w:val="00486864"/>
    <w:rsid w:val="00487A04"/>
    <w:rsid w:val="00493BBE"/>
    <w:rsid w:val="00495781"/>
    <w:rsid w:val="00497F33"/>
    <w:rsid w:val="004A6728"/>
    <w:rsid w:val="004A682E"/>
    <w:rsid w:val="004B0537"/>
    <w:rsid w:val="004B23C1"/>
    <w:rsid w:val="004B363E"/>
    <w:rsid w:val="004B3F99"/>
    <w:rsid w:val="004B556D"/>
    <w:rsid w:val="004B5CE8"/>
    <w:rsid w:val="004B5DDC"/>
    <w:rsid w:val="004B6C79"/>
    <w:rsid w:val="004B7737"/>
    <w:rsid w:val="004C230F"/>
    <w:rsid w:val="004C3369"/>
    <w:rsid w:val="004C3DA8"/>
    <w:rsid w:val="004D17D9"/>
    <w:rsid w:val="004D2E2D"/>
    <w:rsid w:val="004D48C2"/>
    <w:rsid w:val="004D5E1C"/>
    <w:rsid w:val="004D7523"/>
    <w:rsid w:val="004E4B8F"/>
    <w:rsid w:val="004E5218"/>
    <w:rsid w:val="004E5E69"/>
    <w:rsid w:val="004E69F6"/>
    <w:rsid w:val="004F2BFE"/>
    <w:rsid w:val="004F3FC0"/>
    <w:rsid w:val="004F4BA2"/>
    <w:rsid w:val="004F7F42"/>
    <w:rsid w:val="00502C59"/>
    <w:rsid w:val="005071A1"/>
    <w:rsid w:val="005110E5"/>
    <w:rsid w:val="0051284E"/>
    <w:rsid w:val="00512C6C"/>
    <w:rsid w:val="005142D5"/>
    <w:rsid w:val="005146BD"/>
    <w:rsid w:val="00521C31"/>
    <w:rsid w:val="00522A88"/>
    <w:rsid w:val="00532DD1"/>
    <w:rsid w:val="00536A1F"/>
    <w:rsid w:val="0053795D"/>
    <w:rsid w:val="00537F1C"/>
    <w:rsid w:val="00541B1A"/>
    <w:rsid w:val="00542BEB"/>
    <w:rsid w:val="00543946"/>
    <w:rsid w:val="00543E35"/>
    <w:rsid w:val="005447BA"/>
    <w:rsid w:val="00554DDD"/>
    <w:rsid w:val="00555108"/>
    <w:rsid w:val="00556060"/>
    <w:rsid w:val="0056083B"/>
    <w:rsid w:val="00561C3B"/>
    <w:rsid w:val="00565F7F"/>
    <w:rsid w:val="005663EA"/>
    <w:rsid w:val="00573B2B"/>
    <w:rsid w:val="00580962"/>
    <w:rsid w:val="005841E6"/>
    <w:rsid w:val="00584636"/>
    <w:rsid w:val="00586D96"/>
    <w:rsid w:val="005901DC"/>
    <w:rsid w:val="0059173F"/>
    <w:rsid w:val="005963D3"/>
    <w:rsid w:val="005977F3"/>
    <w:rsid w:val="005A025A"/>
    <w:rsid w:val="005A0FBD"/>
    <w:rsid w:val="005A1855"/>
    <w:rsid w:val="005A25E7"/>
    <w:rsid w:val="005A3785"/>
    <w:rsid w:val="005A5758"/>
    <w:rsid w:val="005A58C4"/>
    <w:rsid w:val="005A630C"/>
    <w:rsid w:val="005B5114"/>
    <w:rsid w:val="005C0A5C"/>
    <w:rsid w:val="005C26FC"/>
    <w:rsid w:val="005C387F"/>
    <w:rsid w:val="005C6395"/>
    <w:rsid w:val="005C757E"/>
    <w:rsid w:val="005D0079"/>
    <w:rsid w:val="005D321C"/>
    <w:rsid w:val="005D6F87"/>
    <w:rsid w:val="005D7425"/>
    <w:rsid w:val="005E3BDD"/>
    <w:rsid w:val="005E6FCE"/>
    <w:rsid w:val="005F023A"/>
    <w:rsid w:val="005F0DE9"/>
    <w:rsid w:val="005F2833"/>
    <w:rsid w:val="00603159"/>
    <w:rsid w:val="00604D7D"/>
    <w:rsid w:val="006060FC"/>
    <w:rsid w:val="0061178C"/>
    <w:rsid w:val="006128AF"/>
    <w:rsid w:val="00617617"/>
    <w:rsid w:val="00617935"/>
    <w:rsid w:val="00622F4A"/>
    <w:rsid w:val="006240B4"/>
    <w:rsid w:val="00627223"/>
    <w:rsid w:val="006328DF"/>
    <w:rsid w:val="00633822"/>
    <w:rsid w:val="00634E94"/>
    <w:rsid w:val="006406F1"/>
    <w:rsid w:val="006410FB"/>
    <w:rsid w:val="00643763"/>
    <w:rsid w:val="00647A6D"/>
    <w:rsid w:val="00647BA7"/>
    <w:rsid w:val="00650BD8"/>
    <w:rsid w:val="00655CDF"/>
    <w:rsid w:val="00663197"/>
    <w:rsid w:val="006671FF"/>
    <w:rsid w:val="006700EF"/>
    <w:rsid w:val="006710F7"/>
    <w:rsid w:val="006725A1"/>
    <w:rsid w:val="00674582"/>
    <w:rsid w:val="0067517C"/>
    <w:rsid w:val="00684A1F"/>
    <w:rsid w:val="00685CA7"/>
    <w:rsid w:val="00685DF4"/>
    <w:rsid w:val="006917DA"/>
    <w:rsid w:val="00694B5B"/>
    <w:rsid w:val="006A0FBB"/>
    <w:rsid w:val="006A1604"/>
    <w:rsid w:val="006A1E9F"/>
    <w:rsid w:val="006A313B"/>
    <w:rsid w:val="006A7713"/>
    <w:rsid w:val="006B1010"/>
    <w:rsid w:val="006B1570"/>
    <w:rsid w:val="006B18A9"/>
    <w:rsid w:val="006B6E48"/>
    <w:rsid w:val="006B75AB"/>
    <w:rsid w:val="006B7CC4"/>
    <w:rsid w:val="006C2BC8"/>
    <w:rsid w:val="006C4B20"/>
    <w:rsid w:val="006C5187"/>
    <w:rsid w:val="006C5C04"/>
    <w:rsid w:val="006C5CE5"/>
    <w:rsid w:val="006C6707"/>
    <w:rsid w:val="006C7245"/>
    <w:rsid w:val="006D2F3A"/>
    <w:rsid w:val="006D5CA3"/>
    <w:rsid w:val="006D6CBD"/>
    <w:rsid w:val="006E04AA"/>
    <w:rsid w:val="006E2D46"/>
    <w:rsid w:val="006E2E11"/>
    <w:rsid w:val="006E74A9"/>
    <w:rsid w:val="006F342F"/>
    <w:rsid w:val="006F775E"/>
    <w:rsid w:val="00702D4F"/>
    <w:rsid w:val="00703912"/>
    <w:rsid w:val="0070533E"/>
    <w:rsid w:val="00706A8F"/>
    <w:rsid w:val="00706C29"/>
    <w:rsid w:val="007071B7"/>
    <w:rsid w:val="00711173"/>
    <w:rsid w:val="0071474F"/>
    <w:rsid w:val="007174FD"/>
    <w:rsid w:val="00721115"/>
    <w:rsid w:val="00722AE4"/>
    <w:rsid w:val="00723DBA"/>
    <w:rsid w:val="0072503F"/>
    <w:rsid w:val="00736E6B"/>
    <w:rsid w:val="0074080C"/>
    <w:rsid w:val="00742A5B"/>
    <w:rsid w:val="007511A7"/>
    <w:rsid w:val="007516AE"/>
    <w:rsid w:val="00755C30"/>
    <w:rsid w:val="007620F9"/>
    <w:rsid w:val="00764178"/>
    <w:rsid w:val="0076666E"/>
    <w:rsid w:val="007702DE"/>
    <w:rsid w:val="0077497A"/>
    <w:rsid w:val="00775F00"/>
    <w:rsid w:val="00781B97"/>
    <w:rsid w:val="00781FBB"/>
    <w:rsid w:val="007836E2"/>
    <w:rsid w:val="0078451F"/>
    <w:rsid w:val="0078568C"/>
    <w:rsid w:val="00787C6E"/>
    <w:rsid w:val="00790719"/>
    <w:rsid w:val="0079103B"/>
    <w:rsid w:val="00792547"/>
    <w:rsid w:val="0079359B"/>
    <w:rsid w:val="007A274F"/>
    <w:rsid w:val="007A2B07"/>
    <w:rsid w:val="007A3F83"/>
    <w:rsid w:val="007A7CF9"/>
    <w:rsid w:val="007A7D58"/>
    <w:rsid w:val="007B0E4E"/>
    <w:rsid w:val="007B307C"/>
    <w:rsid w:val="007B3AA3"/>
    <w:rsid w:val="007B3EAE"/>
    <w:rsid w:val="007B4C36"/>
    <w:rsid w:val="007B7D48"/>
    <w:rsid w:val="007B7DB8"/>
    <w:rsid w:val="007C0EBF"/>
    <w:rsid w:val="007C1B4B"/>
    <w:rsid w:val="007C4103"/>
    <w:rsid w:val="007C42C2"/>
    <w:rsid w:val="007C4FD3"/>
    <w:rsid w:val="007C5346"/>
    <w:rsid w:val="007D146E"/>
    <w:rsid w:val="007D1AE9"/>
    <w:rsid w:val="007D2C4C"/>
    <w:rsid w:val="007D33FC"/>
    <w:rsid w:val="007D4168"/>
    <w:rsid w:val="007E16ED"/>
    <w:rsid w:val="007E4BCF"/>
    <w:rsid w:val="007E5A16"/>
    <w:rsid w:val="007F2197"/>
    <w:rsid w:val="007F5CF0"/>
    <w:rsid w:val="007F6CD4"/>
    <w:rsid w:val="008017D3"/>
    <w:rsid w:val="00802CFC"/>
    <w:rsid w:val="0080707B"/>
    <w:rsid w:val="00814B97"/>
    <w:rsid w:val="00815B08"/>
    <w:rsid w:val="008204F6"/>
    <w:rsid w:val="008223C6"/>
    <w:rsid w:val="00822BF6"/>
    <w:rsid w:val="00823F53"/>
    <w:rsid w:val="008341D0"/>
    <w:rsid w:val="008343EC"/>
    <w:rsid w:val="008363CE"/>
    <w:rsid w:val="0084059D"/>
    <w:rsid w:val="008406A7"/>
    <w:rsid w:val="00842200"/>
    <w:rsid w:val="00845DF3"/>
    <w:rsid w:val="008522DD"/>
    <w:rsid w:val="008557A4"/>
    <w:rsid w:val="00865657"/>
    <w:rsid w:val="00866594"/>
    <w:rsid w:val="0086783D"/>
    <w:rsid w:val="00867BEF"/>
    <w:rsid w:val="00870F2E"/>
    <w:rsid w:val="00872339"/>
    <w:rsid w:val="00880085"/>
    <w:rsid w:val="00884F5D"/>
    <w:rsid w:val="008851A7"/>
    <w:rsid w:val="00891936"/>
    <w:rsid w:val="00892B96"/>
    <w:rsid w:val="0089327D"/>
    <w:rsid w:val="00893454"/>
    <w:rsid w:val="00894E26"/>
    <w:rsid w:val="00895BBB"/>
    <w:rsid w:val="00896CA7"/>
    <w:rsid w:val="00897FCD"/>
    <w:rsid w:val="008A1A7A"/>
    <w:rsid w:val="008A2EB6"/>
    <w:rsid w:val="008A56BF"/>
    <w:rsid w:val="008A57F2"/>
    <w:rsid w:val="008A6876"/>
    <w:rsid w:val="008B00F4"/>
    <w:rsid w:val="008B0C85"/>
    <w:rsid w:val="008B2B3D"/>
    <w:rsid w:val="008B381F"/>
    <w:rsid w:val="008B5DDA"/>
    <w:rsid w:val="008B76B1"/>
    <w:rsid w:val="008C007F"/>
    <w:rsid w:val="008C0428"/>
    <w:rsid w:val="008C20E6"/>
    <w:rsid w:val="008C719E"/>
    <w:rsid w:val="008D0B11"/>
    <w:rsid w:val="008D1332"/>
    <w:rsid w:val="008D285E"/>
    <w:rsid w:val="008D34E1"/>
    <w:rsid w:val="008D415C"/>
    <w:rsid w:val="008D423B"/>
    <w:rsid w:val="008E6510"/>
    <w:rsid w:val="008E6DB5"/>
    <w:rsid w:val="008F1670"/>
    <w:rsid w:val="00900840"/>
    <w:rsid w:val="00904C1D"/>
    <w:rsid w:val="009055E0"/>
    <w:rsid w:val="00905837"/>
    <w:rsid w:val="009118E7"/>
    <w:rsid w:val="009221AF"/>
    <w:rsid w:val="009259DE"/>
    <w:rsid w:val="00930A3A"/>
    <w:rsid w:val="009318FB"/>
    <w:rsid w:val="00933C69"/>
    <w:rsid w:val="00935E08"/>
    <w:rsid w:val="00940058"/>
    <w:rsid w:val="00940315"/>
    <w:rsid w:val="0094289A"/>
    <w:rsid w:val="0094490F"/>
    <w:rsid w:val="00946AD1"/>
    <w:rsid w:val="0095251D"/>
    <w:rsid w:val="00952D5F"/>
    <w:rsid w:val="009536B2"/>
    <w:rsid w:val="0095491A"/>
    <w:rsid w:val="009606C8"/>
    <w:rsid w:val="00963DC3"/>
    <w:rsid w:val="00965C19"/>
    <w:rsid w:val="0096602F"/>
    <w:rsid w:val="00970F12"/>
    <w:rsid w:val="0097471A"/>
    <w:rsid w:val="009809BD"/>
    <w:rsid w:val="00983847"/>
    <w:rsid w:val="00985D96"/>
    <w:rsid w:val="00986147"/>
    <w:rsid w:val="009A1BBB"/>
    <w:rsid w:val="009B0918"/>
    <w:rsid w:val="009B2146"/>
    <w:rsid w:val="009B23F1"/>
    <w:rsid w:val="009B593A"/>
    <w:rsid w:val="009B5F19"/>
    <w:rsid w:val="009C1384"/>
    <w:rsid w:val="009C1D06"/>
    <w:rsid w:val="009C4207"/>
    <w:rsid w:val="009C78C7"/>
    <w:rsid w:val="009D209F"/>
    <w:rsid w:val="009D2E6A"/>
    <w:rsid w:val="009D7658"/>
    <w:rsid w:val="009E0DED"/>
    <w:rsid w:val="009E36F0"/>
    <w:rsid w:val="009E6EA2"/>
    <w:rsid w:val="009E7466"/>
    <w:rsid w:val="009F0D2F"/>
    <w:rsid w:val="009F2D5C"/>
    <w:rsid w:val="00A03714"/>
    <w:rsid w:val="00A07A50"/>
    <w:rsid w:val="00A10602"/>
    <w:rsid w:val="00A10E67"/>
    <w:rsid w:val="00A1214E"/>
    <w:rsid w:val="00A12DF1"/>
    <w:rsid w:val="00A13568"/>
    <w:rsid w:val="00A14D7E"/>
    <w:rsid w:val="00A167FB"/>
    <w:rsid w:val="00A23282"/>
    <w:rsid w:val="00A25777"/>
    <w:rsid w:val="00A263E9"/>
    <w:rsid w:val="00A264E8"/>
    <w:rsid w:val="00A307A7"/>
    <w:rsid w:val="00A31821"/>
    <w:rsid w:val="00A31838"/>
    <w:rsid w:val="00A34520"/>
    <w:rsid w:val="00A35384"/>
    <w:rsid w:val="00A354ED"/>
    <w:rsid w:val="00A35530"/>
    <w:rsid w:val="00A358EF"/>
    <w:rsid w:val="00A35CC5"/>
    <w:rsid w:val="00A4082B"/>
    <w:rsid w:val="00A4214B"/>
    <w:rsid w:val="00A44258"/>
    <w:rsid w:val="00A45C00"/>
    <w:rsid w:val="00A46219"/>
    <w:rsid w:val="00A47C17"/>
    <w:rsid w:val="00A545C2"/>
    <w:rsid w:val="00A60AA6"/>
    <w:rsid w:val="00A60E65"/>
    <w:rsid w:val="00A62783"/>
    <w:rsid w:val="00A662AA"/>
    <w:rsid w:val="00A73251"/>
    <w:rsid w:val="00A737FA"/>
    <w:rsid w:val="00A7610D"/>
    <w:rsid w:val="00A77C54"/>
    <w:rsid w:val="00A77F92"/>
    <w:rsid w:val="00A80817"/>
    <w:rsid w:val="00A84CD4"/>
    <w:rsid w:val="00A86262"/>
    <w:rsid w:val="00A87997"/>
    <w:rsid w:val="00A90B9E"/>
    <w:rsid w:val="00A944DE"/>
    <w:rsid w:val="00A97953"/>
    <w:rsid w:val="00AA5684"/>
    <w:rsid w:val="00AB335C"/>
    <w:rsid w:val="00AB6937"/>
    <w:rsid w:val="00AC3E98"/>
    <w:rsid w:val="00AC52A0"/>
    <w:rsid w:val="00AD0DFC"/>
    <w:rsid w:val="00AD3A7B"/>
    <w:rsid w:val="00AD6C1E"/>
    <w:rsid w:val="00AD7D6C"/>
    <w:rsid w:val="00AE20A9"/>
    <w:rsid w:val="00AE3B80"/>
    <w:rsid w:val="00AE49F4"/>
    <w:rsid w:val="00AE5E16"/>
    <w:rsid w:val="00AE68C9"/>
    <w:rsid w:val="00AE6E24"/>
    <w:rsid w:val="00AF03DC"/>
    <w:rsid w:val="00AF0467"/>
    <w:rsid w:val="00AF206D"/>
    <w:rsid w:val="00AF332E"/>
    <w:rsid w:val="00AF397A"/>
    <w:rsid w:val="00AF590F"/>
    <w:rsid w:val="00AF7397"/>
    <w:rsid w:val="00B02A4B"/>
    <w:rsid w:val="00B02D84"/>
    <w:rsid w:val="00B03FA0"/>
    <w:rsid w:val="00B0773A"/>
    <w:rsid w:val="00B121CE"/>
    <w:rsid w:val="00B12E10"/>
    <w:rsid w:val="00B2070C"/>
    <w:rsid w:val="00B21BFF"/>
    <w:rsid w:val="00B23439"/>
    <w:rsid w:val="00B23496"/>
    <w:rsid w:val="00B276B7"/>
    <w:rsid w:val="00B37904"/>
    <w:rsid w:val="00B40E06"/>
    <w:rsid w:val="00B417E7"/>
    <w:rsid w:val="00B41A77"/>
    <w:rsid w:val="00B42309"/>
    <w:rsid w:val="00B42768"/>
    <w:rsid w:val="00B439F0"/>
    <w:rsid w:val="00B50962"/>
    <w:rsid w:val="00B50C87"/>
    <w:rsid w:val="00B510E5"/>
    <w:rsid w:val="00B60202"/>
    <w:rsid w:val="00B61A75"/>
    <w:rsid w:val="00B741B7"/>
    <w:rsid w:val="00B76EE8"/>
    <w:rsid w:val="00B8105E"/>
    <w:rsid w:val="00B81C4C"/>
    <w:rsid w:val="00B82FB3"/>
    <w:rsid w:val="00B83D75"/>
    <w:rsid w:val="00B9179A"/>
    <w:rsid w:val="00B91D66"/>
    <w:rsid w:val="00B93050"/>
    <w:rsid w:val="00B93771"/>
    <w:rsid w:val="00B95B40"/>
    <w:rsid w:val="00B97F37"/>
    <w:rsid w:val="00BB04F4"/>
    <w:rsid w:val="00BB39D5"/>
    <w:rsid w:val="00BB4137"/>
    <w:rsid w:val="00BB54A8"/>
    <w:rsid w:val="00BC2954"/>
    <w:rsid w:val="00BD295F"/>
    <w:rsid w:val="00BD469B"/>
    <w:rsid w:val="00BD501B"/>
    <w:rsid w:val="00BD5AA0"/>
    <w:rsid w:val="00BE351B"/>
    <w:rsid w:val="00BE3B50"/>
    <w:rsid w:val="00BE3FC8"/>
    <w:rsid w:val="00BF6729"/>
    <w:rsid w:val="00C036C6"/>
    <w:rsid w:val="00C0517E"/>
    <w:rsid w:val="00C068AC"/>
    <w:rsid w:val="00C07BE2"/>
    <w:rsid w:val="00C13351"/>
    <w:rsid w:val="00C25875"/>
    <w:rsid w:val="00C25A92"/>
    <w:rsid w:val="00C40494"/>
    <w:rsid w:val="00C40636"/>
    <w:rsid w:val="00C418CC"/>
    <w:rsid w:val="00C4494E"/>
    <w:rsid w:val="00C45237"/>
    <w:rsid w:val="00C54340"/>
    <w:rsid w:val="00C54CE9"/>
    <w:rsid w:val="00C558D2"/>
    <w:rsid w:val="00C562B0"/>
    <w:rsid w:val="00C60FDA"/>
    <w:rsid w:val="00C6240F"/>
    <w:rsid w:val="00C6364A"/>
    <w:rsid w:val="00C7013D"/>
    <w:rsid w:val="00C70C12"/>
    <w:rsid w:val="00C74828"/>
    <w:rsid w:val="00C76569"/>
    <w:rsid w:val="00C769D2"/>
    <w:rsid w:val="00C81FB3"/>
    <w:rsid w:val="00C8568D"/>
    <w:rsid w:val="00C85F39"/>
    <w:rsid w:val="00C862C7"/>
    <w:rsid w:val="00C86B5A"/>
    <w:rsid w:val="00C9630D"/>
    <w:rsid w:val="00C9745E"/>
    <w:rsid w:val="00CB0C82"/>
    <w:rsid w:val="00CB2AAF"/>
    <w:rsid w:val="00CB47BC"/>
    <w:rsid w:val="00CB6BFC"/>
    <w:rsid w:val="00CC1D78"/>
    <w:rsid w:val="00CC73FF"/>
    <w:rsid w:val="00CD298E"/>
    <w:rsid w:val="00CD55B1"/>
    <w:rsid w:val="00CE15A0"/>
    <w:rsid w:val="00CE544A"/>
    <w:rsid w:val="00CF23E5"/>
    <w:rsid w:val="00CF26E1"/>
    <w:rsid w:val="00CF278B"/>
    <w:rsid w:val="00CF3236"/>
    <w:rsid w:val="00CF4DF5"/>
    <w:rsid w:val="00CF5A4A"/>
    <w:rsid w:val="00D023F0"/>
    <w:rsid w:val="00D02894"/>
    <w:rsid w:val="00D031BE"/>
    <w:rsid w:val="00D12756"/>
    <w:rsid w:val="00D13890"/>
    <w:rsid w:val="00D14C82"/>
    <w:rsid w:val="00D16BA0"/>
    <w:rsid w:val="00D16F81"/>
    <w:rsid w:val="00D24A14"/>
    <w:rsid w:val="00D3272F"/>
    <w:rsid w:val="00D33840"/>
    <w:rsid w:val="00D43460"/>
    <w:rsid w:val="00D44568"/>
    <w:rsid w:val="00D4456B"/>
    <w:rsid w:val="00D51A91"/>
    <w:rsid w:val="00D532B2"/>
    <w:rsid w:val="00D53A4A"/>
    <w:rsid w:val="00D53D77"/>
    <w:rsid w:val="00D55A23"/>
    <w:rsid w:val="00D60D36"/>
    <w:rsid w:val="00D6100C"/>
    <w:rsid w:val="00D619D7"/>
    <w:rsid w:val="00D630BD"/>
    <w:rsid w:val="00D70A75"/>
    <w:rsid w:val="00D76CCC"/>
    <w:rsid w:val="00D80F8A"/>
    <w:rsid w:val="00D81673"/>
    <w:rsid w:val="00D82970"/>
    <w:rsid w:val="00D83553"/>
    <w:rsid w:val="00D86A9C"/>
    <w:rsid w:val="00D86D81"/>
    <w:rsid w:val="00D94139"/>
    <w:rsid w:val="00D956E2"/>
    <w:rsid w:val="00D9635C"/>
    <w:rsid w:val="00D9678C"/>
    <w:rsid w:val="00DA2081"/>
    <w:rsid w:val="00DA2F74"/>
    <w:rsid w:val="00DA4848"/>
    <w:rsid w:val="00DA6F44"/>
    <w:rsid w:val="00DB1C7C"/>
    <w:rsid w:val="00DB293E"/>
    <w:rsid w:val="00DB2AA5"/>
    <w:rsid w:val="00DB3306"/>
    <w:rsid w:val="00DB47FB"/>
    <w:rsid w:val="00DB4DF6"/>
    <w:rsid w:val="00DB5615"/>
    <w:rsid w:val="00DC11DA"/>
    <w:rsid w:val="00DC33E2"/>
    <w:rsid w:val="00DC5D22"/>
    <w:rsid w:val="00DC6949"/>
    <w:rsid w:val="00DD266D"/>
    <w:rsid w:val="00DD2B58"/>
    <w:rsid w:val="00DD5D89"/>
    <w:rsid w:val="00DD66F2"/>
    <w:rsid w:val="00DF01BC"/>
    <w:rsid w:val="00DF2DB3"/>
    <w:rsid w:val="00E0019C"/>
    <w:rsid w:val="00E01CDD"/>
    <w:rsid w:val="00E024CE"/>
    <w:rsid w:val="00E05CAC"/>
    <w:rsid w:val="00E14508"/>
    <w:rsid w:val="00E22434"/>
    <w:rsid w:val="00E232B5"/>
    <w:rsid w:val="00E23D5D"/>
    <w:rsid w:val="00E258D5"/>
    <w:rsid w:val="00E26AA4"/>
    <w:rsid w:val="00E30783"/>
    <w:rsid w:val="00E3087A"/>
    <w:rsid w:val="00E34307"/>
    <w:rsid w:val="00E40917"/>
    <w:rsid w:val="00E417D3"/>
    <w:rsid w:val="00E4380C"/>
    <w:rsid w:val="00E4659D"/>
    <w:rsid w:val="00E474BB"/>
    <w:rsid w:val="00E47674"/>
    <w:rsid w:val="00E47E0B"/>
    <w:rsid w:val="00E5050D"/>
    <w:rsid w:val="00E62266"/>
    <w:rsid w:val="00E62AC8"/>
    <w:rsid w:val="00E70B27"/>
    <w:rsid w:val="00E71442"/>
    <w:rsid w:val="00E75E72"/>
    <w:rsid w:val="00E86458"/>
    <w:rsid w:val="00E87CEF"/>
    <w:rsid w:val="00E9073A"/>
    <w:rsid w:val="00E943C3"/>
    <w:rsid w:val="00E95B23"/>
    <w:rsid w:val="00E97C9B"/>
    <w:rsid w:val="00EA41B0"/>
    <w:rsid w:val="00EA70ED"/>
    <w:rsid w:val="00EB0628"/>
    <w:rsid w:val="00EB3132"/>
    <w:rsid w:val="00EB40EB"/>
    <w:rsid w:val="00EC2800"/>
    <w:rsid w:val="00EC3DC0"/>
    <w:rsid w:val="00EC68D6"/>
    <w:rsid w:val="00ED20BA"/>
    <w:rsid w:val="00ED54AC"/>
    <w:rsid w:val="00EE6222"/>
    <w:rsid w:val="00EE7F79"/>
    <w:rsid w:val="00EF2CBD"/>
    <w:rsid w:val="00EF71C2"/>
    <w:rsid w:val="00EF7E32"/>
    <w:rsid w:val="00F00958"/>
    <w:rsid w:val="00F10B8F"/>
    <w:rsid w:val="00F12812"/>
    <w:rsid w:val="00F12A9D"/>
    <w:rsid w:val="00F20925"/>
    <w:rsid w:val="00F26499"/>
    <w:rsid w:val="00F26D7B"/>
    <w:rsid w:val="00F2735C"/>
    <w:rsid w:val="00F2798B"/>
    <w:rsid w:val="00F27B10"/>
    <w:rsid w:val="00F337F2"/>
    <w:rsid w:val="00F34C05"/>
    <w:rsid w:val="00F37055"/>
    <w:rsid w:val="00F37116"/>
    <w:rsid w:val="00F42C7D"/>
    <w:rsid w:val="00F50F9F"/>
    <w:rsid w:val="00F520FA"/>
    <w:rsid w:val="00F5271B"/>
    <w:rsid w:val="00F52A07"/>
    <w:rsid w:val="00F531EF"/>
    <w:rsid w:val="00F55454"/>
    <w:rsid w:val="00F57B99"/>
    <w:rsid w:val="00F615EC"/>
    <w:rsid w:val="00F61DC6"/>
    <w:rsid w:val="00F622C2"/>
    <w:rsid w:val="00F66D52"/>
    <w:rsid w:val="00F74E2D"/>
    <w:rsid w:val="00F75EF5"/>
    <w:rsid w:val="00F830DE"/>
    <w:rsid w:val="00F833C0"/>
    <w:rsid w:val="00F9273B"/>
    <w:rsid w:val="00F945EA"/>
    <w:rsid w:val="00F9690F"/>
    <w:rsid w:val="00FA0A15"/>
    <w:rsid w:val="00FA7B44"/>
    <w:rsid w:val="00FB394F"/>
    <w:rsid w:val="00FB4960"/>
    <w:rsid w:val="00FB6B58"/>
    <w:rsid w:val="00FB776E"/>
    <w:rsid w:val="00FC5933"/>
    <w:rsid w:val="00FC5B8F"/>
    <w:rsid w:val="00FC629C"/>
    <w:rsid w:val="00FD15B1"/>
    <w:rsid w:val="00FD34C8"/>
    <w:rsid w:val="00FD57EB"/>
    <w:rsid w:val="00FD5898"/>
    <w:rsid w:val="00FE4929"/>
    <w:rsid w:val="00FF761B"/>
    <w:rsid w:val="00FF7FC0"/>
    <w:rsid w:val="03CC5D27"/>
    <w:rsid w:val="041610F1"/>
    <w:rsid w:val="05B64EE1"/>
    <w:rsid w:val="0F035FD0"/>
    <w:rsid w:val="1A3F53E4"/>
    <w:rsid w:val="1B6A60FA"/>
    <w:rsid w:val="1CB720CB"/>
    <w:rsid w:val="243279D1"/>
    <w:rsid w:val="2DFD7FE0"/>
    <w:rsid w:val="39BF18AF"/>
    <w:rsid w:val="3B985F13"/>
    <w:rsid w:val="42611755"/>
    <w:rsid w:val="45100C41"/>
    <w:rsid w:val="452B429C"/>
    <w:rsid w:val="458C5497"/>
    <w:rsid w:val="56876E58"/>
    <w:rsid w:val="598B54DB"/>
    <w:rsid w:val="61BD7BD2"/>
    <w:rsid w:val="69B33D95"/>
    <w:rsid w:val="6F483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unhideWhenUsed/>
    <w:qFormat/>
    <w:uiPriority w:val="99"/>
    <w:pPr>
      <w:jc w:val="left"/>
    </w:pPr>
  </w:style>
  <w:style w:type="paragraph" w:styleId="3">
    <w:name w:val="Balloon Text"/>
    <w:basedOn w:val="1"/>
    <w:link w:val="21"/>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widowControl/>
      <w:spacing w:after="100" w:line="259" w:lineRule="auto"/>
      <w:jc w:val="left"/>
    </w:pPr>
    <w:rPr>
      <w:rFonts w:ascii="等线" w:hAnsi="等线" w:eastAsia="等线"/>
      <w:kern w:val="0"/>
      <w:sz w:val="22"/>
    </w:rPr>
  </w:style>
  <w:style w:type="paragraph" w:styleId="7">
    <w:name w:val="footnote text"/>
    <w:basedOn w:val="1"/>
    <w:link w:val="19"/>
    <w:semiHidden/>
    <w:unhideWhenUsed/>
    <w:qFormat/>
    <w:uiPriority w:val="99"/>
    <w:pPr>
      <w:snapToGrid w:val="0"/>
      <w:jc w:val="left"/>
    </w:pPr>
    <w:rPr>
      <w:sz w:val="18"/>
      <w:szCs w:val="18"/>
    </w:rPr>
  </w:style>
  <w:style w:type="paragraph" w:styleId="8">
    <w:name w:val="annotation subject"/>
    <w:basedOn w:val="2"/>
    <w:next w:val="2"/>
    <w:link w:val="23"/>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unhideWhenUsed/>
    <w:qFormat/>
    <w:uiPriority w:val="99"/>
    <w:rPr>
      <w:color w:val="0563C1"/>
      <w:u w:val="single"/>
    </w:rPr>
  </w:style>
  <w:style w:type="character" w:styleId="13">
    <w:name w:val="annotation reference"/>
    <w:basedOn w:val="11"/>
    <w:semiHidden/>
    <w:unhideWhenUsed/>
    <w:qFormat/>
    <w:uiPriority w:val="99"/>
    <w:rPr>
      <w:sz w:val="21"/>
      <w:szCs w:val="21"/>
    </w:rPr>
  </w:style>
  <w:style w:type="character" w:styleId="14">
    <w:name w:val="footnote reference"/>
    <w:basedOn w:val="11"/>
    <w:semiHidden/>
    <w:unhideWhenUsed/>
    <w:qFormat/>
    <w:uiPriority w:val="99"/>
    <w:rPr>
      <w:vertAlign w:val="superscript"/>
    </w:rPr>
  </w:style>
  <w:style w:type="character" w:customStyle="1" w:styleId="15">
    <w:name w:val="页眉 字符"/>
    <w:basedOn w:val="11"/>
    <w:link w:val="5"/>
    <w:qFormat/>
    <w:uiPriority w:val="99"/>
    <w:rPr>
      <w:sz w:val="18"/>
      <w:szCs w:val="18"/>
    </w:rPr>
  </w:style>
  <w:style w:type="character" w:customStyle="1" w:styleId="16">
    <w:name w:val="页脚 字符"/>
    <w:basedOn w:val="11"/>
    <w:link w:val="4"/>
    <w:qFormat/>
    <w:uiPriority w:val="99"/>
    <w:rPr>
      <w:sz w:val="18"/>
      <w:szCs w:val="18"/>
    </w:rPr>
  </w:style>
  <w:style w:type="paragraph" w:styleId="17">
    <w:name w:val="List Paragraph"/>
    <w:basedOn w:val="1"/>
    <w:qFormat/>
    <w:uiPriority w:val="34"/>
    <w:pPr>
      <w:ind w:firstLine="420" w:firstLineChars="200"/>
    </w:pPr>
  </w:style>
  <w:style w:type="paragraph" w:customStyle="1" w:styleId="18">
    <w:name w:val="Normal-TableGrid-BR2"/>
    <w:qFormat/>
    <w:uiPriority w:val="0"/>
    <w:rPr>
      <w:rFonts w:asciiTheme="minorHAnsi" w:hAnsiTheme="minorHAnsi" w:eastAsiaTheme="minorHAnsi" w:cstheme="minorBidi"/>
      <w:sz w:val="22"/>
      <w:szCs w:val="22"/>
      <w:lang w:val="en-US" w:eastAsia="zh-CN" w:bidi="ar-SA"/>
    </w:rPr>
  </w:style>
  <w:style w:type="character" w:customStyle="1" w:styleId="19">
    <w:name w:val="脚注文本 字符"/>
    <w:basedOn w:val="11"/>
    <w:link w:val="7"/>
    <w:semiHidden/>
    <w:qFormat/>
    <w:uiPriority w:val="99"/>
    <w:rPr>
      <w:sz w:val="18"/>
      <w:szCs w:val="18"/>
    </w:rPr>
  </w:style>
  <w:style w:type="paragraph" w:customStyle="1" w:styleId="20">
    <w:name w:val="_Style 13"/>
    <w:basedOn w:val="1"/>
    <w:next w:val="17"/>
    <w:qFormat/>
    <w:uiPriority w:val="34"/>
    <w:pPr>
      <w:ind w:firstLine="420" w:firstLineChars="200"/>
    </w:pPr>
    <w:rPr>
      <w:rFonts w:ascii="Calibri" w:hAnsi="Calibri" w:eastAsia="宋体" w:cs="Times New Roman"/>
    </w:rPr>
  </w:style>
  <w:style w:type="character" w:customStyle="1" w:styleId="21">
    <w:name w:val="批注框文本 字符"/>
    <w:basedOn w:val="11"/>
    <w:link w:val="3"/>
    <w:semiHidden/>
    <w:qFormat/>
    <w:uiPriority w:val="99"/>
    <w:rPr>
      <w:sz w:val="18"/>
      <w:szCs w:val="18"/>
    </w:rPr>
  </w:style>
  <w:style w:type="character" w:customStyle="1" w:styleId="22">
    <w:name w:val="批注文字 字符"/>
    <w:basedOn w:val="11"/>
    <w:link w:val="2"/>
    <w:semiHidden/>
    <w:qFormat/>
    <w:uiPriority w:val="99"/>
  </w:style>
  <w:style w:type="character" w:customStyle="1" w:styleId="23">
    <w:name w:val="批注主题 字符"/>
    <w:basedOn w:val="22"/>
    <w:link w:val="8"/>
    <w:semiHidden/>
    <w:qFormat/>
    <w:uiPriority w:val="99"/>
    <w:rPr>
      <w:b/>
      <w:bCs/>
    </w:rPr>
  </w:style>
  <w:style w:type="paragraph" w:customStyle="1" w:styleId="24">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5">
    <w:name w:val="论文正文"/>
    <w:basedOn w:val="1"/>
    <w:qFormat/>
    <w:uiPriority w:val="0"/>
    <w:pPr>
      <w:spacing w:line="400" w:lineRule="exact"/>
      <w:ind w:firstLine="20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1B049-A9FB-4F52-8DF9-848B772079B2}">
  <ds:schemaRefs/>
</ds:datastoreItem>
</file>

<file path=docProps/app.xml><?xml version="1.0" encoding="utf-8"?>
<Properties xmlns="http://schemas.openxmlformats.org/officeDocument/2006/extended-properties" xmlns:vt="http://schemas.openxmlformats.org/officeDocument/2006/docPropsVTypes">
  <Template>Normal</Template>
  <Pages>4</Pages>
  <Words>488</Words>
  <Characters>2786</Characters>
  <Lines>23</Lines>
  <Paragraphs>6</Paragraphs>
  <TotalTime>10</TotalTime>
  <ScaleCrop>false</ScaleCrop>
  <LinksUpToDate>false</LinksUpToDate>
  <CharactersWithSpaces>3268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2021-05-30T10:51:00Z</dcterms:created>
  <dc:creator>dell</dc:creator>
  <cp:lastModifiedBy>刘京</cp:lastModifiedBy>
  <dcterms:modified xsi:type="dcterms:W3CDTF">2023-09-27T03:51:54Z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DCA9D5BF15B9440390AB530D3F589031_13</vt:lpwstr>
  </property>
</Properties>
</file>