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仿宋" w:cs="Times New Roman"/>
          <w:b/>
          <w:bCs/>
          <w:sz w:val="32"/>
          <w:szCs w:val="32"/>
        </w:rPr>
      </w:pPr>
      <w:r>
        <w:rPr>
          <w:rFonts w:ascii="Times New Roman" w:hAnsi="Times New Roman" w:eastAsia="仿宋" w:cs="Times New Roman"/>
          <w:b/>
          <w:bCs/>
          <w:sz w:val="32"/>
          <w:szCs w:val="32"/>
        </w:rPr>
        <w:t>传统铁路道口改造、交通便利性与城区空间演化</w:t>
      </w:r>
    </w:p>
    <w:p>
      <w:pPr>
        <w:jc w:val="center"/>
        <w:rPr>
          <w:rFonts w:hint="eastAsia" w:ascii="楷体" w:hAnsi="楷体" w:eastAsia="楷体" w:cs="楷体"/>
          <w:sz w:val="28"/>
          <w:szCs w:val="28"/>
        </w:rPr>
      </w:pPr>
      <w:r>
        <w:rPr>
          <w:rFonts w:hint="eastAsia" w:ascii="楷体" w:hAnsi="楷体" w:eastAsia="楷体" w:cs="楷体"/>
          <w:sz w:val="28"/>
          <w:szCs w:val="28"/>
        </w:rPr>
        <w:t>许志成 孙天事</w:t>
      </w:r>
    </w:p>
    <w:p>
      <w:pPr>
        <w:jc w:val="center"/>
        <w:rPr>
          <w:rFonts w:hint="eastAsia" w:ascii="楷体" w:hAnsi="楷体" w:eastAsia="楷体" w:cs="楷体"/>
          <w:sz w:val="28"/>
          <w:szCs w:val="28"/>
        </w:rPr>
      </w:pPr>
    </w:p>
    <w:p>
      <w:pPr>
        <w:widowControl/>
        <w:jc w:val="center"/>
        <w:rPr>
          <w:rFonts w:hint="eastAsia" w:ascii="楷体" w:hAnsi="楷体" w:eastAsia="楷体" w:cs="楷体"/>
          <w:sz w:val="28"/>
          <w:szCs w:val="28"/>
        </w:rPr>
      </w:pPr>
      <w:r>
        <w:rPr>
          <w:rFonts w:hint="eastAsia" w:ascii="楷体" w:hAnsi="楷体" w:eastAsia="楷体" w:cs="楷体"/>
          <w:sz w:val="28"/>
          <w:szCs w:val="28"/>
        </w:rPr>
        <w:t>附录I 附表及附图</w:t>
      </w:r>
    </w:p>
    <w:tbl>
      <w:tblPr>
        <w:tblStyle w:val="6"/>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Borders>
              <w:top w:val="nil"/>
              <w:left w:val="nil"/>
              <w:bottom w:val="nil"/>
              <w:right w:val="nil"/>
            </w:tcBorders>
          </w:tcPr>
          <w:p>
            <w:pPr>
              <w:spacing w:line="360" w:lineRule="auto"/>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drawing>
                <wp:inline distT="0" distB="0" distL="0" distR="0">
                  <wp:extent cx="2493645" cy="2244725"/>
                  <wp:effectExtent l="0" t="0" r="1905" b="3175"/>
                  <wp:docPr id="2" name="图片 2" descr="C:\Users\tianshi\AppData\Local\Temp\ksohtml153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tianshi\AppData\Local\Temp\ksohtml15320\wp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93645" cy="2244725"/>
                          </a:xfrm>
                          <a:prstGeom prst="rect">
                            <a:avLst/>
                          </a:prstGeom>
                          <a:noFill/>
                          <a:ln>
                            <a:noFill/>
                          </a:ln>
                        </pic:spPr>
                      </pic:pic>
                    </a:graphicData>
                  </a:graphic>
                </wp:inline>
              </w:drawing>
            </w:r>
          </w:p>
        </w:tc>
        <w:tc>
          <w:tcPr>
            <w:tcW w:w="4352" w:type="dxa"/>
            <w:tcBorders>
              <w:top w:val="nil"/>
              <w:left w:val="nil"/>
              <w:bottom w:val="nil"/>
              <w:right w:val="nil"/>
            </w:tcBorders>
          </w:tcPr>
          <w:p>
            <w:pPr>
              <w:spacing w:line="360" w:lineRule="auto"/>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drawing>
                <wp:inline distT="0" distB="0" distL="0" distR="0">
                  <wp:extent cx="2493645" cy="2244725"/>
                  <wp:effectExtent l="0" t="0" r="1905" b="3175"/>
                  <wp:docPr id="1" name="图片 1" descr="C:\Users\tianshi\AppData\Local\Temp\ksohtml1532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tianshi\AppData\Local\Temp\ksohtml15320\wp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93645" cy="22447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Borders>
              <w:top w:val="nil"/>
              <w:left w:val="nil"/>
              <w:bottom w:val="nil"/>
              <w:right w:val="nil"/>
            </w:tcBorders>
          </w:tcPr>
          <w:p>
            <w:pPr>
              <w:spacing w:line="360" w:lineRule="auto"/>
              <w:jc w:val="center"/>
              <w:rPr>
                <w:rFonts w:hint="eastAsia" w:ascii="宋体" w:hAnsi="宋体" w:eastAsia="宋体" w:cs="宋体"/>
                <w:b/>
                <w:bCs/>
                <w:kern w:val="0"/>
                <w:sz w:val="18"/>
                <w:szCs w:val="18"/>
              </w:rPr>
            </w:pP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lang w:val="en-US" w:eastAsia="zh-CN"/>
              </w:rPr>
              <w:t>a</w:t>
            </w: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rPr>
              <w:t>1995年开封市辖区夜间灯光示意图</w:t>
            </w:r>
          </w:p>
        </w:tc>
        <w:tc>
          <w:tcPr>
            <w:tcW w:w="4352" w:type="dxa"/>
            <w:tcBorders>
              <w:top w:val="nil"/>
              <w:left w:val="nil"/>
              <w:bottom w:val="nil"/>
              <w:right w:val="nil"/>
            </w:tcBorders>
          </w:tcPr>
          <w:p>
            <w:pPr>
              <w:spacing w:line="360" w:lineRule="auto"/>
              <w:jc w:val="center"/>
              <w:rPr>
                <w:rFonts w:hint="eastAsia" w:ascii="宋体" w:hAnsi="宋体" w:eastAsia="宋体" w:cs="宋体"/>
                <w:b/>
                <w:bCs/>
                <w:kern w:val="0"/>
                <w:sz w:val="18"/>
                <w:szCs w:val="18"/>
              </w:rPr>
            </w:pP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rPr>
              <w:t>b</w:t>
            </w: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rPr>
              <w:t>2013年开封市辖区夜间灯光示意图</w:t>
            </w:r>
          </w:p>
        </w:tc>
      </w:tr>
    </w:tbl>
    <w:p>
      <w:pPr>
        <w:spacing w:after="156" w:afterLines="50"/>
        <w:jc w:val="center"/>
        <w:rPr>
          <w:rFonts w:hint="eastAsia" w:ascii="宋体" w:hAnsi="宋体" w:eastAsia="宋体" w:cs="宋体"/>
          <w:b/>
          <w:bCs/>
          <w:sz w:val="20"/>
          <w:szCs w:val="20"/>
        </w:rPr>
      </w:pPr>
      <w:r>
        <w:rPr>
          <w:rFonts w:hint="eastAsia" w:ascii="宋体" w:hAnsi="宋体" w:eastAsia="宋体" w:cs="宋体"/>
          <w:b/>
          <w:bCs/>
          <w:sz w:val="20"/>
          <w:szCs w:val="20"/>
        </w:rPr>
        <w:t>图A1  城区铁路两侧经济示意图（以开封市为例，</w:t>
      </w:r>
      <w:r>
        <w:rPr>
          <w:rFonts w:hint="eastAsia" w:ascii="宋体" w:hAnsi="宋体" w:eastAsia="宋体" w:cs="宋体"/>
          <w:b/>
          <w:bCs/>
          <w:kern w:val="0"/>
          <w:sz w:val="20"/>
          <w:szCs w:val="20"/>
        </w:rPr>
        <w:t>铁道线为陇海铁路线开封城区部分</w:t>
      </w:r>
      <w:r>
        <w:rPr>
          <w:rFonts w:hint="eastAsia" w:ascii="宋体" w:hAnsi="宋体" w:eastAsia="宋体" w:cs="宋体"/>
          <w:b/>
          <w:bCs/>
          <w:sz w:val="20"/>
          <w:szCs w:val="20"/>
        </w:rPr>
        <w:t>）</w:t>
      </w:r>
    </w:p>
    <w:p>
      <w:pPr>
        <w:rPr>
          <w:rFonts w:hint="eastAsia" w:ascii="仿宋" w:hAnsi="仿宋" w:eastAsia="仿宋" w:cs="仿宋"/>
          <w:color w:val="000000"/>
          <w:sz w:val="18"/>
          <w:szCs w:val="18"/>
        </w:rPr>
      </w:pPr>
      <w:r>
        <w:rPr>
          <w:rFonts w:hint="eastAsia" w:ascii="仿宋" w:hAnsi="仿宋" w:eastAsia="仿宋" w:cs="仿宋"/>
          <w:sz w:val="18"/>
          <w:szCs w:val="18"/>
        </w:rPr>
        <w:t>注：以</w:t>
      </w:r>
      <w:r>
        <w:rPr>
          <w:rFonts w:hint="eastAsia" w:ascii="仿宋" w:hAnsi="仿宋" w:eastAsia="仿宋" w:cs="仿宋"/>
          <w:color w:val="000000"/>
          <w:sz w:val="18"/>
          <w:szCs w:val="18"/>
        </w:rPr>
        <w:t>图A1为例，我们利用卫星夜晚灯光来直观地展示</w:t>
      </w:r>
      <w:r>
        <w:rPr>
          <w:rFonts w:hint="eastAsia" w:ascii="仿宋" w:hAnsi="仿宋" w:eastAsia="仿宋" w:cs="仿宋"/>
          <w:iCs/>
          <w:color w:val="000000"/>
          <w:sz w:val="18"/>
          <w:szCs w:val="18"/>
        </w:rPr>
        <w:t>“道口平改立”</w:t>
      </w:r>
      <w:r>
        <w:rPr>
          <w:rFonts w:hint="eastAsia" w:ascii="仿宋" w:hAnsi="仿宋" w:eastAsia="仿宋" w:cs="仿宋"/>
          <w:color w:val="000000"/>
          <w:sz w:val="18"/>
          <w:szCs w:val="18"/>
        </w:rPr>
        <w:t>对城区发展的影响。图A1左侧为开封市城区1995年的卫星夜间灯光示意图，而右侧显示开封市2013年陇海线两侧缓冲区的灯光亮度差距相较1995年有了显著的增加。这直观地展示了在道口改造后，经济活动确实在向优势区域集聚，促进了城区经济的空间集聚发展。</w:t>
      </w:r>
    </w:p>
    <w:p>
      <w:pPr>
        <w:rPr>
          <w:rFonts w:hint="eastAsia" w:ascii="仿宋" w:hAnsi="仿宋" w:eastAsia="仿宋" w:cs="仿宋"/>
          <w:color w:val="000000"/>
          <w:sz w:val="18"/>
          <w:szCs w:val="18"/>
        </w:rPr>
      </w:pPr>
      <w:bookmarkStart w:id="0" w:name="_GoBack"/>
      <w:bookmarkEnd w:id="0"/>
    </w:p>
    <w:p>
      <w:pPr>
        <w:widowControl/>
        <w:jc w:val="center"/>
        <w:rPr>
          <w:rFonts w:ascii="Times New Roman" w:hAnsi="Times New Roman" w:eastAsia="仿宋" w:cs="Times New Roman"/>
          <w:szCs w:val="21"/>
        </w:rPr>
      </w:pPr>
      <w:r>
        <w:rPr>
          <w:rFonts w:ascii="Times New Roman" w:hAnsi="Times New Roman" w:eastAsia="仿宋" w:cs="Times New Roman"/>
          <w:szCs w:val="21"/>
        </w:rPr>
        <w:drawing>
          <wp:inline distT="0" distB="0" distL="0" distR="0">
            <wp:extent cx="2909570" cy="2364740"/>
            <wp:effectExtent l="0" t="0" r="5080" b="6985"/>
            <wp:docPr id="3" name="图片 3" descr="C:\Users\tianshi\AppData\Local\Temp\ksohtml1532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ianshi\AppData\Local\Temp\ksohtml15320\wp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09570" cy="2364740"/>
                    </a:xfrm>
                    <a:prstGeom prst="rect">
                      <a:avLst/>
                    </a:prstGeom>
                    <a:noFill/>
                    <a:ln>
                      <a:noFill/>
                    </a:ln>
                  </pic:spPr>
                </pic:pic>
              </a:graphicData>
            </a:graphic>
          </wp:inline>
        </w:drawing>
      </w:r>
    </w:p>
    <w:p>
      <w:pPr>
        <w:spacing w:after="156" w:afterLines="50"/>
        <w:jc w:val="center"/>
        <w:rPr>
          <w:rFonts w:hint="eastAsia" w:ascii="宋体" w:hAnsi="宋体" w:eastAsia="宋体" w:cs="宋体"/>
          <w:b/>
          <w:bCs/>
          <w:sz w:val="20"/>
          <w:szCs w:val="20"/>
        </w:rPr>
      </w:pPr>
      <w:r>
        <w:rPr>
          <w:rFonts w:hint="eastAsia" w:ascii="宋体" w:hAnsi="宋体" w:eastAsia="宋体" w:cs="宋体"/>
          <w:b/>
          <w:bCs/>
          <w:sz w:val="20"/>
          <w:szCs w:val="20"/>
        </w:rPr>
        <w:t>图A2  缓冲区构建示意图(以2013年开封市为例)</w:t>
      </w:r>
    </w:p>
    <w:p>
      <w:pPr>
        <w:rPr>
          <w:rFonts w:ascii="Times New Roman" w:hAnsi="Times New Roman" w:eastAsia="仿宋" w:cs="Times New Roman"/>
          <w:sz w:val="18"/>
          <w:szCs w:val="18"/>
        </w:rPr>
      </w:pPr>
      <w:r>
        <w:rPr>
          <w:rFonts w:ascii="Times New Roman" w:hAnsi="Times New Roman" w:eastAsia="仿宋" w:cs="Times New Roman"/>
          <w:sz w:val="18"/>
          <w:szCs w:val="18"/>
        </w:rPr>
        <w:t>注：图A2以开封市为例展示了构建缓冲区的做法。图中底图为开封市2013年夜间灯光栅格图。如图例所示，椭圆中间横向折线为2013年该城市铁路线（陇海线），上下边界分别确定了南北两侧</w:t>
      </w:r>
      <w:r>
        <w:rPr>
          <w:rFonts w:hint="eastAsia" w:ascii="Times New Roman" w:hAnsi="Times New Roman" w:eastAsia="仿宋" w:cs="Times New Roman"/>
          <w:sz w:val="18"/>
          <w:szCs w:val="18"/>
          <w:lang w:val="en-US" w:eastAsia="zh-CN"/>
        </w:rPr>
        <w:t>5千米</w:t>
      </w:r>
      <w:r>
        <w:rPr>
          <w:rFonts w:ascii="Times New Roman" w:hAnsi="Times New Roman" w:eastAsia="仿宋" w:cs="Times New Roman"/>
          <w:sz w:val="18"/>
          <w:szCs w:val="18"/>
        </w:rPr>
        <w:t>缓冲区。</w:t>
      </w:r>
    </w:p>
    <w:p>
      <w:pPr>
        <w:spacing w:after="156" w:afterLines="50"/>
        <w:jc w:val="left"/>
        <w:rPr>
          <w:rFonts w:ascii="Times New Roman" w:hAnsi="Times New Roman" w:eastAsia="仿宋" w:cs="Times New Roman"/>
          <w:szCs w:val="21"/>
        </w:rPr>
      </w:pPr>
    </w:p>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br w:type="page"/>
      </w:r>
    </w:p>
    <w:p>
      <w:pPr>
        <w:spacing w:after="156" w:afterLines="50"/>
        <w:jc w:val="center"/>
        <w:rPr>
          <w:rFonts w:hint="eastAsia" w:ascii="宋体" w:hAnsi="宋体" w:eastAsia="宋体" w:cs="宋体"/>
          <w:b/>
          <w:bCs/>
          <w:sz w:val="20"/>
          <w:szCs w:val="20"/>
        </w:rPr>
      </w:pPr>
      <w:r>
        <w:rPr>
          <w:rFonts w:hint="eastAsia" w:ascii="宋体" w:hAnsi="宋体" w:eastAsia="宋体" w:cs="宋体"/>
          <w:b/>
          <w:bCs/>
          <w:sz w:val="20"/>
          <w:szCs w:val="20"/>
        </w:rPr>
        <w:t>表A1</w:t>
      </w:r>
      <w:r>
        <w:rPr>
          <w:rFonts w:hint="eastAsia" w:ascii="宋体" w:hAnsi="宋体" w:eastAsia="宋体" w:cs="宋体"/>
          <w:b/>
          <w:bCs/>
          <w:sz w:val="20"/>
          <w:szCs w:val="20"/>
          <w:lang w:val="en-US" w:eastAsia="zh-CN"/>
        </w:rPr>
        <w:t xml:space="preserve"> </w:t>
      </w:r>
      <w:r>
        <w:rPr>
          <w:rFonts w:hint="eastAsia" w:ascii="宋体" w:hAnsi="宋体" w:eastAsia="宋体" w:cs="宋体"/>
          <w:b/>
          <w:bCs/>
          <w:sz w:val="20"/>
          <w:szCs w:val="20"/>
        </w:rPr>
        <w:t xml:space="preserve"> 稳健性检验</w:t>
      </w:r>
      <w:r>
        <w:rPr>
          <w:rFonts w:hint="eastAsia" w:ascii="宋体" w:hAnsi="宋体" w:eastAsia="宋体" w:cs="宋体"/>
          <w:b/>
          <w:bCs/>
          <w:sz w:val="20"/>
          <w:szCs w:val="20"/>
          <w:lang w:eastAsia="zh-CN"/>
        </w:rPr>
        <w:t>：</w:t>
      </w:r>
      <w:r>
        <w:rPr>
          <w:rFonts w:hint="eastAsia" w:ascii="宋体" w:hAnsi="宋体" w:eastAsia="宋体" w:cs="宋体"/>
          <w:b/>
          <w:bCs/>
          <w:sz w:val="20"/>
          <w:szCs w:val="20"/>
        </w:rPr>
        <w:t>3</w:t>
      </w:r>
      <w:r>
        <w:rPr>
          <w:rFonts w:hint="eastAsia" w:ascii="宋体" w:hAnsi="宋体" w:eastAsia="宋体" w:cs="宋体"/>
          <w:b/>
          <w:bCs/>
          <w:sz w:val="20"/>
          <w:szCs w:val="20"/>
          <w:lang w:val="en-US" w:eastAsia="zh-CN"/>
        </w:rPr>
        <w:t>千米</w:t>
      </w:r>
      <w:r>
        <w:rPr>
          <w:rFonts w:hint="eastAsia" w:ascii="宋体" w:hAnsi="宋体" w:eastAsia="宋体" w:cs="宋体"/>
          <w:b/>
          <w:bCs/>
          <w:sz w:val="20"/>
          <w:szCs w:val="20"/>
        </w:rPr>
        <w:t>缓冲区</w:t>
      </w:r>
    </w:p>
    <w:tbl>
      <w:tblPr>
        <w:tblStyle w:val="6"/>
        <w:tblW w:w="0" w:type="auto"/>
        <w:jc w:val="center"/>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1308"/>
        <w:gridCol w:w="1450"/>
        <w:gridCol w:w="1665"/>
        <w:gridCol w:w="1450"/>
      </w:tblGrid>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single" w:color="000000" w:sz="2" w:space="0"/>
              <w:left w:val="nil"/>
              <w:bottom w:val="nil"/>
              <w:right w:val="nil"/>
            </w:tcBorders>
          </w:tcPr>
          <w:p>
            <w:pPr>
              <w:rPr>
                <w:rFonts w:hint="eastAsia" w:ascii="仿宋" w:hAnsi="仿宋" w:eastAsia="仿宋" w:cs="仿宋"/>
                <w:kern w:val="0"/>
                <w:sz w:val="18"/>
                <w:szCs w:val="18"/>
              </w:rPr>
            </w:pPr>
          </w:p>
        </w:tc>
        <w:tc>
          <w:tcPr>
            <w:tcW w:w="1308"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1450"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1665"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1450"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single" w:color="000000" w:sz="2" w:space="0"/>
              <w:right w:val="nil"/>
            </w:tcBorders>
          </w:tcPr>
          <w:p>
            <w:pPr>
              <w:rPr>
                <w:rFonts w:hint="eastAsia" w:ascii="仿宋" w:hAnsi="仿宋" w:eastAsia="仿宋" w:cs="仿宋"/>
                <w:kern w:val="0"/>
                <w:sz w:val="18"/>
                <w:szCs w:val="18"/>
              </w:rPr>
            </w:pPr>
          </w:p>
        </w:tc>
        <w:tc>
          <w:tcPr>
            <w:tcW w:w="1308"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KM3</w:t>
            </w:r>
          </w:p>
        </w:tc>
        <w:tc>
          <w:tcPr>
            <w:tcW w:w="1450"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KM3</w:t>
            </w:r>
          </w:p>
        </w:tc>
        <w:tc>
          <w:tcPr>
            <w:tcW w:w="1665"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KM3</w:t>
            </w:r>
          </w:p>
        </w:tc>
        <w:tc>
          <w:tcPr>
            <w:tcW w:w="1450"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KM3</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single" w:color="000000" w:sz="2" w:space="0"/>
              <w:left w:val="nil"/>
              <w:bottom w:val="nil"/>
              <w:right w:val="nil"/>
            </w:tcBorders>
          </w:tcPr>
          <w:p>
            <w:pPr>
              <w:jc w:val="center"/>
              <w:rPr>
                <w:rFonts w:hint="eastAsia" w:ascii="仿宋" w:hAnsi="仿宋" w:eastAsia="仿宋" w:cs="仿宋"/>
                <w:i/>
                <w:iCs/>
                <w:kern w:val="0"/>
                <w:sz w:val="18"/>
                <w:szCs w:val="18"/>
              </w:rPr>
            </w:pPr>
            <w:r>
              <w:rPr>
                <w:rFonts w:hint="eastAsia" w:ascii="仿宋" w:hAnsi="仿宋" w:eastAsia="仿宋" w:cs="仿宋"/>
                <w:i/>
                <w:iCs/>
                <w:color w:val="000000"/>
                <w:sz w:val="18"/>
                <w:szCs w:val="18"/>
              </w:rPr>
              <w:t>Lijiao×Government</w:t>
            </w:r>
          </w:p>
        </w:tc>
        <w:tc>
          <w:tcPr>
            <w:tcW w:w="1308"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1.672***</w:t>
            </w:r>
          </w:p>
        </w:tc>
        <w:tc>
          <w:tcPr>
            <w:tcW w:w="1450"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1.672***</w:t>
            </w:r>
          </w:p>
        </w:tc>
        <w:tc>
          <w:tcPr>
            <w:tcW w:w="1665"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1.432***</w:t>
            </w:r>
          </w:p>
        </w:tc>
        <w:tc>
          <w:tcPr>
            <w:tcW w:w="1450"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1.432***</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p>
        </w:tc>
        <w:tc>
          <w:tcPr>
            <w:tcW w:w="1308"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(0.441)</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(0.417)</w:t>
            </w: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(0.477)</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(0.443)</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r>
              <w:rPr>
                <w:rFonts w:hint="eastAsia" w:ascii="仿宋" w:hAnsi="仿宋" w:eastAsia="仿宋" w:cs="仿宋"/>
                <w:i/>
                <w:iCs/>
                <w:kern w:val="0"/>
                <w:sz w:val="18"/>
                <w:szCs w:val="18"/>
              </w:rPr>
              <w:t>Lijiao</w:t>
            </w:r>
          </w:p>
        </w:tc>
        <w:tc>
          <w:tcPr>
            <w:tcW w:w="1308"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0.419</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-0.491</w:t>
            </w: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0.615</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-0.321</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p>
        </w:tc>
        <w:tc>
          <w:tcPr>
            <w:tcW w:w="1308"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(0.739)</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(0.588)</w:t>
            </w: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(0.716)</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(0.524)</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r>
              <w:rPr>
                <w:rFonts w:hint="eastAsia" w:ascii="仿宋" w:hAnsi="仿宋" w:eastAsia="仿宋" w:cs="仿宋"/>
                <w:i/>
                <w:iCs/>
                <w:kern w:val="0"/>
                <w:sz w:val="18"/>
                <w:szCs w:val="18"/>
              </w:rPr>
              <w:t>Government</w:t>
            </w:r>
          </w:p>
        </w:tc>
        <w:tc>
          <w:tcPr>
            <w:tcW w:w="1308"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5.508***</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5.508***</w:t>
            </w: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5.707***</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5.707***</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p>
        </w:tc>
        <w:tc>
          <w:tcPr>
            <w:tcW w:w="1308"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(0.753)</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(0.740)</w:t>
            </w: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(0.876)</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(0.832)</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r>
              <w:rPr>
                <w:rFonts w:hint="eastAsia" w:ascii="仿宋" w:hAnsi="仿宋" w:eastAsia="仿宋" w:cs="仿宋"/>
                <w:i/>
                <w:iCs/>
                <w:kern w:val="0"/>
                <w:sz w:val="18"/>
                <w:szCs w:val="18"/>
              </w:rPr>
              <w:t>Metro</w:t>
            </w: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-1.152</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-2.141</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(2.067)</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(2.098)</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r>
              <w:rPr>
                <w:rFonts w:hint="eastAsia" w:ascii="仿宋" w:hAnsi="仿宋" w:eastAsia="仿宋" w:cs="仿宋"/>
                <w:i/>
                <w:iCs/>
                <w:kern w:val="0"/>
                <w:sz w:val="18"/>
                <w:szCs w:val="18"/>
              </w:rPr>
              <w:t>Urban</w:t>
            </w: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-0.012</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0.018**</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(0.009)</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(0.008)</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i/>
                <w:iCs/>
                <w:kern w:val="0"/>
                <w:sz w:val="18"/>
                <w:szCs w:val="18"/>
              </w:rPr>
            </w:pPr>
            <w:r>
              <w:rPr>
                <w:rFonts w:hint="eastAsia" w:ascii="仿宋" w:hAnsi="仿宋" w:eastAsia="仿宋" w:cs="仿宋"/>
                <w:i/>
                <w:iCs/>
                <w:kern w:val="0"/>
                <w:sz w:val="18"/>
                <w:szCs w:val="18"/>
              </w:rPr>
              <w:t>Fiscal</w:t>
            </w: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-7.998**</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-0.893</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kern w:val="0"/>
                <w:sz w:val="18"/>
                <w:szCs w:val="18"/>
              </w:rPr>
            </w:pP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(3.061)</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(4.862)</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lang w:val="en-US" w:eastAsia="zh-CN"/>
              </w:rPr>
              <w:t>l</w:t>
            </w:r>
            <w:r>
              <w:rPr>
                <w:rFonts w:hint="eastAsia" w:ascii="仿宋" w:hAnsi="仿宋" w:eastAsia="仿宋" w:cs="仿宋"/>
                <w:kern w:val="0"/>
                <w:sz w:val="18"/>
                <w:szCs w:val="18"/>
              </w:rPr>
              <w:t>n</w:t>
            </w:r>
            <w:r>
              <w:rPr>
                <w:rFonts w:hint="eastAsia" w:ascii="仿宋" w:hAnsi="仿宋" w:eastAsia="仿宋" w:cs="仿宋"/>
                <w:i/>
                <w:iCs/>
                <w:kern w:val="0"/>
                <w:sz w:val="18"/>
                <w:szCs w:val="18"/>
              </w:rPr>
              <w:t>pgdp</w:t>
            </w: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2.105**</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3.394***</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kern w:val="0"/>
                <w:sz w:val="18"/>
                <w:szCs w:val="18"/>
              </w:rPr>
            </w:pP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(0.851)</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(0.923)</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lang w:val="en-US" w:eastAsia="zh-CN"/>
              </w:rPr>
              <w:t>l</w:t>
            </w:r>
            <w:r>
              <w:rPr>
                <w:rFonts w:hint="eastAsia" w:ascii="仿宋" w:hAnsi="仿宋" w:eastAsia="仿宋" w:cs="仿宋"/>
                <w:kern w:val="0"/>
                <w:sz w:val="18"/>
                <w:szCs w:val="18"/>
              </w:rPr>
              <w:t>n</w:t>
            </w:r>
            <w:r>
              <w:rPr>
                <w:rFonts w:hint="eastAsia" w:ascii="仿宋" w:hAnsi="仿宋" w:eastAsia="仿宋" w:cs="仿宋"/>
                <w:i/>
                <w:iCs/>
                <w:kern w:val="0"/>
                <w:sz w:val="18"/>
                <w:szCs w:val="18"/>
              </w:rPr>
              <w:t>SEZ</w:t>
            </w:r>
          </w:p>
        </w:tc>
        <w:tc>
          <w:tcPr>
            <w:tcW w:w="1308" w:type="dxa"/>
            <w:tcBorders>
              <w:top w:val="nil"/>
              <w:left w:val="nil"/>
              <w:bottom w:val="nil"/>
              <w:right w:val="nil"/>
            </w:tcBorders>
          </w:tcPr>
          <w:p>
            <w:pPr>
              <w:jc w:val="center"/>
              <w:rPr>
                <w:rFonts w:hint="eastAsia" w:ascii="仿宋" w:hAnsi="仿宋" w:eastAsia="仿宋" w:cs="仿宋"/>
                <w:kern w:val="0"/>
                <w:sz w:val="18"/>
                <w:szCs w:val="18"/>
              </w:rPr>
            </w:pPr>
          </w:p>
        </w:tc>
        <w:tc>
          <w:tcPr>
            <w:tcW w:w="1450" w:type="dxa"/>
            <w:tcBorders>
              <w:top w:val="nil"/>
              <w:left w:val="nil"/>
              <w:bottom w:val="nil"/>
              <w:right w:val="nil"/>
            </w:tcBorders>
          </w:tcPr>
          <w:p>
            <w:pPr>
              <w:jc w:val="center"/>
              <w:rPr>
                <w:rFonts w:hint="eastAsia" w:ascii="仿宋" w:hAnsi="仿宋" w:eastAsia="仿宋" w:cs="仿宋"/>
                <w:kern w:val="0"/>
                <w:sz w:val="18"/>
                <w:szCs w:val="18"/>
              </w:rPr>
            </w:pPr>
          </w:p>
        </w:tc>
        <w:tc>
          <w:tcPr>
            <w:tcW w:w="1665"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-1.302***</w:t>
            </w:r>
          </w:p>
        </w:tc>
        <w:tc>
          <w:tcPr>
            <w:tcW w:w="1450"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0.368</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single" w:color="auto" w:sz="4" w:space="0"/>
              <w:right w:val="nil"/>
            </w:tcBorders>
          </w:tcPr>
          <w:p>
            <w:pPr>
              <w:jc w:val="center"/>
              <w:rPr>
                <w:rFonts w:hint="eastAsia" w:ascii="仿宋" w:hAnsi="仿宋" w:eastAsia="仿宋" w:cs="仿宋"/>
                <w:kern w:val="0"/>
                <w:sz w:val="18"/>
                <w:szCs w:val="18"/>
              </w:rPr>
            </w:pPr>
          </w:p>
        </w:tc>
        <w:tc>
          <w:tcPr>
            <w:tcW w:w="1308" w:type="dxa"/>
            <w:tcBorders>
              <w:top w:val="nil"/>
              <w:left w:val="nil"/>
              <w:bottom w:val="single" w:color="auto" w:sz="4" w:space="0"/>
              <w:right w:val="nil"/>
            </w:tcBorders>
          </w:tcPr>
          <w:p>
            <w:pPr>
              <w:jc w:val="center"/>
              <w:rPr>
                <w:rFonts w:hint="eastAsia" w:ascii="仿宋" w:hAnsi="仿宋" w:eastAsia="仿宋" w:cs="仿宋"/>
                <w:kern w:val="0"/>
                <w:sz w:val="18"/>
                <w:szCs w:val="18"/>
              </w:rPr>
            </w:pPr>
          </w:p>
        </w:tc>
        <w:tc>
          <w:tcPr>
            <w:tcW w:w="1450" w:type="dxa"/>
            <w:tcBorders>
              <w:top w:val="nil"/>
              <w:left w:val="nil"/>
              <w:bottom w:val="single" w:color="auto" w:sz="4" w:space="0"/>
              <w:right w:val="nil"/>
            </w:tcBorders>
          </w:tcPr>
          <w:p>
            <w:pPr>
              <w:jc w:val="center"/>
              <w:rPr>
                <w:rFonts w:hint="eastAsia" w:ascii="仿宋" w:hAnsi="仿宋" w:eastAsia="仿宋" w:cs="仿宋"/>
                <w:kern w:val="0"/>
                <w:sz w:val="18"/>
                <w:szCs w:val="18"/>
              </w:rPr>
            </w:pPr>
          </w:p>
        </w:tc>
        <w:tc>
          <w:tcPr>
            <w:tcW w:w="1665" w:type="dxa"/>
            <w:tcBorders>
              <w:top w:val="nil"/>
              <w:left w:val="nil"/>
              <w:bottom w:val="single" w:color="auto" w:sz="4"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(0.367)</w:t>
            </w:r>
          </w:p>
        </w:tc>
        <w:tc>
          <w:tcPr>
            <w:tcW w:w="1450" w:type="dxa"/>
            <w:tcBorders>
              <w:top w:val="nil"/>
              <w:left w:val="nil"/>
              <w:bottom w:val="single" w:color="auto" w:sz="4"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(0.348)</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single" w:color="auto" w:sz="4"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city linear trend</w:t>
            </w:r>
          </w:p>
        </w:tc>
        <w:tc>
          <w:tcPr>
            <w:tcW w:w="1308" w:type="dxa"/>
            <w:tcBorders>
              <w:top w:val="single" w:color="auto" w:sz="4" w:space="0"/>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是</w:t>
            </w:r>
          </w:p>
        </w:tc>
        <w:tc>
          <w:tcPr>
            <w:tcW w:w="1450" w:type="dxa"/>
            <w:tcBorders>
              <w:top w:val="single" w:color="auto" w:sz="4" w:space="0"/>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否</w:t>
            </w:r>
          </w:p>
        </w:tc>
        <w:tc>
          <w:tcPr>
            <w:tcW w:w="1665" w:type="dxa"/>
            <w:tcBorders>
              <w:top w:val="single" w:color="auto" w:sz="4" w:space="0"/>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是</w:t>
            </w:r>
          </w:p>
        </w:tc>
        <w:tc>
          <w:tcPr>
            <w:tcW w:w="1450" w:type="dxa"/>
            <w:tcBorders>
              <w:top w:val="single" w:color="auto" w:sz="4" w:space="0"/>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否</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year FE</w:t>
            </w:r>
          </w:p>
        </w:tc>
        <w:tc>
          <w:tcPr>
            <w:tcW w:w="1308"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否</w:t>
            </w:r>
          </w:p>
        </w:tc>
        <w:tc>
          <w:tcPr>
            <w:tcW w:w="1450"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是</w:t>
            </w:r>
          </w:p>
        </w:tc>
        <w:tc>
          <w:tcPr>
            <w:tcW w:w="1665"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否</w:t>
            </w:r>
          </w:p>
        </w:tc>
        <w:tc>
          <w:tcPr>
            <w:tcW w:w="1450"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是</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city FE</w:t>
            </w:r>
          </w:p>
        </w:tc>
        <w:tc>
          <w:tcPr>
            <w:tcW w:w="1308"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否</w:t>
            </w:r>
          </w:p>
        </w:tc>
        <w:tc>
          <w:tcPr>
            <w:tcW w:w="1450"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是</w:t>
            </w:r>
          </w:p>
        </w:tc>
        <w:tc>
          <w:tcPr>
            <w:tcW w:w="1665"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否</w:t>
            </w:r>
          </w:p>
        </w:tc>
        <w:tc>
          <w:tcPr>
            <w:tcW w:w="1450" w:type="dxa"/>
            <w:tcBorders>
              <w:top w:val="nil"/>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是</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single" w:color="000000" w:sz="2" w:space="0"/>
              <w:left w:val="nil"/>
              <w:bottom w:val="nil"/>
              <w:right w:val="nil"/>
            </w:tcBorders>
            <w:vAlign w:val="center"/>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样本数</w:t>
            </w:r>
          </w:p>
        </w:tc>
        <w:tc>
          <w:tcPr>
            <w:tcW w:w="1308"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11308</w:t>
            </w:r>
          </w:p>
        </w:tc>
        <w:tc>
          <w:tcPr>
            <w:tcW w:w="1450"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11308</w:t>
            </w:r>
          </w:p>
        </w:tc>
        <w:tc>
          <w:tcPr>
            <w:tcW w:w="1665"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10474</w:t>
            </w:r>
          </w:p>
        </w:tc>
        <w:tc>
          <w:tcPr>
            <w:tcW w:w="1450" w:type="dxa"/>
            <w:tcBorders>
              <w:top w:val="single" w:color="000000" w:sz="2" w:space="0"/>
              <w:left w:val="nil"/>
              <w:bottom w:val="nil"/>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10474</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Borders>
              <w:top w:val="nil"/>
              <w:left w:val="nil"/>
              <w:bottom w:val="single" w:color="000000" w:sz="2" w:space="0"/>
              <w:right w:val="nil"/>
            </w:tcBorders>
            <w:vAlign w:val="center"/>
          </w:tcPr>
          <w:p>
            <w:pPr>
              <w:jc w:val="center"/>
              <w:rPr>
                <w:rFonts w:hint="eastAsia" w:ascii="仿宋" w:hAnsi="仿宋" w:eastAsia="仿宋" w:cs="仿宋"/>
                <w:kern w:val="0"/>
                <w:sz w:val="18"/>
                <w:szCs w:val="18"/>
                <w:vertAlign w:val="superscript"/>
              </w:rPr>
            </w:pPr>
            <w:r>
              <w:rPr>
                <w:rFonts w:hint="eastAsia" w:ascii="仿宋" w:hAnsi="仿宋" w:eastAsia="仿宋" w:cs="仿宋"/>
                <w:kern w:val="0"/>
                <w:sz w:val="18"/>
                <w:szCs w:val="18"/>
              </w:rPr>
              <w:t>Adj.</w:t>
            </w:r>
            <w:r>
              <w:rPr>
                <w:rFonts w:hint="eastAsia" w:ascii="仿宋" w:hAnsi="仿宋" w:eastAsia="仿宋" w:cs="仿宋"/>
                <w:kern w:val="0"/>
                <w:sz w:val="18"/>
                <w:szCs w:val="18"/>
                <w:lang w:val="en-US" w:eastAsia="zh-CN"/>
              </w:rPr>
              <w:t xml:space="preserve"> </w:t>
            </w:r>
            <w:r>
              <w:rPr>
                <w:rFonts w:hint="eastAsia" w:ascii="仿宋" w:hAnsi="仿宋" w:eastAsia="仿宋" w:cs="仿宋"/>
                <w:i/>
                <w:kern w:val="0"/>
                <w:sz w:val="18"/>
                <w:szCs w:val="18"/>
              </w:rPr>
              <w:t>R</w:t>
            </w:r>
            <w:r>
              <w:rPr>
                <w:rFonts w:hint="eastAsia" w:ascii="仿宋" w:hAnsi="仿宋" w:eastAsia="仿宋" w:cs="仿宋"/>
                <w:kern w:val="0"/>
                <w:sz w:val="18"/>
                <w:szCs w:val="18"/>
                <w:vertAlign w:val="superscript"/>
              </w:rPr>
              <w:t>2</w:t>
            </w:r>
          </w:p>
        </w:tc>
        <w:tc>
          <w:tcPr>
            <w:tcW w:w="1308"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0.95</w:t>
            </w:r>
          </w:p>
        </w:tc>
        <w:tc>
          <w:tcPr>
            <w:tcW w:w="1450"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0.93</w:t>
            </w:r>
          </w:p>
        </w:tc>
        <w:tc>
          <w:tcPr>
            <w:tcW w:w="1665"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0.95</w:t>
            </w:r>
          </w:p>
        </w:tc>
        <w:tc>
          <w:tcPr>
            <w:tcW w:w="1450" w:type="dxa"/>
            <w:tcBorders>
              <w:top w:val="nil"/>
              <w:left w:val="nil"/>
              <w:bottom w:val="single" w:color="000000" w:sz="2" w:space="0"/>
              <w:right w:val="nil"/>
            </w:tcBorders>
          </w:tcPr>
          <w:p>
            <w:pPr>
              <w:jc w:val="center"/>
              <w:rPr>
                <w:rFonts w:hint="eastAsia" w:ascii="仿宋" w:hAnsi="仿宋" w:eastAsia="仿宋" w:cs="仿宋"/>
                <w:kern w:val="0"/>
                <w:sz w:val="18"/>
                <w:szCs w:val="18"/>
              </w:rPr>
            </w:pPr>
            <w:r>
              <w:rPr>
                <w:rFonts w:hint="eastAsia" w:ascii="仿宋" w:hAnsi="仿宋" w:eastAsia="仿宋" w:cs="仿宋"/>
                <w:kern w:val="0"/>
                <w:sz w:val="18"/>
                <w:szCs w:val="18"/>
              </w:rPr>
              <w:t>0.94</w:t>
            </w:r>
          </w:p>
        </w:tc>
      </w:tr>
    </w:tbl>
    <w:p>
      <w:pPr>
        <w:rPr>
          <w:rFonts w:hint="eastAsia" w:ascii="仿宋" w:hAnsi="仿宋" w:eastAsia="仿宋" w:cs="仿宋"/>
          <w:sz w:val="18"/>
          <w:szCs w:val="18"/>
        </w:rPr>
      </w:pPr>
      <w:r>
        <w:rPr>
          <w:rFonts w:hint="eastAsia" w:ascii="仿宋" w:hAnsi="仿宋" w:eastAsia="仿宋" w:cs="仿宋"/>
          <w:sz w:val="18"/>
          <w:szCs w:val="18"/>
        </w:rPr>
        <w:t>注：***</w:t>
      </w:r>
      <w:r>
        <w:rPr>
          <w:rFonts w:hint="eastAsia" w:ascii="仿宋" w:hAnsi="仿宋" w:eastAsia="仿宋" w:cs="仿宋"/>
          <w:i/>
          <w:iCs/>
          <w:sz w:val="18"/>
          <w:szCs w:val="18"/>
        </w:rPr>
        <w:t>p</w:t>
      </w:r>
      <w:r>
        <w:rPr>
          <w:rFonts w:hint="eastAsia" w:ascii="仿宋" w:hAnsi="仿宋" w:eastAsia="仿宋" w:cs="仿宋"/>
          <w:sz w:val="18"/>
          <w:szCs w:val="18"/>
        </w:rPr>
        <w:t>&lt;0.01，**</w:t>
      </w:r>
      <w:r>
        <w:rPr>
          <w:rFonts w:hint="eastAsia" w:ascii="仿宋" w:hAnsi="仿宋" w:eastAsia="仿宋" w:cs="仿宋"/>
          <w:i/>
          <w:iCs/>
          <w:sz w:val="18"/>
          <w:szCs w:val="18"/>
        </w:rPr>
        <w:t>p</w:t>
      </w:r>
      <w:r>
        <w:rPr>
          <w:rFonts w:hint="eastAsia" w:ascii="仿宋" w:hAnsi="仿宋" w:eastAsia="仿宋" w:cs="仿宋"/>
          <w:sz w:val="18"/>
          <w:szCs w:val="18"/>
        </w:rPr>
        <w:t>&lt;0.05，*</w:t>
      </w:r>
      <w:r>
        <w:rPr>
          <w:rFonts w:hint="eastAsia" w:ascii="仿宋" w:hAnsi="仿宋" w:eastAsia="仿宋" w:cs="仿宋"/>
          <w:i/>
          <w:iCs/>
          <w:sz w:val="18"/>
          <w:szCs w:val="18"/>
        </w:rPr>
        <w:t>p</w:t>
      </w:r>
      <w:r>
        <w:rPr>
          <w:rFonts w:hint="eastAsia" w:ascii="仿宋" w:hAnsi="仿宋" w:eastAsia="仿宋" w:cs="仿宋"/>
          <w:sz w:val="18"/>
          <w:szCs w:val="18"/>
        </w:rPr>
        <w:t>&lt;0.1。括号内为聚类于城市和年份层面的标准误。</w:t>
      </w:r>
    </w:p>
    <w:p>
      <w:pPr>
        <w:spacing w:line="360" w:lineRule="auto"/>
        <w:jc w:val="center"/>
        <w:rPr>
          <w:rFonts w:ascii="Times New Roman" w:hAnsi="Times New Roman" w:eastAsia="仿宋" w:cs="Times New Roman"/>
          <w:szCs w:val="21"/>
        </w:rPr>
      </w:pPr>
    </w:p>
    <w:p>
      <w:pPr>
        <w:spacing w:line="360" w:lineRule="auto"/>
        <w:jc w:val="center"/>
        <w:rPr>
          <w:rFonts w:ascii="Times New Roman" w:hAnsi="Times New Roman" w:eastAsia="仿宋" w:cs="Times New Roman"/>
          <w:szCs w:val="21"/>
        </w:rPr>
      </w:pPr>
    </w:p>
    <w:p>
      <w:pPr>
        <w:spacing w:line="360" w:lineRule="auto"/>
        <w:jc w:val="center"/>
        <w:rPr>
          <w:rFonts w:ascii="Times New Roman" w:hAnsi="Times New Roman" w:eastAsia="仿宋" w:cs="Times New Roman"/>
          <w:szCs w:val="21"/>
        </w:rPr>
      </w:pPr>
    </w:p>
    <w:p>
      <w:pPr>
        <w:spacing w:line="360" w:lineRule="auto"/>
        <w:jc w:val="center"/>
        <w:rPr>
          <w:rFonts w:ascii="Times New Roman" w:hAnsi="Times New Roman" w:eastAsia="仿宋" w:cs="Times New Roman"/>
          <w:szCs w:val="21"/>
        </w:rPr>
      </w:pPr>
    </w:p>
    <w:p>
      <w:pPr>
        <w:spacing w:line="360" w:lineRule="auto"/>
        <w:jc w:val="center"/>
        <w:rPr>
          <w:rFonts w:ascii="Times New Roman" w:hAnsi="Times New Roman" w:eastAsia="仿宋" w:cs="Times New Roman"/>
          <w:szCs w:val="21"/>
        </w:rPr>
      </w:pPr>
    </w:p>
    <w:p>
      <w:pPr>
        <w:spacing w:line="360" w:lineRule="auto"/>
        <w:jc w:val="center"/>
        <w:rPr>
          <w:rFonts w:ascii="Times New Roman" w:hAnsi="Times New Roman" w:eastAsia="仿宋" w:cs="Times New Roman"/>
          <w:szCs w:val="21"/>
        </w:rPr>
      </w:pPr>
    </w:p>
    <w:p>
      <w:pPr>
        <w:spacing w:line="360" w:lineRule="auto"/>
        <w:jc w:val="center"/>
        <w:rPr>
          <w:rFonts w:ascii="Times New Roman" w:hAnsi="Times New Roman" w:eastAsia="仿宋" w:cs="Times New Roman"/>
          <w:szCs w:val="21"/>
        </w:rPr>
      </w:pPr>
    </w:p>
    <w:p>
      <w:pPr>
        <w:spacing w:line="360" w:lineRule="auto"/>
        <w:jc w:val="center"/>
        <w:rPr>
          <w:rFonts w:ascii="Times New Roman" w:hAnsi="Times New Roman" w:eastAsia="仿宋" w:cs="Times New Roman"/>
          <w:color w:val="00B0F0"/>
          <w:szCs w:val="21"/>
        </w:rPr>
      </w:pPr>
      <w:r>
        <w:rPr>
          <w:rFonts w:ascii="Times New Roman" w:hAnsi="Times New Roman" w:eastAsia="仿宋" w:cs="Times New Roman"/>
          <w:szCs w:val="21"/>
        </w:rPr>
        <w:drawing>
          <wp:inline distT="0" distB="0" distL="0" distR="0">
            <wp:extent cx="2784475" cy="2313940"/>
            <wp:effectExtent l="0" t="0" r="0" b="0"/>
            <wp:docPr id="6" name="图片 6" descr="C:\Users\tianshi\AppData\Local\Temp\ksohtml32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tianshi\AppData\Local\Temp\ksohtml3228\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84475" cy="2313940"/>
                    </a:xfrm>
                    <a:prstGeom prst="rect">
                      <a:avLst/>
                    </a:prstGeom>
                    <a:noFill/>
                    <a:ln>
                      <a:noFill/>
                    </a:ln>
                  </pic:spPr>
                </pic:pic>
              </a:graphicData>
            </a:graphic>
          </wp:inline>
        </w:drawing>
      </w:r>
    </w:p>
    <w:p>
      <w:pPr>
        <w:spacing w:after="156" w:afterLines="50"/>
        <w:jc w:val="center"/>
        <w:rPr>
          <w:rFonts w:hint="eastAsia" w:ascii="宋体" w:hAnsi="宋体" w:eastAsia="宋体" w:cs="宋体"/>
          <w:b/>
          <w:bCs/>
          <w:sz w:val="20"/>
          <w:szCs w:val="20"/>
        </w:rPr>
      </w:pPr>
      <w:r>
        <w:rPr>
          <w:rFonts w:hint="eastAsia" w:ascii="宋体" w:hAnsi="宋体" w:eastAsia="宋体" w:cs="宋体"/>
          <w:b/>
          <w:bCs/>
          <w:sz w:val="20"/>
          <w:szCs w:val="20"/>
        </w:rPr>
        <w:t>图A3 安慰剂检验——旋转铁路线路示意图(以开封市为例)</w:t>
      </w:r>
    </w:p>
    <w:p>
      <w:pPr>
        <w:rPr>
          <w:rFonts w:hint="eastAsia" w:ascii="仿宋" w:hAnsi="仿宋" w:eastAsia="仿宋" w:cs="仿宋"/>
          <w:sz w:val="18"/>
          <w:szCs w:val="18"/>
        </w:rPr>
      </w:pPr>
      <w:r>
        <w:rPr>
          <w:rFonts w:hint="eastAsia" w:ascii="仿宋" w:hAnsi="仿宋" w:eastAsia="仿宋" w:cs="仿宋"/>
          <w:color w:val="000000"/>
          <w:sz w:val="18"/>
          <w:szCs w:val="18"/>
        </w:rPr>
        <w:t>注：</w:t>
      </w:r>
      <w:r>
        <w:rPr>
          <w:rFonts w:hint="eastAsia" w:ascii="仿宋" w:hAnsi="仿宋" w:eastAsia="仿宋" w:cs="仿宋"/>
          <w:sz w:val="18"/>
          <w:szCs w:val="18"/>
        </w:rPr>
        <w:t>本文还使用了安慰剂检验，其策略是将原本的城区铁路线以其中点为圆心旋转90度，从而构造“虚拟的铁路线”来代替真</w:t>
      </w:r>
      <w:r>
        <w:rPr>
          <w:rFonts w:hint="eastAsia" w:ascii="仿宋" w:hAnsi="仿宋" w:eastAsia="仿宋" w:cs="仿宋"/>
          <w:color w:val="000000"/>
          <w:sz w:val="18"/>
          <w:szCs w:val="18"/>
        </w:rPr>
        <w:t>实的铁路线。图A3以开封市2013年夜间灯光栅格图为例，展示了安慰剂检验的构造方式。如果以“虚拟铁路线”构造的数据进行回归分析依然可以得到显著结果，那么本文主回归分析所得到的结论可能只是在城市化进程中在任意空间都可能随机发生的集聚效应，而非铁路道口改造带来的交通便利性产生的效应。</w:t>
      </w:r>
    </w:p>
    <w:p>
      <w:pPr>
        <w:widowControl/>
        <w:jc w:val="left"/>
        <w:rPr>
          <w:rFonts w:hint="eastAsia" w:ascii="仿宋" w:hAnsi="仿宋" w:eastAsia="仿宋" w:cs="仿宋"/>
          <w:sz w:val="18"/>
          <w:szCs w:val="18"/>
        </w:rPr>
      </w:pPr>
      <w:r>
        <w:rPr>
          <w:rFonts w:hint="eastAsia" w:ascii="仿宋" w:hAnsi="仿宋" w:eastAsia="仿宋" w:cs="仿宋"/>
          <w:sz w:val="18"/>
          <w:szCs w:val="18"/>
        </w:rPr>
        <w:br w:type="page"/>
      </w:r>
    </w:p>
    <w:p>
      <w:pPr>
        <w:spacing w:after="156" w:afterLines="50"/>
        <w:jc w:val="center"/>
        <w:rPr>
          <w:rFonts w:hint="eastAsia" w:ascii="宋体" w:hAnsi="宋体" w:eastAsia="宋体" w:cs="宋体"/>
          <w:b/>
          <w:bCs/>
          <w:sz w:val="20"/>
          <w:szCs w:val="20"/>
        </w:rPr>
      </w:pPr>
      <w:r>
        <w:rPr>
          <w:rFonts w:hint="eastAsia" w:ascii="宋体" w:hAnsi="宋体" w:eastAsia="宋体" w:cs="宋体"/>
          <w:b/>
          <w:bCs/>
          <w:sz w:val="20"/>
          <w:szCs w:val="20"/>
        </w:rPr>
        <w:t>表A2 安慰剂检验</w:t>
      </w:r>
      <w:r>
        <w:rPr>
          <w:rFonts w:hint="eastAsia" w:ascii="宋体" w:hAnsi="宋体" w:eastAsia="宋体" w:cs="宋体"/>
          <w:b/>
          <w:bCs/>
          <w:sz w:val="20"/>
          <w:szCs w:val="20"/>
          <w:lang w:eastAsia="zh-CN"/>
        </w:rPr>
        <w:t>：</w:t>
      </w:r>
      <w:r>
        <w:rPr>
          <w:rFonts w:hint="eastAsia" w:ascii="宋体" w:hAnsi="宋体" w:eastAsia="宋体" w:cs="宋体"/>
          <w:b/>
          <w:bCs/>
          <w:sz w:val="20"/>
          <w:szCs w:val="20"/>
        </w:rPr>
        <w:t>旋转铁路线</w:t>
      </w:r>
    </w:p>
    <w:tbl>
      <w:tblPr>
        <w:tblStyle w:val="6"/>
        <w:tblW w:w="5000" w:type="pct"/>
        <w:jc w:val="center"/>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5037"/>
      </w:tblGrid>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single" w:color="000000" w:sz="2" w:space="0"/>
              <w:left w:val="nil"/>
              <w:bottom w:val="nil"/>
              <w:right w:val="nil"/>
            </w:tcBorders>
          </w:tcPr>
          <w:p>
            <w:pPr>
              <w:rPr>
                <w:rFonts w:hint="eastAsia" w:ascii="仿宋" w:hAnsi="仿宋" w:eastAsia="仿宋" w:cs="仿宋"/>
                <w:color w:val="000000"/>
                <w:sz w:val="18"/>
                <w:szCs w:val="18"/>
              </w:rPr>
            </w:pPr>
          </w:p>
        </w:tc>
        <w:tc>
          <w:tcPr>
            <w:tcW w:w="2955" w:type="pct"/>
            <w:tcBorders>
              <w:top w:val="single" w:color="000000" w:sz="2" w:space="0"/>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single" w:color="000000" w:sz="2" w:space="0"/>
              <w:right w:val="nil"/>
            </w:tcBorders>
          </w:tcPr>
          <w:p>
            <w:pPr>
              <w:rPr>
                <w:rFonts w:hint="eastAsia" w:ascii="仿宋" w:hAnsi="仿宋" w:eastAsia="仿宋" w:cs="仿宋"/>
                <w:color w:val="000000"/>
                <w:sz w:val="18"/>
                <w:szCs w:val="18"/>
              </w:rPr>
            </w:pPr>
          </w:p>
        </w:tc>
        <w:tc>
          <w:tcPr>
            <w:tcW w:w="2955" w:type="pct"/>
            <w:tcBorders>
              <w:top w:val="nil"/>
              <w:left w:val="nil"/>
              <w:bottom w:val="single" w:color="000000" w:sz="2" w:space="0"/>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RotationKM5</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single" w:color="000000" w:sz="2" w:space="0"/>
              <w:left w:val="nil"/>
              <w:bottom w:val="nil"/>
              <w:right w:val="nil"/>
            </w:tcBorders>
          </w:tcPr>
          <w:p>
            <w:pPr>
              <w:jc w:val="center"/>
              <w:rPr>
                <w:rFonts w:hint="eastAsia" w:ascii="仿宋" w:hAnsi="仿宋" w:eastAsia="仿宋" w:cs="仿宋"/>
                <w:i/>
                <w:iCs/>
                <w:color w:val="000000"/>
                <w:sz w:val="18"/>
                <w:szCs w:val="18"/>
              </w:rPr>
            </w:pPr>
            <w:r>
              <w:rPr>
                <w:rFonts w:hint="eastAsia" w:ascii="仿宋" w:hAnsi="仿宋" w:eastAsia="仿宋" w:cs="仿宋"/>
                <w:i/>
                <w:iCs/>
                <w:color w:val="000000"/>
                <w:sz w:val="18"/>
                <w:szCs w:val="18"/>
              </w:rPr>
              <w:t>Lijiao×Government</w:t>
            </w:r>
          </w:p>
        </w:tc>
        <w:tc>
          <w:tcPr>
            <w:tcW w:w="2955" w:type="pct"/>
            <w:tcBorders>
              <w:top w:val="single" w:color="000000" w:sz="2" w:space="0"/>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0.248</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(0.388)</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r>
              <w:rPr>
                <w:rFonts w:hint="eastAsia" w:ascii="仿宋" w:hAnsi="仿宋" w:eastAsia="仿宋" w:cs="仿宋"/>
                <w:i/>
                <w:iCs/>
                <w:color w:val="000000"/>
                <w:sz w:val="18"/>
                <w:szCs w:val="18"/>
              </w:rPr>
              <w:t>Lijiao</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-0.439</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(0.600)</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r>
              <w:rPr>
                <w:rFonts w:hint="eastAsia" w:ascii="仿宋" w:hAnsi="仿宋" w:eastAsia="仿宋" w:cs="仿宋"/>
                <w:i/>
                <w:iCs/>
                <w:color w:val="000000"/>
                <w:sz w:val="18"/>
                <w:szCs w:val="18"/>
              </w:rPr>
              <w:t>Government</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0.393</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(0.763)</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r>
              <w:rPr>
                <w:rFonts w:hint="eastAsia" w:ascii="仿宋" w:hAnsi="仿宋" w:eastAsia="仿宋" w:cs="仿宋"/>
                <w:i/>
                <w:iCs/>
                <w:color w:val="000000"/>
                <w:sz w:val="18"/>
                <w:szCs w:val="18"/>
              </w:rPr>
              <w:t>Metro</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-2.379</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(2.771)</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r>
              <w:rPr>
                <w:rFonts w:hint="eastAsia" w:ascii="仿宋" w:hAnsi="仿宋" w:eastAsia="仿宋" w:cs="仿宋"/>
                <w:i/>
                <w:iCs/>
                <w:color w:val="000000"/>
                <w:sz w:val="18"/>
                <w:szCs w:val="18"/>
              </w:rPr>
              <w:t>Urban</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0.030***</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(0.009)</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i/>
                <w:iCs/>
                <w:color w:val="000000"/>
                <w:sz w:val="18"/>
                <w:szCs w:val="18"/>
              </w:rPr>
            </w:pPr>
            <w:r>
              <w:rPr>
                <w:rFonts w:hint="eastAsia" w:ascii="仿宋" w:hAnsi="仿宋" w:eastAsia="仿宋" w:cs="仿宋"/>
                <w:i/>
                <w:iCs/>
                <w:color w:val="000000"/>
                <w:sz w:val="18"/>
                <w:szCs w:val="18"/>
              </w:rPr>
              <w:t>Fiscal</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-3.976</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(4.675)</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lang w:val="en-US" w:eastAsia="zh-CN"/>
              </w:rPr>
              <w:t>l</w:t>
            </w:r>
            <w:r>
              <w:rPr>
                <w:rFonts w:hint="eastAsia" w:ascii="仿宋" w:hAnsi="仿宋" w:eastAsia="仿宋" w:cs="仿宋"/>
                <w:color w:val="000000"/>
                <w:sz w:val="18"/>
                <w:szCs w:val="18"/>
              </w:rPr>
              <w:t>n</w:t>
            </w:r>
            <w:r>
              <w:rPr>
                <w:rFonts w:hint="eastAsia" w:ascii="仿宋" w:hAnsi="仿宋" w:eastAsia="仿宋" w:cs="仿宋"/>
                <w:i/>
                <w:iCs/>
                <w:color w:val="000000"/>
                <w:sz w:val="18"/>
                <w:szCs w:val="18"/>
              </w:rPr>
              <w:t>pgdp</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2.890***</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(0.767)</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lang w:val="en-US" w:eastAsia="zh-CN"/>
              </w:rPr>
              <w:t>l</w:t>
            </w:r>
            <w:r>
              <w:rPr>
                <w:rFonts w:hint="eastAsia" w:ascii="仿宋" w:hAnsi="仿宋" w:eastAsia="仿宋" w:cs="仿宋"/>
                <w:color w:val="000000"/>
                <w:sz w:val="18"/>
                <w:szCs w:val="18"/>
              </w:rPr>
              <w:t>n</w:t>
            </w:r>
            <w:r>
              <w:rPr>
                <w:rFonts w:hint="eastAsia" w:ascii="仿宋" w:hAnsi="仿宋" w:eastAsia="仿宋" w:cs="仿宋"/>
                <w:i/>
                <w:iCs/>
                <w:color w:val="000000"/>
                <w:sz w:val="18"/>
                <w:szCs w:val="18"/>
              </w:rPr>
              <w:t>SEZ</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0.707*</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color w:val="000000"/>
                <w:sz w:val="18"/>
                <w:szCs w:val="18"/>
              </w:rPr>
            </w:pP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(0.352)</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single" w:color="000000" w:sz="2" w:space="0"/>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city FE</w:t>
            </w:r>
          </w:p>
        </w:tc>
        <w:tc>
          <w:tcPr>
            <w:tcW w:w="2955" w:type="pct"/>
            <w:tcBorders>
              <w:top w:val="single" w:color="000000" w:sz="2" w:space="0"/>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是</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year FE</w:t>
            </w:r>
          </w:p>
        </w:tc>
        <w:tc>
          <w:tcPr>
            <w:tcW w:w="2955" w:type="pct"/>
            <w:tcBorders>
              <w:top w:val="nil"/>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是</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single" w:color="000000" w:sz="2" w:space="0"/>
              <w:left w:val="nil"/>
              <w:bottom w:val="nil"/>
              <w:right w:val="nil"/>
            </w:tcBorders>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样本数</w:t>
            </w:r>
          </w:p>
        </w:tc>
        <w:tc>
          <w:tcPr>
            <w:tcW w:w="2955" w:type="pct"/>
            <w:tcBorders>
              <w:top w:val="single" w:color="000000" w:sz="2" w:space="0"/>
              <w:left w:val="nil"/>
              <w:bottom w:val="nil"/>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10264</w:t>
            </w:r>
          </w:p>
        </w:tc>
      </w:tr>
      <w:tr>
        <w:tblPrEx>
          <w:tblBorders>
            <w:top w:val="single" w:color="000000"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tcBorders>
              <w:top w:val="nil"/>
              <w:left w:val="nil"/>
              <w:bottom w:val="single" w:color="000000" w:sz="2" w:space="0"/>
              <w:right w:val="nil"/>
            </w:tcBorders>
            <w:vAlign w:val="center"/>
          </w:tcPr>
          <w:p>
            <w:pPr>
              <w:jc w:val="center"/>
              <w:rPr>
                <w:rFonts w:hint="eastAsia" w:ascii="仿宋" w:hAnsi="仿宋" w:eastAsia="仿宋" w:cs="仿宋"/>
                <w:color w:val="000000"/>
                <w:sz w:val="18"/>
                <w:szCs w:val="18"/>
              </w:rPr>
            </w:pPr>
            <w:r>
              <w:rPr>
                <w:rFonts w:hint="eastAsia" w:ascii="仿宋" w:hAnsi="仿宋" w:eastAsia="仿宋" w:cs="仿宋"/>
                <w:kern w:val="0"/>
                <w:sz w:val="18"/>
                <w:szCs w:val="18"/>
              </w:rPr>
              <w:t>Adj.</w:t>
            </w:r>
            <w:r>
              <w:rPr>
                <w:rFonts w:hint="eastAsia" w:ascii="仿宋" w:hAnsi="仿宋" w:eastAsia="仿宋" w:cs="仿宋"/>
                <w:kern w:val="0"/>
                <w:sz w:val="18"/>
                <w:szCs w:val="18"/>
                <w:lang w:val="en-US" w:eastAsia="zh-CN"/>
              </w:rPr>
              <w:t xml:space="preserve"> </w:t>
            </w:r>
            <w:r>
              <w:rPr>
                <w:rFonts w:hint="eastAsia" w:ascii="仿宋" w:hAnsi="仿宋" w:eastAsia="仿宋" w:cs="仿宋"/>
                <w:i/>
                <w:kern w:val="0"/>
                <w:sz w:val="18"/>
                <w:szCs w:val="18"/>
              </w:rPr>
              <w:t>R</w:t>
            </w:r>
            <w:r>
              <w:rPr>
                <w:rFonts w:hint="eastAsia" w:ascii="仿宋" w:hAnsi="仿宋" w:eastAsia="仿宋" w:cs="仿宋"/>
                <w:kern w:val="0"/>
                <w:sz w:val="18"/>
                <w:szCs w:val="18"/>
                <w:vertAlign w:val="superscript"/>
              </w:rPr>
              <w:t>2</w:t>
            </w:r>
          </w:p>
        </w:tc>
        <w:tc>
          <w:tcPr>
            <w:tcW w:w="2955" w:type="pct"/>
            <w:tcBorders>
              <w:top w:val="nil"/>
              <w:left w:val="nil"/>
              <w:bottom w:val="single" w:color="000000" w:sz="2" w:space="0"/>
              <w:right w:val="nil"/>
            </w:tcBorders>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0.91</w:t>
            </w:r>
          </w:p>
        </w:tc>
      </w:tr>
    </w:tbl>
    <w:p>
      <w:pPr>
        <w:rPr>
          <w:rFonts w:hint="eastAsia" w:ascii="仿宋" w:hAnsi="仿宋" w:eastAsia="仿宋" w:cs="仿宋"/>
          <w:sz w:val="18"/>
          <w:szCs w:val="18"/>
        </w:rPr>
      </w:pPr>
      <w:r>
        <w:rPr>
          <w:rFonts w:hint="eastAsia" w:ascii="仿宋" w:hAnsi="仿宋" w:eastAsia="仿宋" w:cs="仿宋"/>
          <w:sz w:val="18"/>
          <w:szCs w:val="18"/>
        </w:rPr>
        <w:t>注：***</w:t>
      </w:r>
      <w:r>
        <w:rPr>
          <w:rFonts w:hint="eastAsia" w:ascii="仿宋" w:hAnsi="仿宋" w:eastAsia="仿宋" w:cs="仿宋"/>
          <w:i/>
          <w:iCs/>
          <w:sz w:val="18"/>
          <w:szCs w:val="18"/>
        </w:rPr>
        <w:t>p</w:t>
      </w:r>
      <w:r>
        <w:rPr>
          <w:rFonts w:hint="eastAsia" w:ascii="仿宋" w:hAnsi="仿宋" w:eastAsia="仿宋" w:cs="仿宋"/>
          <w:sz w:val="18"/>
          <w:szCs w:val="18"/>
        </w:rPr>
        <w:t>&lt;0.01，**</w:t>
      </w:r>
      <w:r>
        <w:rPr>
          <w:rFonts w:hint="eastAsia" w:ascii="仿宋" w:hAnsi="仿宋" w:eastAsia="仿宋" w:cs="仿宋"/>
          <w:i/>
          <w:iCs/>
          <w:sz w:val="18"/>
          <w:szCs w:val="18"/>
        </w:rPr>
        <w:t>p</w:t>
      </w:r>
      <w:r>
        <w:rPr>
          <w:rFonts w:hint="eastAsia" w:ascii="仿宋" w:hAnsi="仿宋" w:eastAsia="仿宋" w:cs="仿宋"/>
          <w:sz w:val="18"/>
          <w:szCs w:val="18"/>
        </w:rPr>
        <w:t>&lt;0.05，*</w:t>
      </w:r>
      <w:r>
        <w:rPr>
          <w:rFonts w:hint="eastAsia" w:ascii="仿宋" w:hAnsi="仿宋" w:eastAsia="仿宋" w:cs="仿宋"/>
          <w:i/>
          <w:iCs/>
          <w:sz w:val="18"/>
          <w:szCs w:val="18"/>
        </w:rPr>
        <w:t>p</w:t>
      </w:r>
      <w:r>
        <w:rPr>
          <w:rFonts w:hint="eastAsia" w:ascii="仿宋" w:hAnsi="仿宋" w:eastAsia="仿宋" w:cs="仿宋"/>
          <w:sz w:val="18"/>
          <w:szCs w:val="18"/>
        </w:rPr>
        <w:t>&lt;0.1。括号内为聚类于城市和年份层面的标准误。</w:t>
      </w:r>
      <w:r>
        <w:rPr>
          <w:rFonts w:hint="eastAsia" w:ascii="仿宋" w:hAnsi="仿宋" w:eastAsia="仿宋" w:cs="仿宋"/>
          <w:color w:val="000000"/>
          <w:sz w:val="18"/>
          <w:szCs w:val="18"/>
        </w:rPr>
        <w:t>表A2汇报了安慰剂检验的回归结果。其中，RotationKM5代表使用旋转90度后的“虚构铁路线”两侧的夜间灯光计算得来的5</w:t>
      </w:r>
      <w:r>
        <w:rPr>
          <w:rFonts w:hint="eastAsia" w:ascii="仿宋" w:hAnsi="仿宋" w:eastAsia="仿宋" w:cs="仿宋"/>
          <w:color w:val="000000"/>
          <w:sz w:val="18"/>
          <w:szCs w:val="18"/>
          <w:lang w:val="en-US" w:eastAsia="zh-CN"/>
        </w:rPr>
        <w:t>千米</w:t>
      </w:r>
      <w:r>
        <w:rPr>
          <w:rFonts w:hint="eastAsia" w:ascii="仿宋" w:hAnsi="仿宋" w:eastAsia="仿宋" w:cs="仿宋"/>
          <w:color w:val="000000"/>
          <w:sz w:val="18"/>
          <w:szCs w:val="18"/>
        </w:rPr>
        <w:t>缓冲区均值。从表A2中可以得到，在以旋转铁路线90度构造的安慰剂检验中，交乘项</w:t>
      </w:r>
      <w:r>
        <w:rPr>
          <w:rFonts w:hint="eastAsia" w:ascii="仿宋" w:hAnsi="仿宋" w:eastAsia="仿宋" w:cs="仿宋"/>
          <w:i/>
          <w:iCs/>
          <w:color w:val="000000"/>
          <w:sz w:val="18"/>
          <w:szCs w:val="18"/>
        </w:rPr>
        <w:t>Lijiao×Government</w:t>
      </w:r>
      <w:r>
        <w:rPr>
          <w:rFonts w:hint="eastAsia" w:ascii="仿宋" w:hAnsi="仿宋" w:eastAsia="仿宋" w:cs="仿宋"/>
          <w:color w:val="000000"/>
          <w:sz w:val="18"/>
          <w:szCs w:val="18"/>
        </w:rPr>
        <w:t>的系数不再显著。这提供了进一步的证据，支持主回归发现的结论</w:t>
      </w:r>
      <w:r>
        <w:rPr>
          <w:rFonts w:hint="eastAsia" w:ascii="仿宋" w:hAnsi="仿宋" w:eastAsia="仿宋" w:cs="仿宋"/>
          <w:color w:val="000000"/>
          <w:sz w:val="18"/>
          <w:szCs w:val="18"/>
          <w:lang w:eastAsia="zh-CN"/>
        </w:rPr>
        <w:t>，</w:t>
      </w:r>
      <w:r>
        <w:rPr>
          <w:rFonts w:hint="eastAsia" w:ascii="仿宋" w:hAnsi="仿宋" w:eastAsia="仿宋" w:cs="仿宋"/>
          <w:color w:val="000000"/>
          <w:sz w:val="18"/>
          <w:szCs w:val="18"/>
        </w:rPr>
        <w:t>即“道口平改立”工程确实促进了要素在城区内部的流动并向优势区域集聚，集聚效应并非在城区任意空间都会随机发生。</w:t>
      </w:r>
    </w:p>
    <w:p>
      <w:pPr>
        <w:widowControl/>
        <w:jc w:val="left"/>
        <w:rPr>
          <w:rFonts w:ascii="Times New Roman" w:hAnsi="Times New Roman" w:eastAsia="仿宋" w:cs="Times New Roman"/>
          <w:szCs w:val="21"/>
        </w:rPr>
      </w:pPr>
    </w:p>
    <w:p>
      <w:pPr>
        <w:widowControl/>
        <w:jc w:val="left"/>
        <w:rPr>
          <w:rFonts w:ascii="Times New Roman" w:hAnsi="Times New Roman" w:eastAsia="仿宋" w:cs="Times New Roman"/>
          <w:szCs w:val="21"/>
        </w:rPr>
      </w:pPr>
    </w:p>
    <w:p>
      <w:pPr>
        <w:widowControl/>
        <w:jc w:val="left"/>
        <w:rPr>
          <w:rFonts w:ascii="Times New Roman" w:hAnsi="Times New Roman" w:eastAsia="仿宋" w:cs="Times New Roman"/>
          <w:szCs w:val="21"/>
        </w:rPr>
      </w:pPr>
    </w:p>
    <w:p>
      <w:pPr>
        <w:widowControl/>
        <w:jc w:val="left"/>
        <w:rPr>
          <w:rFonts w:ascii="Times New Roman" w:hAnsi="Times New Roman" w:eastAsia="仿宋" w:cs="Times New Roman"/>
          <w:szCs w:val="21"/>
        </w:rPr>
      </w:pPr>
    </w:p>
    <w:p>
      <w:pPr>
        <w:widowControl/>
        <w:jc w:val="left"/>
        <w:rPr>
          <w:rFonts w:ascii="Times New Roman" w:hAnsi="Times New Roman" w:eastAsia="仿宋" w:cs="Times New Roman"/>
          <w:szCs w:val="21"/>
        </w:rPr>
      </w:pPr>
    </w:p>
    <w:p>
      <w:pPr>
        <w:widowControl/>
        <w:jc w:val="left"/>
        <w:rPr>
          <w:rFonts w:ascii="Times New Roman" w:hAnsi="Times New Roman" w:eastAsia="仿宋" w:cs="Times New Roman"/>
          <w:szCs w:val="21"/>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8"/>
        <w:gridCol w:w="4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2" w:hRule="atLeast"/>
        </w:trPr>
        <w:tc>
          <w:tcPr>
            <w:tcW w:w="4508" w:type="dxa"/>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kern w:val="0"/>
                <w:szCs w:val="21"/>
              </w:rPr>
              <w:drawing>
                <wp:inline distT="0" distB="0" distL="0" distR="0">
                  <wp:extent cx="1981200" cy="1828800"/>
                  <wp:effectExtent l="0" t="0" r="0" b="0"/>
                  <wp:docPr id="5" name="图片 5" descr="C:\Users\tianshi\AppData\Local\Temp\ksohtml64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ianshi\AppData\Local\Temp\ksohtml6460\wp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81200" cy="1828800"/>
                          </a:xfrm>
                          <a:prstGeom prst="rect">
                            <a:avLst/>
                          </a:prstGeom>
                          <a:noFill/>
                          <a:ln>
                            <a:noFill/>
                          </a:ln>
                        </pic:spPr>
                      </pic:pic>
                    </a:graphicData>
                  </a:graphic>
                </wp:inline>
              </w:drawing>
            </w:r>
          </w:p>
        </w:tc>
        <w:tc>
          <w:tcPr>
            <w:tcW w:w="4509" w:type="dxa"/>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kern w:val="0"/>
                <w:szCs w:val="21"/>
              </w:rPr>
              <w:drawing>
                <wp:inline distT="0" distB="0" distL="0" distR="0">
                  <wp:extent cx="2057400" cy="1905000"/>
                  <wp:effectExtent l="0" t="0" r="0" b="0"/>
                  <wp:docPr id="4" name="图片 4" descr="C:\Users\tianshi\AppData\Local\Temp\ksohtml64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ianshi\AppData\Local\Temp\ksohtml6460\wp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57400" cy="1905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vAlign w:val="center"/>
          </w:tcPr>
          <w:p>
            <w:pPr>
              <w:spacing w:line="360" w:lineRule="auto"/>
              <w:jc w:val="center"/>
              <w:rPr>
                <w:rFonts w:hint="eastAsia" w:ascii="宋体" w:hAnsi="宋体" w:eastAsia="宋体" w:cs="宋体"/>
                <w:b/>
                <w:bCs/>
                <w:kern w:val="0"/>
                <w:sz w:val="18"/>
                <w:szCs w:val="18"/>
              </w:rPr>
            </w:pP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lang w:val="en-US" w:eastAsia="zh-CN"/>
              </w:rPr>
              <w:t>a</w:t>
            </w: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rPr>
              <w:t>1995年上海市辖区夜间灯光示意图</w:t>
            </w:r>
          </w:p>
        </w:tc>
        <w:tc>
          <w:tcPr>
            <w:tcW w:w="4509" w:type="dxa"/>
            <w:vAlign w:val="center"/>
          </w:tcPr>
          <w:p>
            <w:pPr>
              <w:spacing w:line="360" w:lineRule="auto"/>
              <w:jc w:val="center"/>
              <w:rPr>
                <w:rFonts w:hint="eastAsia" w:ascii="宋体" w:hAnsi="宋体" w:eastAsia="宋体" w:cs="宋体"/>
                <w:b/>
                <w:bCs/>
                <w:kern w:val="0"/>
                <w:sz w:val="18"/>
                <w:szCs w:val="18"/>
              </w:rPr>
            </w:pP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lang w:val="en-US" w:eastAsia="zh-CN"/>
              </w:rPr>
              <w:t>b</w:t>
            </w:r>
            <w:r>
              <w:rPr>
                <w:rFonts w:hint="eastAsia" w:ascii="宋体" w:hAnsi="宋体" w:eastAsia="宋体" w:cs="宋体"/>
                <w:b/>
                <w:bCs/>
                <w:kern w:val="0"/>
                <w:sz w:val="18"/>
                <w:szCs w:val="18"/>
                <w:lang w:eastAsia="zh-CN"/>
              </w:rPr>
              <w:t>）</w:t>
            </w:r>
            <w:r>
              <w:rPr>
                <w:rFonts w:hint="eastAsia" w:ascii="宋体" w:hAnsi="宋体" w:eastAsia="宋体" w:cs="宋体"/>
                <w:b/>
                <w:bCs/>
                <w:kern w:val="0"/>
                <w:sz w:val="18"/>
                <w:szCs w:val="18"/>
              </w:rPr>
              <w:t>2013年上海市辖区夜间灯光示意图</w:t>
            </w:r>
          </w:p>
        </w:tc>
      </w:tr>
    </w:tbl>
    <w:p>
      <w:pPr>
        <w:spacing w:after="156" w:afterLines="50"/>
        <w:jc w:val="center"/>
        <w:rPr>
          <w:rFonts w:hint="eastAsia" w:ascii="宋体" w:hAnsi="宋体" w:eastAsia="宋体" w:cs="宋体"/>
          <w:b/>
          <w:bCs/>
          <w:sz w:val="20"/>
          <w:szCs w:val="20"/>
        </w:rPr>
      </w:pPr>
      <w:r>
        <w:rPr>
          <w:rFonts w:hint="eastAsia" w:ascii="宋体" w:hAnsi="宋体" w:eastAsia="宋体" w:cs="宋体"/>
          <w:b/>
          <w:bCs/>
          <w:sz w:val="20"/>
          <w:szCs w:val="20"/>
        </w:rPr>
        <w:t>图A4  发达地区铁路两侧经济示意图(以上海市为例)</w:t>
      </w:r>
    </w:p>
    <w:p>
      <w:pPr>
        <w:rPr>
          <w:rFonts w:hint="eastAsia" w:ascii="仿宋" w:hAnsi="仿宋" w:eastAsia="仿宋" w:cs="仿宋"/>
          <w:sz w:val="18"/>
          <w:szCs w:val="18"/>
        </w:rPr>
      </w:pPr>
      <w:r>
        <w:rPr>
          <w:rFonts w:hint="eastAsia" w:ascii="仿宋" w:hAnsi="仿宋" w:eastAsia="仿宋" w:cs="仿宋"/>
          <w:sz w:val="18"/>
          <w:szCs w:val="18"/>
        </w:rPr>
        <w:t>注：图A4所示的上海，其经济发达、人口密集，是典型的发达城市。对比1995年和2013年上海市辖区夜间灯光亮度的分布会发现，道口改造并没有进一步加剧城区内部经济活动的集聚，城区内部经济已经走向了更为均衡的发展路径。</w:t>
      </w: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keepNext w:val="0"/>
        <w:keepLines w:val="0"/>
        <w:pageBreakBefore w:val="0"/>
        <w:widowControl w:val="0"/>
        <w:kinsoku/>
        <w:wordWrap/>
        <w:overflowPunct/>
        <w:topLinePunct w:val="0"/>
        <w:autoSpaceDE/>
        <w:autoSpaceDN/>
        <w:bidi w:val="0"/>
        <w:adjustRightInd/>
        <w:snapToGrid/>
        <w:spacing w:line="360" w:lineRule="auto"/>
        <w:ind w:left="-2" w:leftChars="-1" w:firstLine="0"/>
        <w:textAlignment w:val="auto"/>
        <w:rPr>
          <w:rFonts w:hint="eastAsia" w:ascii="宋体" w:hAnsi="宋体" w:eastAsia="宋体" w:cs="宋体"/>
          <w:b/>
          <w:bCs/>
          <w:color w:val="auto"/>
          <w:kern w:val="0"/>
          <w:szCs w:val="21"/>
        </w:rPr>
      </w:pPr>
      <w:r>
        <w:rPr>
          <w:rFonts w:hint="eastAsia" w:ascii="宋体" w:hAnsi="宋体" w:eastAsia="宋体" w:cs="宋体"/>
          <w:b/>
          <w:color w:val="auto"/>
          <w:szCs w:val="22"/>
        </w:rPr>
        <w:t>注：该附录是期刊所发表论文的组成部分，同样视为作者公开发表的内容。如研究中使用该附录中的内容，</w:t>
      </w:r>
      <w:r>
        <w:rPr>
          <w:rFonts w:hint="eastAsia" w:ascii="宋体" w:hAnsi="宋体" w:eastAsia="宋体" w:cs="宋体"/>
          <w:b/>
          <w:bCs/>
          <w:color w:val="auto"/>
          <w:kern w:val="0"/>
          <w:szCs w:val="21"/>
        </w:rPr>
        <w:t>请务必在研究成果上注明</w:t>
      </w:r>
      <w:r>
        <w:rPr>
          <w:rFonts w:hint="eastAsia" w:ascii="宋体" w:hAnsi="宋体" w:eastAsia="宋体" w:cs="宋体"/>
          <w:b/>
          <w:bCs/>
          <w:color w:val="auto"/>
          <w:kern w:val="0"/>
          <w:szCs w:val="21"/>
          <w:lang w:val="en-US" w:eastAsia="zh-CN"/>
        </w:rPr>
        <w:t>附录</w:t>
      </w:r>
      <w:r>
        <w:rPr>
          <w:rFonts w:hint="eastAsia" w:ascii="宋体" w:hAnsi="宋体" w:eastAsia="宋体" w:cs="宋体"/>
          <w:b/>
          <w:bCs/>
          <w:color w:val="auto"/>
          <w:kern w:val="0"/>
          <w:szCs w:val="21"/>
        </w:rPr>
        <w:t>下载出处</w:t>
      </w:r>
      <w:r>
        <w:rPr>
          <w:rFonts w:hint="eastAsia" w:ascii="宋体" w:hAnsi="宋体" w:eastAsia="宋体" w:cs="宋体"/>
          <w:color w:val="auto"/>
          <w:kern w:val="0"/>
          <w:szCs w:val="21"/>
        </w:rPr>
        <w:t>。</w:t>
      </w:r>
    </w:p>
    <w:p>
      <w:pPr>
        <w:rPr>
          <w:rFonts w:ascii="Times New Roman" w:hAnsi="Times New Roman" w:eastAsia="仿宋" w:cs="Times New Roman"/>
        </w:rPr>
      </w:pPr>
    </w:p>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center"/>
      <w:rPr>
        <w:rFonts w:hint="default" w:eastAsiaTheme="minorEastAsia"/>
        <w:lang w:val="en-US" w:eastAsia="zh-CN"/>
      </w:rPr>
    </w:pPr>
    <w:r>
      <w:rPr>
        <w:rFonts w:hint="eastAsia"/>
        <w:lang w:eastAsia="zh-CN"/>
      </w:rPr>
      <w:t>《</w:t>
    </w:r>
    <w:r>
      <w:rPr>
        <w:rFonts w:hint="eastAsia"/>
        <w:lang w:val="en-US" w:eastAsia="zh-CN"/>
      </w:rPr>
      <w:t>经济学</w:t>
    </w:r>
    <w:r>
      <w:rPr>
        <w:rFonts w:hint="eastAsia"/>
        <w:lang w:eastAsia="zh-CN"/>
      </w:rPr>
      <w:t>》（</w:t>
    </w:r>
    <w:r>
      <w:rPr>
        <w:rFonts w:hint="eastAsia"/>
        <w:lang w:val="en-US" w:eastAsia="zh-CN"/>
      </w:rPr>
      <w:t>季刊</w:t>
    </w:r>
    <w:r>
      <w:rPr>
        <w:rFonts w:hint="eastAsia"/>
        <w:lang w:eastAsia="zh-CN"/>
      </w:rPr>
      <w:t>）</w:t>
    </w:r>
    <w:r>
      <w:rPr>
        <w:rFonts w:hint="eastAsia"/>
        <w:lang w:val="en-US" w:eastAsia="zh-CN"/>
      </w:rPr>
      <w:t xml:space="preserve">                                                              2023年第5期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5YTY5MzAxODJhZDAxMGMwZGQwZTA0ZDg0NjA2ZDkifQ=="/>
  </w:docVars>
  <w:rsids>
    <w:rsidRoot w:val="00CB3CD8"/>
    <w:rsid w:val="00163E24"/>
    <w:rsid w:val="00274AA6"/>
    <w:rsid w:val="00310583"/>
    <w:rsid w:val="003323D7"/>
    <w:rsid w:val="00347955"/>
    <w:rsid w:val="00384C67"/>
    <w:rsid w:val="00481DEF"/>
    <w:rsid w:val="00500E67"/>
    <w:rsid w:val="00604FBD"/>
    <w:rsid w:val="006A7225"/>
    <w:rsid w:val="007917F7"/>
    <w:rsid w:val="008D275A"/>
    <w:rsid w:val="008D6448"/>
    <w:rsid w:val="008E1BFD"/>
    <w:rsid w:val="00913685"/>
    <w:rsid w:val="009510A0"/>
    <w:rsid w:val="009C7923"/>
    <w:rsid w:val="00A646DA"/>
    <w:rsid w:val="00BD53D3"/>
    <w:rsid w:val="00C103FD"/>
    <w:rsid w:val="00C22174"/>
    <w:rsid w:val="00C6510B"/>
    <w:rsid w:val="00CB3CD8"/>
    <w:rsid w:val="00CC5B67"/>
    <w:rsid w:val="00D87336"/>
    <w:rsid w:val="00DA518F"/>
    <w:rsid w:val="00F96576"/>
    <w:rsid w:val="05104339"/>
    <w:rsid w:val="0EBD14F7"/>
    <w:rsid w:val="24A00233"/>
    <w:rsid w:val="2A8B2A99"/>
    <w:rsid w:val="33C67A1C"/>
    <w:rsid w:val="3A4F152D"/>
    <w:rsid w:val="3DAC1A84"/>
    <w:rsid w:val="4DBC3F93"/>
    <w:rsid w:val="4F2C5C18"/>
    <w:rsid w:val="56DC53F6"/>
    <w:rsid w:val="6171239F"/>
    <w:rsid w:val="655E698E"/>
    <w:rsid w:val="72210161"/>
    <w:rsid w:val="72770C36"/>
    <w:rsid w:val="73182847"/>
    <w:rsid w:val="75110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unhideWhenUsed/>
    <w:qFormat/>
    <w:uiPriority w:val="39"/>
    <w:pPr>
      <w:widowControl/>
      <w:spacing w:after="100" w:line="259" w:lineRule="auto"/>
      <w:jc w:val="left"/>
    </w:pPr>
    <w:rPr>
      <w:rFonts w:ascii="等线" w:hAnsi="等线" w:eastAsia="等线"/>
      <w:kern w:val="0"/>
      <w:sz w:val="22"/>
      <w:szCs w:val="22"/>
    </w:rPr>
  </w:style>
  <w:style w:type="table" w:styleId="6">
    <w:name w:val="Table Grid"/>
    <w:basedOn w:val="5"/>
    <w:unhideWhenUsed/>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论文正文"/>
    <w:basedOn w:val="1"/>
    <w:qFormat/>
    <w:uiPriority w:val="0"/>
    <w:pPr>
      <w:spacing w:line="400" w:lineRule="exact"/>
      <w:ind w:firstLine="20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1185</Words>
  <Characters>1870</Characters>
  <Lines>14</Lines>
  <Paragraphs>4</Paragraphs>
  <TotalTime>0</TotalTime>
  <ScaleCrop>false</ScaleCrop>
  <LinksUpToDate>false</LinksUpToDate>
  <CharactersWithSpaces>1892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2023-09-06T15:16:00Z</dcterms:created>
  <dc:creator>tianshi</dc:creator>
  <cp:lastModifiedBy>刘京</cp:lastModifiedBy>
  <dcterms:modified xsi:type="dcterms:W3CDTF">2023-09-24T04:21:19Z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99AC2F4FFFC14866B0AD8EF8CB8723E2_12</vt:lpwstr>
  </property>
</Properties>
</file>