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反倾销与中国资本市场信息效率</w:t>
      </w:r>
    </w:p>
    <w:p>
      <w:pPr>
        <w:jc w:val="center"/>
        <w:rPr>
          <w:rFonts w:hint="eastAsia" w:ascii="仿宋" w:hAnsi="仿宋" w:eastAsia="仿宋" w:cs="仿宋"/>
          <w:b/>
          <w:bCs/>
          <w:sz w:val="28"/>
          <w:szCs w:val="28"/>
        </w:rPr>
      </w:pPr>
      <w:r>
        <w:rPr>
          <w:rFonts w:hint="eastAsia" w:ascii="仿宋" w:hAnsi="仿宋" w:eastAsia="仿宋" w:cs="仿宋"/>
          <w:b/>
          <w:bCs/>
          <w:sz w:val="28"/>
          <w:szCs w:val="28"/>
        </w:rPr>
        <w:t>——基于股价同步性的研究</w:t>
      </w:r>
    </w:p>
    <w:p>
      <w:pPr>
        <w:jc w:val="center"/>
        <w:rPr>
          <w:rStyle w:val="10"/>
          <w:rFonts w:hint="eastAsia" w:ascii="楷体" w:hAnsi="楷体" w:eastAsia="楷体" w:cs="楷体"/>
          <w:sz w:val="28"/>
          <w:szCs w:val="28"/>
        </w:rPr>
      </w:pPr>
      <w:r>
        <w:rPr>
          <w:rFonts w:hint="eastAsia" w:ascii="楷体" w:hAnsi="楷体" w:eastAsia="楷体" w:cs="楷体"/>
          <w:sz w:val="28"/>
          <w:szCs w:val="28"/>
        </w:rPr>
        <w:t>黄新飞 叶梓南 王升泉</w:t>
      </w: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pStyle w:val="14"/>
        <w:spacing w:line="240" w:lineRule="auto"/>
        <w:ind w:firstLine="643"/>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pStyle w:val="14"/>
        <w:spacing w:line="240" w:lineRule="auto"/>
        <w:ind w:firstLine="643"/>
        <w:jc w:val="center"/>
        <w:rPr>
          <w:rFonts w:hint="eastAsia" w:ascii="仿宋" w:hAnsi="仿宋" w:eastAsia="仿宋" w:cs="仿宋"/>
          <w:b/>
          <w:bCs/>
          <w:sz w:val="32"/>
          <w:szCs w:val="32"/>
        </w:rPr>
      </w:pPr>
    </w:p>
    <w:p>
      <w:pPr>
        <w:pStyle w:val="5"/>
        <w:tabs>
          <w:tab w:val="right" w:leader="dot" w:pos="8306"/>
        </w:tabs>
        <w:rPr>
          <w:rFonts w:hint="eastAsia" w:ascii="仿宋" w:hAnsi="仿宋" w:eastAsia="仿宋" w:cs="仿宋"/>
          <w:i w:val="0"/>
          <w:iCs w:val="0"/>
          <w:sz w:val="22"/>
          <w:szCs w:val="22"/>
        </w:rPr>
      </w:pPr>
      <w:r>
        <w:rPr>
          <w:rFonts w:hint="eastAsia" w:ascii="仿宋" w:hAnsi="仿宋" w:eastAsia="仿宋" w:cs="仿宋"/>
          <w:i w:val="0"/>
          <w:iCs w:val="0"/>
          <w:sz w:val="22"/>
          <w:szCs w:val="22"/>
        </w:rPr>
        <w:t xml:space="preserve">附录Ⅰ 式（5）与式（7）证明  </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zh-CN"/>
        </w:rPr>
        <w:t>1</w:t>
      </w:r>
    </w:p>
    <w:p>
      <w:pPr>
        <w:pStyle w:val="5"/>
        <w:tabs>
          <w:tab w:val="right" w:leader="dot" w:pos="8306"/>
        </w:tabs>
        <w:rPr>
          <w:rFonts w:hint="eastAsia" w:ascii="仿宋" w:hAnsi="仿宋" w:eastAsia="仿宋" w:cs="仿宋"/>
          <w:i w:val="0"/>
          <w:iCs w:val="0"/>
          <w:sz w:val="22"/>
          <w:szCs w:val="22"/>
          <w:lang w:eastAsia="zh-CN"/>
        </w:rPr>
      </w:pPr>
      <w:r>
        <w:rPr>
          <w:rFonts w:hint="eastAsia" w:ascii="仿宋" w:hAnsi="仿宋" w:eastAsia="仿宋" w:cs="仿宋"/>
          <w:bCs/>
          <w:i w:val="0"/>
          <w:iCs w:val="0"/>
          <w:sz w:val="22"/>
          <w:szCs w:val="22"/>
          <w:lang w:val="zh-CN"/>
        </w:rPr>
        <w:t>附录Ⅱ 附表及附图</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en-US" w:eastAsia="zh-CN"/>
        </w:rPr>
        <w:t>3</w:t>
      </w:r>
    </w:p>
    <w:p>
      <w:pPr>
        <w:pStyle w:val="5"/>
        <w:tabs>
          <w:tab w:val="right" w:leader="dot" w:pos="8306"/>
        </w:tabs>
        <w:rPr>
          <w:rFonts w:hint="eastAsia" w:ascii="仿宋" w:hAnsi="仿宋" w:eastAsia="仿宋" w:cs="仿宋"/>
          <w:i w:val="0"/>
          <w:iCs w:val="0"/>
          <w:sz w:val="22"/>
          <w:szCs w:val="22"/>
          <w:lang w:eastAsia="zh-CN"/>
        </w:rPr>
      </w:pPr>
      <w:r>
        <w:rPr>
          <w:rFonts w:hint="eastAsia" w:ascii="仿宋" w:hAnsi="仿宋" w:eastAsia="仿宋" w:cs="仿宋"/>
          <w:bCs/>
          <w:i w:val="0"/>
          <w:iCs w:val="0"/>
          <w:sz w:val="22"/>
          <w:szCs w:val="22"/>
          <w:lang w:val="zh-CN"/>
        </w:rPr>
        <w:t xml:space="preserve">附录Ⅲ 稳健性检验 </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en-US" w:eastAsia="zh-CN"/>
        </w:rPr>
        <w:t>5</w:t>
      </w: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jc w:val="center"/>
        <w:rPr>
          <w:rStyle w:val="10"/>
          <w:rFonts w:ascii="Times New Roman" w:hAnsi="Times New Roman" w:eastAsia="仿宋" w:cs="Times New Roman"/>
        </w:rPr>
      </w:pPr>
    </w:p>
    <w:p>
      <w:pPr>
        <w:pStyle w:val="2"/>
        <w:spacing w:line="264" w:lineRule="auto"/>
        <w:rPr>
          <w:rFonts w:eastAsia="仿宋"/>
          <w:b w:val="0"/>
          <w:bCs w:val="0"/>
          <w:color w:val="000000" w:themeColor="text1"/>
          <w:sz w:val="21"/>
          <w:szCs w:val="21"/>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bookmarkStart w:id="0" w:name="_Toc6967"/>
    </w:p>
    <w:p>
      <w:pPr>
        <w:pStyle w:val="2"/>
        <w:spacing w:line="264" w:lineRule="auto"/>
        <w:jc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i w:val="0"/>
          <w:iCs w:val="0"/>
          <w:sz w:val="28"/>
          <w:szCs w:val="28"/>
        </w:rPr>
        <w:t>附录Ⅰ</w:t>
      </w:r>
      <w:r>
        <w:rPr>
          <w:rFonts w:hint="eastAsia" w:ascii="楷体" w:hAnsi="楷体" w:eastAsia="楷体" w:cs="楷体"/>
          <w:b w:val="0"/>
          <w:bCs w:val="0"/>
          <w:color w:val="000000" w:themeColor="text1"/>
          <w:sz w:val="28"/>
          <w:szCs w:val="28"/>
          <w14:textFill>
            <w14:solidFill>
              <w14:schemeClr w14:val="tx1"/>
            </w14:solidFill>
          </w14:textFill>
        </w:rPr>
        <w:t xml:space="preserve"> 式（5）与式（7）证明</w:t>
      </w:r>
      <w:bookmarkEnd w:id="0"/>
    </w:p>
    <w:p>
      <w:pPr>
        <w:rPr>
          <w:rFonts w:hint="eastAsia" w:ascii="仿宋" w:hAnsi="仿宋" w:eastAsia="仿宋" w:cs="仿宋"/>
          <w:b/>
          <w:bCs w:val="0"/>
          <w:color w:val="000000" w:themeColor="text1"/>
          <w:szCs w:val="21"/>
          <w14:textFill>
            <w14:solidFill>
              <w14:schemeClr w14:val="tx1"/>
            </w14:solidFill>
          </w14:textFill>
        </w:rPr>
      </w:pPr>
      <w:r>
        <w:rPr>
          <w:rFonts w:hint="eastAsia" w:ascii="仿宋" w:hAnsi="仿宋" w:eastAsia="仿宋" w:cs="仿宋"/>
          <w:b/>
          <w:bCs w:val="0"/>
          <w:color w:val="000000" w:themeColor="text1"/>
          <w:szCs w:val="21"/>
          <w:lang w:eastAsia="zh-CN"/>
          <w14:textFill>
            <w14:solidFill>
              <w14:schemeClr w14:val="tx1"/>
            </w14:solidFill>
          </w14:textFill>
        </w:rPr>
        <w:t>（</w:t>
      </w:r>
      <w:r>
        <w:rPr>
          <w:rFonts w:hint="eastAsia" w:ascii="仿宋" w:hAnsi="仿宋" w:eastAsia="仿宋" w:cs="仿宋"/>
          <w:b/>
          <w:bCs w:val="0"/>
          <w:color w:val="000000" w:themeColor="text1"/>
          <w:szCs w:val="21"/>
          <w:lang w:val="en-US" w:eastAsia="zh-CN"/>
          <w14:textFill>
            <w14:solidFill>
              <w14:schemeClr w14:val="tx1"/>
            </w14:solidFill>
          </w14:textFill>
        </w:rPr>
        <w:t>一</w:t>
      </w:r>
      <w:r>
        <w:rPr>
          <w:rFonts w:hint="eastAsia" w:ascii="仿宋" w:hAnsi="仿宋" w:eastAsia="仿宋" w:cs="仿宋"/>
          <w:b/>
          <w:bCs w:val="0"/>
          <w:color w:val="000000" w:themeColor="text1"/>
          <w:szCs w:val="21"/>
          <w:lang w:eastAsia="zh-CN"/>
          <w14:textFill>
            <w14:solidFill>
              <w14:schemeClr w14:val="tx1"/>
            </w14:solidFill>
          </w14:textFill>
        </w:rPr>
        <w:t>）</w:t>
      </w:r>
      <w:r>
        <w:rPr>
          <w:rFonts w:hint="eastAsia" w:ascii="仿宋" w:hAnsi="仿宋" w:eastAsia="仿宋" w:cs="仿宋"/>
          <w:b/>
          <w:bCs w:val="0"/>
          <w:color w:val="000000" w:themeColor="text1"/>
          <w:szCs w:val="21"/>
          <w14:textFill>
            <w14:solidFill>
              <w14:schemeClr w14:val="tx1"/>
            </w14:solidFill>
          </w14:textFill>
        </w:rPr>
        <w:t>式（5）证明</w:t>
      </w:r>
    </w:p>
    <w:p>
      <w:pPr>
        <w:ind w:firstLine="420"/>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如</w:t>
      </w:r>
      <w:r>
        <w:rPr>
          <w:rFonts w:hint="eastAsia" w:ascii="Times New Roman" w:hAnsi="Times New Roman" w:eastAsia="仿宋" w:cs="Times New Roman"/>
          <w:bCs/>
          <w:color w:val="000000" w:themeColor="text1"/>
          <w:szCs w:val="21"/>
          <w:lang w:val="en-US" w:eastAsia="zh-CN"/>
          <w14:textFill>
            <w14:solidFill>
              <w14:schemeClr w14:val="tx1"/>
            </w14:solidFill>
          </w14:textFill>
        </w:rPr>
        <w:t>正文中</w:t>
      </w:r>
      <w:r>
        <w:rPr>
          <w:rFonts w:ascii="Times New Roman" w:hAnsi="Times New Roman" w:eastAsia="仿宋" w:cs="Times New Roman"/>
          <w:bCs/>
          <w:color w:val="000000" w:themeColor="text1"/>
          <w:szCs w:val="21"/>
          <w14:textFill>
            <w14:solidFill>
              <w14:schemeClr w14:val="tx1"/>
            </w14:solidFill>
          </w14:textFill>
        </w:rPr>
        <w:t>所述，外部投资者通过</w:t>
      </w:r>
      <w:r>
        <w:rPr>
          <w:rFonts w:ascii="Times New Roman" w:hAnsi="Times New Roman" w:eastAsia="仿宋" w:cs="Times New Roman"/>
          <w:color w:val="000000" w:themeColor="text1"/>
          <w:position w:val="-12"/>
          <w:szCs w:val="21"/>
          <w14:textFill>
            <w14:solidFill>
              <w14:schemeClr w14:val="tx1"/>
            </w14:solidFill>
          </w14:textFill>
        </w:rPr>
        <w:object>
          <v:shape id="_x0000_i1025" o:spt="75" type="#_x0000_t75" style="height:18.25pt;width:14.0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更新对企业总体价值</w:t>
      </w:r>
      <w:r>
        <w:rPr>
          <w:rFonts w:ascii="Times New Roman" w:hAnsi="Times New Roman" w:eastAsia="仿宋" w:cs="Times New Roman"/>
          <w:color w:val="000000" w:themeColor="text1"/>
          <w:position w:val="-12"/>
          <w:szCs w:val="21"/>
          <w14:textFill>
            <w14:solidFill>
              <w14:schemeClr w14:val="tx1"/>
            </w14:solidFill>
          </w14:textFill>
        </w:rPr>
        <w:object>
          <v:shape id="_x0000_i1026" o:spt="75" type="#_x0000_t75" style="height:18.25pt;width:14.9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的预期，而</w:t>
      </w:r>
      <w:r>
        <w:rPr>
          <w:rFonts w:ascii="Times New Roman" w:hAnsi="Times New Roman" w:eastAsia="仿宋" w:cs="Times New Roman"/>
          <w:color w:val="000000" w:themeColor="text1"/>
          <w:position w:val="-12"/>
          <w:szCs w:val="21"/>
          <w14:textFill>
            <w14:solidFill>
              <w14:schemeClr w14:val="tx1"/>
            </w14:solidFill>
          </w14:textFill>
        </w:rPr>
        <w:object>
          <v:shape id="_x0000_i1027" o:spt="75" type="#_x0000_t75" style="height:18.25pt;width:14.9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0">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即为未来现金流的现值总和：</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p>
        </w:tc>
        <w:tc>
          <w:tcPr>
            <w:tcW w:w="1667" w:type="pct"/>
            <w:tcBorders>
              <w:top w:val="nil"/>
              <w:left w:val="nil"/>
              <w:bottom w:val="nil"/>
              <w:right w:val="nil"/>
            </w:tcBorders>
            <w:vAlign w:val="center"/>
          </w:tcPr>
          <w:p>
            <w:pPr>
              <w:jc w:val="center"/>
              <w:rPr>
                <w:rFonts w:hint="eastAsia" w:ascii="Times New Roman" w:hAnsi="Times New Roman" w:eastAsia="仿宋" w:cs="Times New Roman"/>
                <w:bCs/>
                <w:color w:val="000000" w:themeColor="text1"/>
                <w:szCs w:val="21"/>
                <w:lang w:eastAsia="zh-CN"/>
                <w14:textFill>
                  <w14:solidFill>
                    <w14:schemeClr w14:val="tx1"/>
                  </w14:solidFill>
                </w14:textFill>
              </w:rPr>
            </w:pPr>
            <w:r>
              <w:rPr>
                <w:rFonts w:ascii="Times New Roman" w:hAnsi="Times New Roman" w:eastAsia="仿宋" w:cs="Times New Roman"/>
                <w:color w:val="000000" w:themeColor="text1"/>
                <w:position w:val="-28"/>
                <w:szCs w:val="21"/>
                <w14:textFill>
                  <w14:solidFill>
                    <w14:schemeClr w14:val="tx1"/>
                  </w14:solidFill>
                </w14:textFill>
              </w:rPr>
              <w:object>
                <v:shape id="_x0000_i1028" o:spt="75" type="#_x0000_t75" style="height:33.65pt;width:114.5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rFonts w:hint="eastAsia" w:ascii="Times New Roman" w:hAnsi="Times New Roman" w:eastAsia="仿宋" w:cs="Times New Roman"/>
                <w:color w:val="000000" w:themeColor="text1"/>
                <w:position w:val="-28"/>
                <w:szCs w:val="21"/>
                <w:lang w:eastAsia="zh-CN"/>
                <w14:textFill>
                  <w14:solidFill>
                    <w14:schemeClr w14:val="tx1"/>
                  </w14:solidFill>
                </w14:textFill>
              </w:rPr>
              <w:t>，</w:t>
            </w:r>
          </w:p>
        </w:tc>
        <w:tc>
          <w:tcPr>
            <w:tcW w:w="1667" w:type="pct"/>
            <w:tcBorders>
              <w:top w:val="nil"/>
              <w:left w:val="nil"/>
              <w:bottom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（A</w:t>
            </w:r>
            <w:r>
              <w:rPr>
                <w:rFonts w:hint="eastAsia" w:ascii="Times New Roman" w:hAnsi="Times New Roman" w:eastAsia="仿宋" w:cs="Times New Roman"/>
                <w:bCs/>
                <w:color w:val="000000" w:themeColor="text1"/>
                <w:szCs w:val="21"/>
                <w:lang w:val="en-US" w:eastAsia="zh-CN"/>
                <w14:textFill>
                  <w14:solidFill>
                    <w14:schemeClr w14:val="tx1"/>
                  </w14:solidFill>
                </w14:textFill>
              </w:rPr>
              <w:t>.</w:t>
            </w:r>
            <w:r>
              <w:rPr>
                <w:rFonts w:ascii="Times New Roman" w:hAnsi="Times New Roman" w:eastAsia="仿宋" w:cs="Times New Roman"/>
                <w:bCs/>
                <w:color w:val="000000" w:themeColor="text1"/>
                <w:szCs w:val="21"/>
                <w14:textFill>
                  <w14:solidFill>
                    <w14:schemeClr w14:val="tx1"/>
                  </w14:solidFill>
                </w14:textFill>
              </w:rPr>
              <w:t>1）</w:t>
            </w:r>
          </w:p>
        </w:tc>
      </w:tr>
    </w:tbl>
    <w:p>
      <w:pPr>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其中，</w:t>
      </w:r>
      <w:r>
        <w:rPr>
          <w:rFonts w:ascii="Times New Roman" w:hAnsi="Times New Roman" w:eastAsia="仿宋" w:cs="Times New Roman"/>
          <w:color w:val="000000" w:themeColor="text1"/>
          <w:position w:val="-12"/>
          <w:szCs w:val="21"/>
          <w14:textFill>
            <w14:solidFill>
              <w14:schemeClr w14:val="tx1"/>
            </w14:solidFill>
          </w14:textFill>
        </w:rPr>
        <w:object>
          <v:shape id="_x0000_i1029" o:spt="75" type="#_x0000_t75" style="height:18.25pt;width:11.2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为外部投资者在</w:t>
      </w:r>
      <w:r>
        <w:rPr>
          <w:rFonts w:ascii="Times New Roman" w:hAnsi="Times New Roman" w:eastAsia="仿宋" w:cs="Times New Roman"/>
          <w:bCs/>
          <w:i/>
          <w:iCs/>
          <w:color w:val="000000" w:themeColor="text1"/>
          <w:szCs w:val="21"/>
          <w14:textFill>
            <w14:solidFill>
              <w14:schemeClr w14:val="tx1"/>
            </w14:solidFill>
          </w14:textFill>
        </w:rPr>
        <w:t>t</w:t>
      </w:r>
      <w:r>
        <w:rPr>
          <w:rFonts w:ascii="Times New Roman" w:hAnsi="Times New Roman" w:eastAsia="仿宋" w:cs="Times New Roman"/>
          <w:bCs/>
          <w:color w:val="000000" w:themeColor="text1"/>
          <w:szCs w:val="21"/>
          <w14:textFill>
            <w14:solidFill>
              <w14:schemeClr w14:val="tx1"/>
            </w14:solidFill>
          </w14:textFill>
        </w:rPr>
        <w:t>期得到的信息集，</w:t>
      </w:r>
      <w:r>
        <w:rPr>
          <w:rFonts w:ascii="Times New Roman" w:hAnsi="Times New Roman" w:eastAsia="仿宋" w:cs="Times New Roman"/>
          <w:bCs/>
          <w:i/>
          <w:iCs/>
          <w:color w:val="000000" w:themeColor="text1"/>
          <w:szCs w:val="21"/>
          <w14:textFill>
            <w14:solidFill>
              <w14:schemeClr w14:val="tx1"/>
            </w14:solidFill>
          </w14:textFill>
        </w:rPr>
        <w:t>r</w:t>
      </w:r>
      <w:r>
        <w:rPr>
          <w:rFonts w:ascii="Times New Roman" w:hAnsi="Times New Roman" w:eastAsia="仿宋" w:cs="Times New Roman"/>
          <w:bCs/>
          <w:color w:val="000000" w:themeColor="text1"/>
          <w:szCs w:val="21"/>
          <w14:textFill>
            <w14:solidFill>
              <w14:schemeClr w14:val="tx1"/>
            </w14:solidFill>
          </w14:textFill>
        </w:rPr>
        <w:t>为贴现率。结合对现金流的定义式（1）和</w:t>
      </w:r>
      <w:r>
        <w:rPr>
          <w:rFonts w:ascii="Times New Roman" w:hAnsi="Times New Roman" w:eastAsia="仿宋" w:cs="Times New Roman"/>
          <w:bCs/>
          <w:i/>
          <w:iCs/>
          <w:color w:val="000000" w:themeColor="text1"/>
          <w:szCs w:val="21"/>
          <w14:textFill>
            <w14:solidFill>
              <w14:schemeClr w14:val="tx1"/>
            </w14:solidFill>
          </w14:textFill>
        </w:rPr>
        <w:t>X</w:t>
      </w:r>
      <w:r>
        <w:rPr>
          <w:rFonts w:ascii="Times New Roman" w:hAnsi="Times New Roman" w:eastAsia="仿宋" w:cs="Times New Roman"/>
          <w:bCs/>
          <w:i/>
          <w:iCs/>
          <w:color w:val="000000" w:themeColor="text1"/>
          <w:szCs w:val="21"/>
          <w:vertAlign w:val="subscript"/>
          <w14:textFill>
            <w14:solidFill>
              <w14:schemeClr w14:val="tx1"/>
            </w14:solidFill>
          </w14:textFill>
        </w:rPr>
        <w:t>t</w:t>
      </w:r>
      <w:r>
        <w:rPr>
          <w:rFonts w:ascii="Times New Roman" w:hAnsi="Times New Roman" w:eastAsia="仿宋" w:cs="Times New Roman"/>
          <w:bCs/>
          <w:color w:val="000000" w:themeColor="text1"/>
          <w:szCs w:val="21"/>
          <w14:textFill>
            <w14:solidFill>
              <w14:schemeClr w14:val="tx1"/>
            </w14:solidFill>
          </w14:textFill>
        </w:rPr>
        <w:t>的AR（1）性质，可得外部投资者根据</w:t>
      </w:r>
      <w:r>
        <w:rPr>
          <w:rFonts w:ascii="Times New Roman" w:hAnsi="Times New Roman" w:eastAsia="仿宋" w:cs="Times New Roman"/>
          <w:color w:val="000000" w:themeColor="text1"/>
          <w:position w:val="-12"/>
          <w:szCs w:val="21"/>
          <w14:textFill>
            <w14:solidFill>
              <w14:schemeClr w14:val="tx1"/>
            </w14:solidFill>
          </w14:textFill>
        </w:rPr>
        <w:object>
          <v:shape id="_x0000_i1030" o:spt="75" type="#_x0000_t75" style="height:18.25pt;width:14.05pt;" o:ole="t" filled="f" o:preferrelative="t" stroked="f" coordsize="21600,21600">
            <v:path/>
            <v:fill on="f" focussize="0,0"/>
            <v:stroke on="f" joinstyle="miter"/>
            <v:imagedata r:id="rId7"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中的信息对</w:t>
      </w:r>
      <w:r>
        <w:rPr>
          <w:rFonts w:ascii="Times New Roman" w:hAnsi="Times New Roman" w:eastAsia="仿宋" w:cs="Times New Roman"/>
          <w:color w:val="000000" w:themeColor="text1"/>
          <w:position w:val="-12"/>
          <w:szCs w:val="21"/>
          <w14:textFill>
            <w14:solidFill>
              <w14:schemeClr w14:val="tx1"/>
            </w14:solidFill>
          </w14:textFill>
        </w:rPr>
        <w:object>
          <v:shape id="_x0000_i1031" o:spt="75" type="#_x0000_t75" style="height:18.25pt;width:14.95pt;" o:ole="t" filled="f" o:preferrelative="t" stroked="f" coordsize="21600,21600">
            <v:path/>
            <v:fill on="f" focussize="0,0"/>
            <v:stroke on="f" joinstyle="miter"/>
            <v:imagedata r:id="rId9" o:title=""/>
            <o:lock v:ext="edit" aspectratio="t"/>
            <w10:wrap type="none"/>
            <w10:anchorlock/>
          </v:shape>
          <o:OLEObject Type="Embed" ProgID="Equation.3" ShapeID="_x0000_i1031" DrawAspect="Content" ObjectID="_1468075731" r:id="rId16">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进行调整：</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4218"/>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pct"/>
            <w:tcBorders>
              <w:top w:val="nil"/>
              <w:left w:val="nil"/>
              <w:bottom w:val="nil"/>
              <w:right w:val="nil"/>
            </w:tcBorders>
          </w:tcPr>
          <w:p>
            <w:pPr>
              <w:rPr>
                <w:rFonts w:ascii="Times New Roman" w:hAnsi="Times New Roman" w:eastAsia="仿宋" w:cs="Times New Roman"/>
                <w:bCs/>
                <w:color w:val="000000" w:themeColor="text1"/>
                <w:szCs w:val="21"/>
                <w14:textFill>
                  <w14:solidFill>
                    <w14:schemeClr w14:val="tx1"/>
                  </w14:solidFill>
                </w14:textFill>
              </w:rPr>
            </w:pPr>
          </w:p>
        </w:tc>
        <w:tc>
          <w:tcPr>
            <w:tcW w:w="2122" w:type="pct"/>
            <w:tcBorders>
              <w:top w:val="nil"/>
              <w:left w:val="nil"/>
              <w:bottom w:val="nil"/>
              <w:right w:val="nil"/>
            </w:tcBorders>
          </w:tcPr>
          <w:p>
            <w:pPr>
              <w:jc w:val="center"/>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color w:val="000000" w:themeColor="text1"/>
                <w:position w:val="-30"/>
                <w:szCs w:val="21"/>
                <w14:textFill>
                  <w14:solidFill>
                    <w14:schemeClr w14:val="tx1"/>
                  </w14:solidFill>
                </w14:textFill>
              </w:rPr>
              <w:object>
                <v:shape id="_x0000_i1032" o:spt="75" type="#_x0000_t75" style="height:36.95pt;width:200.1pt;" o:ole="t" filled="f" o:preferrelative="t" stroked="f" coordsize="21600,21600">
                  <v:path/>
                  <v:fill on="f" focussize="0,0"/>
                  <v:stroke on="f" joinstyle="miter"/>
                  <v:imagedata r:id="rId18" o:title=""/>
                  <o:lock v:ext="edit" aspectratio="t"/>
                  <w10:wrap type="none"/>
                  <w10:anchorlock/>
                </v:shape>
                <o:OLEObject Type="Embed" ProgID="Equation.3" ShapeID="_x0000_i1032" DrawAspect="Content" ObjectID="_1468075732" r:id="rId17">
                  <o:LockedField>false</o:LockedField>
                </o:OLEObject>
              </w:object>
            </w:r>
          </w:p>
        </w:tc>
        <w:tc>
          <w:tcPr>
            <w:tcW w:w="1439" w:type="pct"/>
            <w:vMerge w:val="restart"/>
            <w:tcBorders>
              <w:top w:val="nil"/>
              <w:left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（A</w:t>
            </w:r>
            <w:r>
              <w:rPr>
                <w:rFonts w:hint="eastAsia" w:ascii="Times New Roman" w:hAnsi="Times New Roman" w:eastAsia="仿宋" w:cs="Times New Roman"/>
                <w:bCs/>
                <w:color w:val="000000" w:themeColor="text1"/>
                <w:szCs w:val="21"/>
                <w:lang w:val="en-US" w:eastAsia="zh-CN"/>
                <w14:textFill>
                  <w14:solidFill>
                    <w14:schemeClr w14:val="tx1"/>
                  </w14:solidFill>
                </w14:textFill>
              </w:rPr>
              <w:t>.</w:t>
            </w:r>
            <w:r>
              <w:rPr>
                <w:rFonts w:ascii="Times New Roman" w:hAnsi="Times New Roman" w:eastAsia="仿宋" w:cs="Times New Roman"/>
                <w:b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pct"/>
            <w:tcBorders>
              <w:top w:val="nil"/>
              <w:left w:val="nil"/>
              <w:bottom w:val="nil"/>
              <w:right w:val="nil"/>
            </w:tcBorders>
          </w:tcPr>
          <w:p>
            <w:pPr>
              <w:rPr>
                <w:rFonts w:ascii="Times New Roman" w:hAnsi="Times New Roman" w:eastAsia="仿宋" w:cs="Times New Roman"/>
                <w:bCs/>
                <w:color w:val="000000" w:themeColor="text1"/>
                <w:szCs w:val="21"/>
                <w14:textFill>
                  <w14:solidFill>
                    <w14:schemeClr w14:val="tx1"/>
                  </w14:solidFill>
                </w14:textFill>
              </w:rPr>
            </w:pPr>
          </w:p>
        </w:tc>
        <w:tc>
          <w:tcPr>
            <w:tcW w:w="2122" w:type="pct"/>
            <w:tcBorders>
              <w:top w:val="nil"/>
              <w:left w:val="nil"/>
              <w:bottom w:val="nil"/>
              <w:right w:val="nil"/>
            </w:tcBorders>
          </w:tcPr>
          <w:p>
            <w:pPr>
              <w:jc w:val="center"/>
              <w:rPr>
                <w:rFonts w:hint="eastAsia" w:ascii="Times New Roman" w:hAnsi="Times New Roman" w:eastAsia="仿宋" w:cs="Times New Roman"/>
                <w:color w:val="000000" w:themeColor="text1"/>
                <w:position w:val="-14"/>
                <w:szCs w:val="21"/>
                <w:lang w:val="en-US" w:eastAsia="zh-CN"/>
                <w14:textFill>
                  <w14:solidFill>
                    <w14:schemeClr w14:val="tx1"/>
                  </w14:solidFill>
                </w14:textFill>
              </w:rPr>
            </w:pPr>
            <w:r>
              <w:rPr>
                <w:rFonts w:ascii="Times New Roman" w:hAnsi="Times New Roman" w:eastAsia="仿宋" w:cs="Times New Roman"/>
                <w:color w:val="000000" w:themeColor="text1"/>
                <w:position w:val="-28"/>
                <w:szCs w:val="21"/>
                <w14:textFill>
                  <w14:solidFill>
                    <w14:schemeClr w14:val="tx1"/>
                  </w14:solidFill>
                </w14:textFill>
              </w:rPr>
              <w:object>
                <v:shape id="_x0000_i1033" o:spt="75" type="#_x0000_t75" style="height:34.6pt;width:173.45pt;" o:ole="t" filled="f" o:preferrelative="t" stroked="f" coordsize="21600,21600">
                  <v:path/>
                  <v:fill on="f" focussize="0,0"/>
                  <v:stroke on="f" joinstyle="miter"/>
                  <v:imagedata r:id="rId20" o:title=""/>
                  <o:lock v:ext="edit" aspectratio="t"/>
                  <w10:wrap type="none"/>
                  <w10:anchorlock/>
                </v:shape>
                <o:OLEObject Type="Embed" ProgID="Equation.3" ShapeID="_x0000_i1033" DrawAspect="Content" ObjectID="_1468075733" r:id="rId19">
                  <o:LockedField>false</o:LockedField>
                </o:OLEObject>
              </w:object>
            </w:r>
            <w:r>
              <w:rPr>
                <w:rFonts w:hint="eastAsia" w:ascii="Times New Roman" w:hAnsi="Times New Roman" w:eastAsia="仿宋" w:cs="Times New Roman"/>
                <w:color w:val="000000" w:themeColor="text1"/>
                <w:position w:val="-28"/>
                <w:szCs w:val="21"/>
                <w:lang w:val="en-US" w:eastAsia="zh-CN"/>
                <w14:textFill>
                  <w14:solidFill>
                    <w14:schemeClr w14:val="tx1"/>
                  </w14:solidFill>
                </w14:textFill>
              </w:rPr>
              <w:t>.</w:t>
            </w:r>
          </w:p>
        </w:tc>
        <w:tc>
          <w:tcPr>
            <w:tcW w:w="1439" w:type="pct"/>
            <w:vMerge w:val="continue"/>
            <w:tcBorders>
              <w:left w:val="nil"/>
              <w:bottom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p>
        </w:tc>
      </w:tr>
    </w:tbl>
    <w:p>
      <w:pPr>
        <w:ind w:firstLine="420"/>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由于外部投资者无法观察到</w:t>
      </w:r>
      <w:r>
        <w:rPr>
          <w:rFonts w:ascii="Times New Roman" w:hAnsi="Times New Roman" w:eastAsia="仿宋" w:cs="Times New Roman"/>
          <w:color w:val="000000" w:themeColor="text1"/>
          <w:position w:val="-14"/>
          <w:szCs w:val="21"/>
          <w14:textFill>
            <w14:solidFill>
              <w14:schemeClr w14:val="tx1"/>
            </w14:solidFill>
          </w14:textFill>
        </w:rPr>
        <w:object>
          <v:shape id="_x0000_i1034" o:spt="75" type="#_x0000_t75" style="height:19.65pt;width:18.25pt;" o:ole="t" filled="f" o:preferrelative="t" stroked="f" coordsize="21600,21600">
            <v:path/>
            <v:fill on="f" focussize="0,0"/>
            <v:stroke on="f" joinstyle="miter"/>
            <v:imagedata r:id="rId22" o:title=""/>
            <o:lock v:ext="edit" aspectratio="t"/>
            <w10:wrap type="none"/>
            <w10:anchorlock/>
          </v:shape>
          <o:OLEObject Type="Embed" ProgID="Equation.3" ShapeID="_x0000_i1034" DrawAspect="Content" ObjectID="_1468075734" r:id="rId21">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，因此将其简化为</w:t>
      </w:r>
      <w:r>
        <w:rPr>
          <w:rFonts w:ascii="Times New Roman" w:hAnsi="Times New Roman" w:eastAsia="仿宋" w:cs="Times New Roman"/>
          <w:color w:val="000000" w:themeColor="text1"/>
          <w:position w:val="-14"/>
          <w:szCs w:val="21"/>
          <w14:textFill>
            <w14:solidFill>
              <w14:schemeClr w14:val="tx1"/>
            </w14:solidFill>
          </w14:textFill>
        </w:rPr>
        <w:object>
          <v:shape id="_x0000_i1035" o:spt="75" type="#_x0000_t75" style="height:19.65pt;width:55.65pt;" o:ole="t" filled="f" o:preferrelative="t" stroked="f" coordsize="21600,21600">
            <v:path/>
            <v:fill on="f" focussize="0,0"/>
            <v:stroke on="f" joinstyle="miter"/>
            <v:imagedata r:id="rId24" o:title=""/>
            <o:lock v:ext="edit" aspectratio="t"/>
            <w10:wrap type="none"/>
            <w10:anchorlock/>
          </v:shape>
          <o:OLEObject Type="Embed" ProgID="Equation.3" ShapeID="_x0000_i1035" DrawAspect="Content" ObjectID="_1468075735" r:id="rId23">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。最终，外部投资者根据可观测的</w:t>
      </w:r>
      <w:r>
        <w:rPr>
          <w:rFonts w:ascii="Times New Roman" w:hAnsi="Times New Roman" w:eastAsia="仿宋" w:cs="Times New Roman"/>
          <w:color w:val="000000" w:themeColor="text1"/>
          <w:position w:val="-12"/>
          <w:szCs w:val="21"/>
          <w14:textFill>
            <w14:solidFill>
              <w14:schemeClr w14:val="tx1"/>
            </w14:solidFill>
          </w14:textFill>
        </w:rPr>
        <w:object>
          <v:shape id="_x0000_i1036" o:spt="75" type="#_x0000_t75" style="height:18.7pt;width:12.15pt;" o:ole="t" filled="f" o:preferrelative="t" stroked="f" coordsize="21600,21600">
            <v:path/>
            <v:fill on="f" focussize="0,0"/>
            <v:stroke on="f" joinstyle="miter"/>
            <v:imagedata r:id="rId26" o:title=""/>
            <o:lock v:ext="edit" aspectratio="t"/>
            <w10:wrap type="none"/>
            <w10:anchorlock/>
          </v:shape>
          <o:OLEObject Type="Embed" ProgID="Equation.3" ShapeID="_x0000_i1036" DrawAspect="Content" ObjectID="_1468075736" r:id="rId25">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和</w:t>
      </w:r>
      <w:r>
        <w:rPr>
          <w:rFonts w:ascii="Times New Roman" w:hAnsi="Times New Roman" w:eastAsia="仿宋" w:cs="Times New Roman"/>
          <w:color w:val="000000" w:themeColor="text1"/>
          <w:position w:val="-14"/>
          <w:szCs w:val="21"/>
          <w14:textFill>
            <w14:solidFill>
              <w14:schemeClr w14:val="tx1"/>
            </w14:solidFill>
          </w14:textFill>
        </w:rPr>
        <w:object>
          <v:shape id="_x0000_i1037" o:spt="75" type="#_x0000_t75" style="height:19.65pt;width:17.75pt;" o:ole="t" filled="f" o:preferrelative="t" stroked="f" coordsize="21600,21600">
            <v:path/>
            <v:fill on="f" focussize="0,0"/>
            <v:stroke on="f" joinstyle="miter"/>
            <v:imagedata r:id="rId28" o:title=""/>
            <o:lock v:ext="edit" aspectratio="t"/>
            <w10:wrap type="none"/>
            <w10:anchorlock/>
          </v:shape>
          <o:OLEObject Type="Embed" ProgID="Equation.3" ShapeID="_x0000_i1037" DrawAspect="Content" ObjectID="_1468075737" r:id="rId27">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对进行</w:t>
      </w:r>
      <w:r>
        <w:rPr>
          <w:rFonts w:ascii="Times New Roman" w:hAnsi="Times New Roman" w:eastAsia="仿宋" w:cs="Times New Roman"/>
          <w:color w:val="000000" w:themeColor="text1"/>
          <w:position w:val="-12"/>
          <w:szCs w:val="21"/>
          <w14:textFill>
            <w14:solidFill>
              <w14:schemeClr w14:val="tx1"/>
            </w14:solidFill>
          </w14:textFill>
        </w:rPr>
        <w:object>
          <v:shape id="_x0000_i1038" o:spt="75" type="#_x0000_t75" style="height:18.25pt;width:14.9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29">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调整得：</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524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pct"/>
            <w:tcBorders>
              <w:top w:val="nil"/>
              <w:left w:val="nil"/>
              <w:bottom w:val="nil"/>
              <w:right w:val="nil"/>
            </w:tcBorders>
          </w:tcPr>
          <w:p>
            <w:pPr>
              <w:rPr>
                <w:rFonts w:ascii="Times New Roman" w:hAnsi="Times New Roman" w:eastAsia="仿宋" w:cs="Times New Roman"/>
                <w:bCs/>
                <w:color w:val="000000" w:themeColor="text1"/>
                <w:szCs w:val="21"/>
                <w14:textFill>
                  <w14:solidFill>
                    <w14:schemeClr w14:val="tx1"/>
                  </w14:solidFill>
                </w14:textFill>
              </w:rPr>
            </w:pPr>
          </w:p>
        </w:tc>
        <w:tc>
          <w:tcPr>
            <w:tcW w:w="3079" w:type="pct"/>
            <w:tcBorders>
              <w:top w:val="nil"/>
              <w:left w:val="nil"/>
              <w:bottom w:val="nil"/>
              <w:right w:val="nil"/>
            </w:tcBorders>
          </w:tcPr>
          <w:p>
            <w:pPr>
              <w:jc w:val="center"/>
              <w:rPr>
                <w:rFonts w:ascii="Times New Roman" w:hAnsi="Times New Roman" w:eastAsia="仿宋" w:cs="Times New Roman"/>
                <w:color w:val="000000" w:themeColor="text1"/>
                <w:position w:val="-14"/>
                <w:szCs w:val="21"/>
                <w14:textFill>
                  <w14:solidFill>
                    <w14:schemeClr w14:val="tx1"/>
                  </w14:solidFill>
                </w14:textFill>
              </w:rPr>
            </w:pPr>
            <w:r>
              <w:rPr>
                <w:rFonts w:ascii="Times New Roman" w:hAnsi="Times New Roman" w:eastAsia="仿宋" w:cs="Times New Roman"/>
                <w:color w:val="000000" w:themeColor="text1"/>
                <w:position w:val="-14"/>
                <w:szCs w:val="21"/>
                <w14:textFill>
                  <w14:solidFill>
                    <w14:schemeClr w14:val="tx1"/>
                  </w14:solidFill>
                </w14:textFill>
              </w:rPr>
              <w:object>
                <v:shape id="_x0000_i1039" o:spt="75" type="#_x0000_t75" style="height:19.65pt;width:174.85pt;" o:ole="t" filled="f" o:preferrelative="t" stroked="f" coordsize="21600,21600">
                  <v:path/>
                  <v:fill on="f" focussize="0,0"/>
                  <v:stroke on="f" joinstyle="miter"/>
                  <v:imagedata r:id="rId31" o:title=""/>
                  <o:lock v:ext="edit" aspectratio="t"/>
                  <w10:wrap type="none"/>
                  <w10:anchorlock/>
                </v:shape>
                <o:OLEObject Type="Embed" ProgID="Equation.3" ShapeID="_x0000_i1039" DrawAspect="Content" ObjectID="_1468075739" r:id="rId30">
                  <o:LockedField>false</o:LockedField>
                </o:OLEObject>
              </w:object>
            </w:r>
          </w:p>
        </w:tc>
        <w:tc>
          <w:tcPr>
            <w:tcW w:w="999" w:type="pct"/>
            <w:vMerge w:val="restart"/>
            <w:tcBorders>
              <w:top w:val="nil"/>
              <w:left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pct"/>
            <w:tcBorders>
              <w:top w:val="nil"/>
              <w:left w:val="nil"/>
              <w:bottom w:val="nil"/>
              <w:right w:val="nil"/>
            </w:tcBorders>
          </w:tcPr>
          <w:p>
            <w:pPr>
              <w:rPr>
                <w:rFonts w:ascii="Times New Roman" w:hAnsi="Times New Roman" w:eastAsia="仿宋" w:cs="Times New Roman"/>
                <w:bCs/>
                <w:color w:val="000000" w:themeColor="text1"/>
                <w:szCs w:val="21"/>
                <w14:textFill>
                  <w14:solidFill>
                    <w14:schemeClr w14:val="tx1"/>
                  </w14:solidFill>
                </w14:textFill>
              </w:rPr>
            </w:pPr>
          </w:p>
        </w:tc>
        <w:tc>
          <w:tcPr>
            <w:tcW w:w="3079" w:type="pct"/>
            <w:tcBorders>
              <w:top w:val="nil"/>
              <w:left w:val="nil"/>
              <w:bottom w:val="nil"/>
              <w:right w:val="nil"/>
            </w:tcBorders>
          </w:tcPr>
          <w:p>
            <w:pPr>
              <w:jc w:val="center"/>
              <w:rPr>
                <w:rFonts w:hint="eastAsia" w:ascii="Times New Roman" w:hAnsi="Times New Roman" w:eastAsia="仿宋" w:cs="Times New Roman"/>
                <w:color w:val="000000" w:themeColor="text1"/>
                <w:position w:val="-14"/>
                <w:szCs w:val="21"/>
                <w:lang w:val="en-US" w:eastAsia="zh-CN"/>
                <w14:textFill>
                  <w14:solidFill>
                    <w14:schemeClr w14:val="tx1"/>
                  </w14:solidFill>
                </w14:textFill>
              </w:rPr>
            </w:pPr>
            <w:r>
              <w:rPr>
                <w:rFonts w:ascii="Times New Roman" w:hAnsi="Times New Roman" w:eastAsia="仿宋" w:cs="Times New Roman"/>
                <w:color w:val="000000" w:themeColor="text1"/>
                <w:position w:val="-28"/>
                <w:szCs w:val="21"/>
                <w14:textFill>
                  <w14:solidFill>
                    <w14:schemeClr w14:val="tx1"/>
                  </w14:solidFill>
                </w14:textFill>
              </w:rPr>
              <w:object>
                <v:shape id="_x0000_i1040" o:spt="75" type="#_x0000_t75" style="height:33.65pt;width:247.8pt;" o:ole="t" filled="f" o:preferrelative="t" stroked="f" coordsize="21600,21600">
                  <v:path/>
                  <v:fill on="f" focussize="0,0"/>
                  <v:stroke on="f" joinstyle="miter"/>
                  <v:imagedata r:id="rId33" o:title=""/>
                  <o:lock v:ext="edit" aspectratio="t"/>
                  <w10:wrap type="none"/>
                  <w10:anchorlock/>
                </v:shape>
                <o:OLEObject Type="Embed" ProgID="Equation.3" ShapeID="_x0000_i1040" DrawAspect="Content" ObjectID="_1468075740" r:id="rId32">
                  <o:LockedField>false</o:LockedField>
                </o:OLEObject>
              </w:object>
            </w:r>
            <w:r>
              <w:rPr>
                <w:rFonts w:hint="eastAsia" w:ascii="Times New Roman" w:hAnsi="Times New Roman" w:eastAsia="仿宋" w:cs="Times New Roman"/>
                <w:color w:val="000000" w:themeColor="text1"/>
                <w:position w:val="-28"/>
                <w:szCs w:val="21"/>
                <w:lang w:val="en-US" w:eastAsia="zh-CN"/>
                <w14:textFill>
                  <w14:solidFill>
                    <w14:schemeClr w14:val="tx1"/>
                  </w14:solidFill>
                </w14:textFill>
              </w:rPr>
              <w:t>.</w:t>
            </w:r>
          </w:p>
        </w:tc>
        <w:tc>
          <w:tcPr>
            <w:tcW w:w="999" w:type="pct"/>
            <w:vMerge w:val="continue"/>
            <w:tcBorders>
              <w:left w:val="nil"/>
              <w:bottom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p>
        </w:tc>
      </w:tr>
    </w:tbl>
    <w:p>
      <w:pPr>
        <w:rPr>
          <w:rFonts w:hint="eastAsia" w:ascii="仿宋" w:hAnsi="仿宋" w:eastAsia="仿宋" w:cs="仿宋"/>
          <w:b/>
          <w:bCs w:val="0"/>
          <w:color w:val="000000" w:themeColor="text1"/>
          <w:szCs w:val="21"/>
          <w:lang w:eastAsia="zh-CN"/>
          <w14:textFill>
            <w14:solidFill>
              <w14:schemeClr w14:val="tx1"/>
            </w14:solidFill>
          </w14:textFill>
        </w:rPr>
      </w:pPr>
    </w:p>
    <w:p>
      <w:pPr>
        <w:rPr>
          <w:rFonts w:hint="eastAsia" w:ascii="仿宋" w:hAnsi="仿宋" w:eastAsia="仿宋" w:cs="仿宋"/>
          <w:b/>
          <w:bCs w:val="0"/>
          <w:color w:val="000000" w:themeColor="text1"/>
          <w:szCs w:val="21"/>
          <w:lang w:eastAsia="zh-CN"/>
          <w14:textFill>
            <w14:solidFill>
              <w14:schemeClr w14:val="tx1"/>
            </w14:solidFill>
          </w14:textFill>
        </w:rPr>
      </w:pPr>
    </w:p>
    <w:p>
      <w:pPr>
        <w:rPr>
          <w:rFonts w:hint="eastAsia" w:ascii="仿宋" w:hAnsi="仿宋" w:eastAsia="仿宋" w:cs="仿宋"/>
          <w:b/>
          <w:bCs w:val="0"/>
          <w:color w:val="000000" w:themeColor="text1"/>
          <w:szCs w:val="21"/>
          <w14:textFill>
            <w14:solidFill>
              <w14:schemeClr w14:val="tx1"/>
            </w14:solidFill>
          </w14:textFill>
        </w:rPr>
      </w:pPr>
      <w:r>
        <w:rPr>
          <w:rFonts w:hint="eastAsia" w:ascii="仿宋" w:hAnsi="仿宋" w:eastAsia="仿宋" w:cs="仿宋"/>
          <w:b/>
          <w:bCs w:val="0"/>
          <w:color w:val="000000" w:themeColor="text1"/>
          <w:szCs w:val="21"/>
          <w:lang w:eastAsia="zh-CN"/>
          <w14:textFill>
            <w14:solidFill>
              <w14:schemeClr w14:val="tx1"/>
            </w14:solidFill>
          </w14:textFill>
        </w:rPr>
        <w:t>（</w:t>
      </w:r>
      <w:r>
        <w:rPr>
          <w:rFonts w:hint="eastAsia" w:ascii="仿宋" w:hAnsi="仿宋" w:eastAsia="仿宋" w:cs="仿宋"/>
          <w:b/>
          <w:bCs w:val="0"/>
          <w:color w:val="000000" w:themeColor="text1"/>
          <w:szCs w:val="21"/>
          <w:lang w:val="en-US" w:eastAsia="zh-CN"/>
          <w14:textFill>
            <w14:solidFill>
              <w14:schemeClr w14:val="tx1"/>
            </w14:solidFill>
          </w14:textFill>
        </w:rPr>
        <w:t>二</w:t>
      </w:r>
      <w:r>
        <w:rPr>
          <w:rFonts w:hint="eastAsia" w:ascii="仿宋" w:hAnsi="仿宋" w:eastAsia="仿宋" w:cs="仿宋"/>
          <w:b/>
          <w:bCs w:val="0"/>
          <w:color w:val="000000" w:themeColor="text1"/>
          <w:szCs w:val="21"/>
          <w:lang w:eastAsia="zh-CN"/>
          <w14:textFill>
            <w14:solidFill>
              <w14:schemeClr w14:val="tx1"/>
            </w14:solidFill>
          </w14:textFill>
        </w:rPr>
        <w:t>）</w:t>
      </w:r>
      <w:r>
        <w:rPr>
          <w:rFonts w:hint="eastAsia" w:ascii="仿宋" w:hAnsi="仿宋" w:eastAsia="仿宋" w:cs="仿宋"/>
          <w:b/>
          <w:bCs w:val="0"/>
          <w:color w:val="000000" w:themeColor="text1"/>
          <w:szCs w:val="21"/>
          <w14:textFill>
            <w14:solidFill>
              <w14:schemeClr w14:val="tx1"/>
            </w14:solidFill>
          </w14:textFill>
        </w:rPr>
        <w:t>式（7）证明</w:t>
      </w:r>
    </w:p>
    <w:p>
      <w:pPr>
        <w:ind w:firstLine="420"/>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根据式（7）和对</w:t>
      </w:r>
      <w:r>
        <w:rPr>
          <w:rFonts w:ascii="Times New Roman" w:hAnsi="Times New Roman" w:eastAsia="仿宋" w:cs="Times New Roman"/>
          <w:color w:val="000000" w:themeColor="text1"/>
          <w:position w:val="-12"/>
          <w:szCs w:val="21"/>
          <w14:textFill>
            <w14:solidFill>
              <w14:schemeClr w14:val="tx1"/>
            </w14:solidFill>
          </w14:textFill>
        </w:rPr>
        <w:object>
          <v:shape id="_x0000_i1041" o:spt="75" type="#_x0000_t75" style="height:19.65pt;width:18.25pt;" o:ole="t" filled="f" o:preferrelative="t" stroked="f" coordsize="21600,21600">
            <v:path/>
            <v:fill on="f" focussize="0,0"/>
            <v:stroke on="f" joinstyle="miter"/>
            <v:imagedata r:id="rId35" o:title=""/>
            <o:lock v:ext="edit" aspectratio="t"/>
            <w10:wrap type="none"/>
            <w10:anchorlock/>
          </v:shape>
          <o:OLEObject Type="Embed" ProgID="Equation.3" ShapeID="_x0000_i1041" DrawAspect="Content" ObjectID="_1468075741" r:id="rId34">
            <o:LockedField>false</o:LockedField>
          </o:OLEObject>
        </w:object>
      </w:r>
      <w:r>
        <w:rPr>
          <w:rFonts w:ascii="Times New Roman" w:hAnsi="Times New Roman" w:eastAsia="仿宋" w:cs="Times New Roman"/>
          <w:bCs/>
          <w:color w:val="000000" w:themeColor="text1"/>
          <w:szCs w:val="21"/>
          <w14:textFill>
            <w14:solidFill>
              <w14:schemeClr w14:val="tx1"/>
            </w14:solidFill>
          </w14:textFill>
        </w:rPr>
        <w:t>的定义式（5）：</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539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tcBorders>
              <w:top w:val="nil"/>
              <w:left w:val="nil"/>
              <w:bottom w:val="nil"/>
              <w:right w:val="nil"/>
            </w:tcBorders>
          </w:tcPr>
          <w:p>
            <w:pPr>
              <w:rPr>
                <w:rFonts w:ascii="Times New Roman" w:hAnsi="Times New Roman" w:eastAsia="仿宋" w:cs="Times New Roman"/>
                <w:bCs/>
                <w:color w:val="000000" w:themeColor="text1"/>
                <w:szCs w:val="21"/>
                <w14:textFill>
                  <w14:solidFill>
                    <w14:schemeClr w14:val="tx1"/>
                  </w14:solidFill>
                </w14:textFill>
              </w:rPr>
            </w:pPr>
          </w:p>
        </w:tc>
        <w:tc>
          <w:tcPr>
            <w:tcW w:w="3162" w:type="pct"/>
            <w:tcBorders>
              <w:top w:val="nil"/>
              <w:left w:val="nil"/>
              <w:bottom w:val="nil"/>
              <w:right w:val="nil"/>
            </w:tcBorders>
          </w:tcPr>
          <w:p>
            <w:pPr>
              <w:rPr>
                <w:rFonts w:hint="eastAsia" w:ascii="Times New Roman" w:hAnsi="Times New Roman" w:eastAsia="仿宋" w:cs="Times New Roman"/>
                <w:bCs/>
                <w:color w:val="000000" w:themeColor="text1"/>
                <w:szCs w:val="21"/>
                <w:lang w:val="en-US" w:eastAsia="zh-CN"/>
                <w14:textFill>
                  <w14:solidFill>
                    <w14:schemeClr w14:val="tx1"/>
                  </w14:solidFill>
                </w14:textFill>
              </w:rPr>
            </w:pPr>
            <w:r>
              <w:rPr>
                <w:rFonts w:ascii="Times New Roman" w:hAnsi="Times New Roman" w:eastAsia="仿宋" w:cs="Times New Roman"/>
                <w:color w:val="000000" w:themeColor="text1"/>
                <w:position w:val="-32"/>
                <w:szCs w:val="21"/>
                <w14:textFill>
                  <w14:solidFill>
                    <w14:schemeClr w14:val="tx1"/>
                  </w14:solidFill>
                </w14:textFill>
              </w:rPr>
              <w:object>
                <v:shape id="_x0000_i1042" o:spt="75" type="#_x0000_t75" style="height:38.35pt;width:253.4pt;" o:ole="t" filled="f" o:preferrelative="t" stroked="f" coordsize="21600,21600">
                  <v:path/>
                  <v:fill on="f" focussize="0,0"/>
                  <v:stroke on="f" joinstyle="miter"/>
                  <v:imagedata r:id="rId37" o:title=""/>
                  <o:lock v:ext="edit" aspectratio="t"/>
                  <w10:wrap type="none"/>
                  <w10:anchorlock/>
                </v:shape>
                <o:OLEObject Type="Embed" ProgID="Equation.3" ShapeID="_x0000_i1042" DrawAspect="Content" ObjectID="_1468075742" r:id="rId36">
                  <o:LockedField>false</o:LockedField>
                </o:OLEObject>
              </w:object>
            </w:r>
            <w:r>
              <w:rPr>
                <w:rFonts w:hint="eastAsia" w:ascii="Times New Roman" w:hAnsi="Times New Roman" w:eastAsia="仿宋" w:cs="Times New Roman"/>
                <w:color w:val="000000" w:themeColor="text1"/>
                <w:position w:val="-32"/>
                <w:szCs w:val="21"/>
                <w:lang w:val="en-US" w:eastAsia="zh-CN"/>
                <w14:textFill>
                  <w14:solidFill>
                    <w14:schemeClr w14:val="tx1"/>
                  </w14:solidFill>
                </w14:textFill>
              </w:rPr>
              <w:t>.</w:t>
            </w:r>
          </w:p>
        </w:tc>
        <w:tc>
          <w:tcPr>
            <w:tcW w:w="919" w:type="pct"/>
            <w:tcBorders>
              <w:top w:val="nil"/>
              <w:left w:val="nil"/>
              <w:bottom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（A.4）</w:t>
            </w:r>
          </w:p>
        </w:tc>
      </w:tr>
    </w:tbl>
    <w:p>
      <w:pPr>
        <w:ind w:firstLine="420"/>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根据式子（A.3）：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6428"/>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Borders>
              <w:top w:val="nil"/>
              <w:left w:val="nil"/>
              <w:bottom w:val="nil"/>
              <w:right w:val="nil"/>
            </w:tcBorders>
          </w:tcPr>
          <w:p>
            <w:pPr>
              <w:rPr>
                <w:rFonts w:ascii="Times New Roman" w:hAnsi="Times New Roman" w:eastAsia="仿宋" w:cs="Times New Roman"/>
                <w:bCs/>
                <w:color w:val="000000" w:themeColor="text1"/>
                <w:szCs w:val="21"/>
                <w14:textFill>
                  <w14:solidFill>
                    <w14:schemeClr w14:val="tx1"/>
                  </w14:solidFill>
                </w14:textFill>
              </w:rPr>
            </w:pPr>
          </w:p>
        </w:tc>
        <w:tc>
          <w:tcPr>
            <w:tcW w:w="6428" w:type="dxa"/>
            <w:tcBorders>
              <w:top w:val="nil"/>
              <w:left w:val="nil"/>
              <w:bottom w:val="nil"/>
              <w:right w:val="nil"/>
            </w:tcBorders>
          </w:tcPr>
          <w:p>
            <w:pPr>
              <w:rPr>
                <w:rFonts w:hint="eastAsia" w:ascii="Times New Roman" w:hAnsi="Times New Roman" w:eastAsia="仿宋" w:cs="Times New Roman"/>
                <w:bCs/>
                <w:color w:val="000000" w:themeColor="text1"/>
                <w:szCs w:val="21"/>
                <w:lang w:val="en-US" w:eastAsia="zh-CN"/>
                <w14:textFill>
                  <w14:solidFill>
                    <w14:schemeClr w14:val="tx1"/>
                  </w14:solidFill>
                </w14:textFill>
              </w:rPr>
            </w:pPr>
            <w:r>
              <w:rPr>
                <w:rFonts w:ascii="Times New Roman" w:hAnsi="Times New Roman" w:eastAsia="仿宋" w:cs="Times New Roman"/>
                <w:color w:val="000000" w:themeColor="text1"/>
                <w:position w:val="-58"/>
                <w:szCs w:val="21"/>
                <w14:textFill>
                  <w14:solidFill>
                    <w14:schemeClr w14:val="tx1"/>
                  </w14:solidFill>
                </w14:textFill>
              </w:rPr>
              <w:object>
                <v:shape id="_x0000_i1043" o:spt="75" type="#_x0000_t75" style="height:65.45pt;width:299.2pt;" o:ole="t" filled="f" o:preferrelative="t" stroked="f" coordsize="21600,21600">
                  <v:path/>
                  <v:fill on="f" focussize="0,0"/>
                  <v:stroke on="f" joinstyle="miter"/>
                  <v:imagedata r:id="rId39" o:title=""/>
                  <o:lock v:ext="edit" aspectratio="t"/>
                  <w10:wrap type="none"/>
                  <w10:anchorlock/>
                </v:shape>
                <o:OLEObject Type="Embed" ProgID="Equation.3" ShapeID="_x0000_i1043" DrawAspect="Content" ObjectID="_1468075743" r:id="rId38">
                  <o:LockedField>false</o:LockedField>
                </o:OLEObject>
              </w:object>
            </w:r>
            <w:r>
              <w:rPr>
                <w:rFonts w:hint="eastAsia" w:ascii="Times New Roman" w:hAnsi="Times New Roman" w:eastAsia="仿宋" w:cs="Times New Roman"/>
                <w:color w:val="000000" w:themeColor="text1"/>
                <w:position w:val="-58"/>
                <w:szCs w:val="21"/>
                <w:lang w:val="en-US" w:eastAsia="zh-CN"/>
                <w14:textFill>
                  <w14:solidFill>
                    <w14:schemeClr w14:val="tx1"/>
                  </w14:solidFill>
                </w14:textFill>
              </w:rPr>
              <w:t>.</w:t>
            </w:r>
          </w:p>
        </w:tc>
        <w:tc>
          <w:tcPr>
            <w:tcW w:w="1203" w:type="dxa"/>
            <w:tcBorders>
              <w:top w:val="nil"/>
              <w:left w:val="nil"/>
              <w:bottom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（A.5）</w:t>
            </w:r>
          </w:p>
        </w:tc>
      </w:tr>
    </w:tbl>
    <w:p>
      <w:pPr>
        <w:ind w:firstLine="420"/>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根据式子（2）、（3）、（4）并化简可得式（7）：</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3820"/>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pct"/>
            <w:tcBorders>
              <w:top w:val="nil"/>
              <w:left w:val="nil"/>
              <w:bottom w:val="nil"/>
              <w:right w:val="nil"/>
            </w:tcBorders>
          </w:tcPr>
          <w:p>
            <w:pPr>
              <w:rPr>
                <w:rFonts w:ascii="Times New Roman" w:hAnsi="Times New Roman" w:eastAsia="仿宋" w:cs="Times New Roman"/>
                <w:bCs/>
                <w:color w:val="000000" w:themeColor="text1"/>
                <w:szCs w:val="21"/>
                <w14:textFill>
                  <w14:solidFill>
                    <w14:schemeClr w14:val="tx1"/>
                  </w14:solidFill>
                </w14:textFill>
              </w:rPr>
            </w:pPr>
          </w:p>
        </w:tc>
        <w:tc>
          <w:tcPr>
            <w:tcW w:w="2241" w:type="pct"/>
            <w:tcBorders>
              <w:top w:val="nil"/>
              <w:left w:val="nil"/>
              <w:bottom w:val="nil"/>
              <w:right w:val="nil"/>
            </w:tcBorders>
          </w:tcPr>
          <w:p>
            <w:pPr>
              <w:rPr>
                <w:rFonts w:hint="eastAsia" w:ascii="Times New Roman" w:hAnsi="Times New Roman" w:eastAsia="仿宋" w:cs="Times New Roman"/>
                <w:bCs/>
                <w:color w:val="000000" w:themeColor="text1"/>
                <w:szCs w:val="21"/>
                <w:lang w:val="en-US" w:eastAsia="zh-CN"/>
                <w14:textFill>
                  <w14:solidFill>
                    <w14:schemeClr w14:val="tx1"/>
                  </w14:solidFill>
                </w14:textFill>
              </w:rPr>
            </w:pPr>
            <w:r>
              <w:rPr>
                <w:rFonts w:ascii="Times New Roman" w:hAnsi="Times New Roman" w:eastAsia="仿宋" w:cs="Times New Roman"/>
                <w:color w:val="000000" w:themeColor="text1"/>
                <w:position w:val="-32"/>
                <w:szCs w:val="21"/>
                <w14:textFill>
                  <w14:solidFill>
                    <w14:schemeClr w14:val="tx1"/>
                  </w14:solidFill>
                </w14:textFill>
              </w:rPr>
              <w:object>
                <v:shape id="_x0000_i1044" o:spt="75" type="#_x0000_t75" style="height:37.4pt;width:174.85pt;" o:ole="t" filled="f" o:preferrelative="t" stroked="f" coordsize="21600,21600">
                  <v:path/>
                  <v:fill on="f" focussize="0,0"/>
                  <v:stroke on="f" joinstyle="miter"/>
                  <v:imagedata r:id="rId41" o:title=""/>
                  <o:lock v:ext="edit" aspectratio="t"/>
                  <w10:wrap type="none"/>
                  <w10:anchorlock/>
                </v:shape>
                <o:OLEObject Type="Embed" ProgID="Equation.3" ShapeID="_x0000_i1044" DrawAspect="Content" ObjectID="_1468075744" r:id="rId40">
                  <o:LockedField>false</o:LockedField>
                </o:OLEObject>
              </w:object>
            </w:r>
            <w:r>
              <w:rPr>
                <w:rFonts w:hint="eastAsia" w:ascii="Times New Roman" w:hAnsi="Times New Roman" w:eastAsia="仿宋" w:cs="Times New Roman"/>
                <w:color w:val="000000" w:themeColor="text1"/>
                <w:position w:val="-32"/>
                <w:szCs w:val="21"/>
                <w:lang w:val="en-US" w:eastAsia="zh-CN"/>
                <w14:textFill>
                  <w14:solidFill>
                    <w14:schemeClr w14:val="tx1"/>
                  </w14:solidFill>
                </w14:textFill>
              </w:rPr>
              <w:t>.</w:t>
            </w:r>
          </w:p>
        </w:tc>
        <w:tc>
          <w:tcPr>
            <w:tcW w:w="1348" w:type="pct"/>
            <w:tcBorders>
              <w:top w:val="nil"/>
              <w:left w:val="nil"/>
              <w:bottom w:val="nil"/>
              <w:right w:val="nil"/>
            </w:tcBorders>
            <w:vAlign w:val="center"/>
          </w:tcPr>
          <w:p>
            <w:pPr>
              <w:jc w:val="right"/>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（A.6）</w:t>
            </w:r>
          </w:p>
        </w:tc>
      </w:tr>
    </w:tbl>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Fonts w:hint="eastAsia" w:ascii="仿宋" w:hAnsi="仿宋" w:eastAsia="仿宋" w:cs="仿宋"/>
          <w:bCs/>
          <w:i w:val="0"/>
          <w:iCs w:val="0"/>
          <w:sz w:val="22"/>
          <w:szCs w:val="22"/>
          <w:lang w:val="zh-CN"/>
        </w:rPr>
      </w:pPr>
    </w:p>
    <w:p>
      <w:pPr>
        <w:jc w:val="center"/>
        <w:rPr>
          <w:rStyle w:val="10"/>
          <w:rFonts w:hint="eastAsia" w:ascii="楷体" w:hAnsi="楷体" w:eastAsia="楷体" w:cs="楷体"/>
          <w:sz w:val="28"/>
          <w:szCs w:val="28"/>
          <w:lang w:val="en-US" w:eastAsia="zh-CN"/>
        </w:rPr>
      </w:pPr>
      <w:r>
        <w:rPr>
          <w:rFonts w:hint="eastAsia" w:ascii="楷体" w:hAnsi="楷体" w:eastAsia="楷体" w:cs="楷体"/>
          <w:bCs/>
          <w:i w:val="0"/>
          <w:iCs w:val="0"/>
          <w:sz w:val="28"/>
          <w:szCs w:val="28"/>
          <w:lang w:val="zh-CN"/>
        </w:rPr>
        <w:t>附录Ⅱ</w:t>
      </w:r>
      <w:r>
        <w:rPr>
          <w:rFonts w:hint="eastAsia" w:ascii="楷体" w:hAnsi="楷体" w:eastAsia="楷体" w:cs="楷体"/>
          <w:sz w:val="28"/>
          <w:szCs w:val="28"/>
          <w:lang w:val="en-US" w:eastAsia="zh-CN"/>
        </w:rPr>
        <w:t xml:space="preserve"> 附表及附图</w:t>
      </w:r>
    </w:p>
    <w:p>
      <w:pPr>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表</w:t>
      </w:r>
      <w:r>
        <w:rPr>
          <w:rFonts w:hint="eastAsia" w:ascii="宋体" w:hAnsi="宋体" w:eastAsia="宋体" w:cs="宋体"/>
          <w:b/>
          <w:bCs w:val="0"/>
          <w:color w:val="000000" w:themeColor="text1"/>
          <w:sz w:val="20"/>
          <w:szCs w:val="20"/>
          <w:lang w:val="en-US" w:eastAsia="zh-CN"/>
          <w14:textFill>
            <w14:solidFill>
              <w14:schemeClr w14:val="tx1"/>
            </w14:solidFill>
          </w14:textFill>
        </w:rPr>
        <w:t>A1</w:t>
      </w:r>
      <w:r>
        <w:rPr>
          <w:rFonts w:hint="eastAsia" w:ascii="宋体" w:hAnsi="宋体" w:eastAsia="宋体" w:cs="宋体"/>
          <w:b/>
          <w:bCs w:val="0"/>
          <w:color w:val="000000" w:themeColor="text1"/>
          <w:sz w:val="20"/>
          <w:szCs w:val="20"/>
          <w14:textFill>
            <w14:solidFill>
              <w14:schemeClr w14:val="tx1"/>
            </w14:solidFill>
          </w14:textFill>
        </w:rPr>
        <w:t xml:space="preserve"> </w:t>
      </w:r>
      <w:r>
        <w:rPr>
          <w:rFonts w:hint="eastAsia" w:ascii="宋体" w:hAnsi="宋体" w:eastAsia="宋体" w:cs="宋体"/>
          <w:b/>
          <w:bCs w:val="0"/>
          <w:color w:val="000000" w:themeColor="text1"/>
          <w:sz w:val="20"/>
          <w:szCs w:val="20"/>
          <w:lang w:val="en-US" w:eastAsia="zh-CN"/>
          <w14:textFill>
            <w14:solidFill>
              <w14:schemeClr w14:val="tx1"/>
            </w14:solidFill>
          </w14:textFill>
        </w:rPr>
        <w:t xml:space="preserve"> </w:t>
      </w:r>
      <w:r>
        <w:rPr>
          <w:rFonts w:hint="eastAsia" w:ascii="宋体" w:hAnsi="宋体" w:eastAsia="宋体" w:cs="宋体"/>
          <w:b/>
          <w:bCs w:val="0"/>
          <w:color w:val="000000" w:themeColor="text1"/>
          <w:sz w:val="20"/>
          <w:szCs w:val="20"/>
          <w14:textFill>
            <w14:solidFill>
              <w14:schemeClr w14:val="tx1"/>
            </w14:solidFill>
          </w14:textFill>
        </w:rPr>
        <w:t>2003</w:t>
      </w:r>
      <w:r>
        <w:rPr>
          <w:rFonts w:hint="eastAsia" w:ascii="宋体" w:hAnsi="宋体" w:eastAsia="宋体" w:cs="宋体"/>
          <w:b/>
          <w:bCs w:val="0"/>
          <w:color w:val="000000" w:themeColor="text1"/>
          <w:sz w:val="20"/>
          <w:szCs w:val="20"/>
          <w:lang w:eastAsia="zh-CN"/>
          <w14:textFill>
            <w14:solidFill>
              <w14:schemeClr w14:val="tx1"/>
            </w14:solidFill>
          </w14:textFill>
        </w:rPr>
        <w:t>—</w:t>
      </w:r>
      <w:r>
        <w:rPr>
          <w:rFonts w:hint="eastAsia" w:ascii="宋体" w:hAnsi="宋体" w:eastAsia="宋体" w:cs="宋体"/>
          <w:b/>
          <w:bCs w:val="0"/>
          <w:color w:val="000000" w:themeColor="text1"/>
          <w:sz w:val="20"/>
          <w:szCs w:val="20"/>
          <w14:textFill>
            <w14:solidFill>
              <w14:schemeClr w14:val="tx1"/>
            </w14:solidFill>
          </w14:textFill>
        </w:rPr>
        <w:t>2015年的赫希曼-赫芬达尔指数的描述性统计</w:t>
      </w:r>
    </w:p>
    <w:tbl>
      <w:tblPr>
        <w:tblStyle w:val="7"/>
        <w:tblW w:w="5000" w:type="pct"/>
        <w:jc w:val="center"/>
        <w:tblLayout w:type="autofit"/>
        <w:tblCellMar>
          <w:top w:w="0" w:type="dxa"/>
          <w:left w:w="108" w:type="dxa"/>
          <w:bottom w:w="0" w:type="dxa"/>
          <w:right w:w="108" w:type="dxa"/>
        </w:tblCellMar>
      </w:tblPr>
      <w:tblGrid>
        <w:gridCol w:w="1418"/>
        <w:gridCol w:w="1420"/>
        <w:gridCol w:w="1420"/>
        <w:gridCol w:w="1420"/>
        <w:gridCol w:w="1420"/>
        <w:gridCol w:w="1424"/>
      </w:tblGrid>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自变量</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观测量</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均值</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标准差</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最小值</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最大值</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2003</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956</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0.135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0.158</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0.0204</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trHeight w:val="90" w:hRule="atLeast"/>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2004</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1,033</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0.131</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0.155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0.0202</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1,036</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0.163</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0.189</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0.0239</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2006</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1,105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0.127</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0.150</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0.0299</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2007</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1,198</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0.133</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0.137</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0.0287</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2008</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1,247</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0.136</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0.135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0.0242</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2009</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1,328</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0.124</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0.129</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0.0223</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2010</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1,651</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0.114</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0.116</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0.0207</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2011</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1,849</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0.108</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0.106</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0.0194</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2012</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1,950</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0.105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0.104</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0.0194</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2013</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1,981</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0.104</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0.104</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0.0201</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2014</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2,070</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0.0995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0.101</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0.0187</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r>
        <w:tblPrEx>
          <w:tblCellMar>
            <w:top w:w="0" w:type="dxa"/>
            <w:left w:w="108" w:type="dxa"/>
            <w:bottom w:w="0" w:type="dxa"/>
            <w:right w:w="108" w:type="dxa"/>
          </w:tblCellMar>
        </w:tblPrEx>
        <w:trPr>
          <w:jc w:val="center"/>
        </w:trPr>
        <w:tc>
          <w:tcPr>
            <w:tcW w:w="832" w:type="pct"/>
            <w:tcBorders>
              <w:top w:val="single" w:color="auto" w:sz="4" w:space="0"/>
              <w:left w:val="nil"/>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2015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2,225</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0.0961</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0.0991</w:t>
            </w:r>
          </w:p>
        </w:tc>
        <w:tc>
          <w:tcPr>
            <w:tcW w:w="833" w:type="pct"/>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0.0174</w:t>
            </w:r>
          </w:p>
        </w:tc>
        <w:tc>
          <w:tcPr>
            <w:tcW w:w="835" w:type="pct"/>
            <w:tcBorders>
              <w:top w:val="single" w:color="auto" w:sz="4" w:space="0"/>
              <w:left w:val="single" w:color="auto" w:sz="4" w:space="0"/>
              <w:bottom w:val="single" w:color="auto" w:sz="4" w:space="0"/>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r>
    </w:tbl>
    <w:p>
      <w:pPr>
        <w:rPr>
          <w:rFonts w:hint="eastAsia" w:ascii="Times New Roman" w:hAnsi="Times New Roman" w:eastAsia="仿宋" w:cs="Times New Roman"/>
          <w:color w:val="000000" w:themeColor="text1"/>
          <w:szCs w:val="21"/>
          <w14:textFill>
            <w14:solidFill>
              <w14:schemeClr w14:val="tx1"/>
            </w14:solidFill>
          </w14:textFill>
        </w:rPr>
      </w:pPr>
    </w:p>
    <w:p>
      <w:pPr>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表</w:t>
      </w:r>
      <w:r>
        <w:rPr>
          <w:rFonts w:hint="eastAsia" w:ascii="宋体" w:hAnsi="宋体" w:eastAsia="宋体" w:cs="宋体"/>
          <w:b/>
          <w:bCs w:val="0"/>
          <w:color w:val="000000" w:themeColor="text1"/>
          <w:sz w:val="20"/>
          <w:szCs w:val="20"/>
          <w:lang w:val="en-US" w:eastAsia="zh-CN"/>
          <w14:textFill>
            <w14:solidFill>
              <w14:schemeClr w14:val="tx1"/>
            </w14:solidFill>
          </w14:textFill>
        </w:rPr>
        <w:t>A2</w:t>
      </w:r>
      <w:r>
        <w:rPr>
          <w:rFonts w:hint="eastAsia" w:ascii="宋体" w:hAnsi="宋体" w:eastAsia="宋体" w:cs="宋体"/>
          <w:b/>
          <w:bCs w:val="0"/>
          <w:color w:val="000000" w:themeColor="text1"/>
          <w:sz w:val="20"/>
          <w:szCs w:val="20"/>
          <w14:textFill>
            <w14:solidFill>
              <w14:schemeClr w14:val="tx1"/>
            </w14:solidFill>
          </w14:textFill>
        </w:rPr>
        <w:t xml:space="preserve"> 稳健性检验2与3</w:t>
      </w:r>
    </w:p>
    <w:tbl>
      <w:tblPr>
        <w:tblStyle w:val="7"/>
        <w:tblW w:w="5000" w:type="pct"/>
        <w:jc w:val="center"/>
        <w:tblLayout w:type="autofit"/>
        <w:tblCellMar>
          <w:top w:w="0" w:type="dxa"/>
          <w:left w:w="108" w:type="dxa"/>
          <w:bottom w:w="0" w:type="dxa"/>
          <w:right w:w="108" w:type="dxa"/>
        </w:tblCellMar>
      </w:tblPr>
      <w:tblGrid>
        <w:gridCol w:w="2841"/>
        <w:gridCol w:w="2839"/>
        <w:gridCol w:w="2842"/>
      </w:tblGrid>
      <w:tr>
        <w:tblPrEx>
          <w:tblCellMar>
            <w:top w:w="0" w:type="dxa"/>
            <w:left w:w="108" w:type="dxa"/>
            <w:bottom w:w="0" w:type="dxa"/>
            <w:right w:w="108" w:type="dxa"/>
          </w:tblCellMar>
        </w:tblPrEx>
        <w:trPr>
          <w:jc w:val="center"/>
        </w:trPr>
        <w:tc>
          <w:tcPr>
            <w:tcW w:w="1666" w:type="pct"/>
            <w:tcBorders>
              <w:top w:val="single" w:color="auto" w:sz="6" w:space="0"/>
              <w:left w:val="nil"/>
              <w:bottom w:val="single" w:color="auto" w:sz="4" w:space="0"/>
              <w:right w:val="nil"/>
            </w:tcBorders>
          </w:tcPr>
          <w:p>
            <w:pPr>
              <w:spacing w:line="264" w:lineRule="auto"/>
              <w:jc w:val="left"/>
              <w:rPr>
                <w:rFonts w:hint="eastAsia" w:ascii="仿宋" w:hAnsi="仿宋" w:eastAsia="仿宋" w:cs="仿宋"/>
                <w:color w:val="000000" w:themeColor="text1"/>
                <w:sz w:val="18"/>
                <w:szCs w:val="18"/>
                <w14:textFill>
                  <w14:solidFill>
                    <w14:schemeClr w14:val="tx1"/>
                  </w14:solidFill>
                </w14:textFill>
              </w:rPr>
            </w:pPr>
          </w:p>
        </w:tc>
        <w:tc>
          <w:tcPr>
            <w:tcW w:w="1665" w:type="pct"/>
            <w:tcBorders>
              <w:top w:val="single" w:color="auto" w:sz="6"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更换时间窗口</w:t>
            </w:r>
          </w:p>
        </w:tc>
        <w:tc>
          <w:tcPr>
            <w:tcW w:w="1667" w:type="pct"/>
            <w:tcBorders>
              <w:top w:val="single" w:color="auto" w:sz="6"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排除前十贸易伙伴</w:t>
            </w:r>
          </w:p>
        </w:tc>
      </w:tr>
      <w:tr>
        <w:tblPrEx>
          <w:tblCellMar>
            <w:top w:w="0" w:type="dxa"/>
            <w:left w:w="108" w:type="dxa"/>
            <w:bottom w:w="0" w:type="dxa"/>
            <w:right w:w="108" w:type="dxa"/>
          </w:tblCellMar>
        </w:tblPrEx>
        <w:trPr>
          <w:jc w:val="center"/>
        </w:trPr>
        <w:tc>
          <w:tcPr>
            <w:tcW w:w="1666" w:type="pct"/>
            <w:vMerge w:val="restart"/>
            <w:tcBorders>
              <w:top w:val="nil"/>
              <w:left w:val="nil"/>
              <w:bottom w:val="nil"/>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shockyear</w:t>
            </w: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0.124***</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0.214***</w:t>
            </w:r>
          </w:p>
        </w:tc>
      </w:tr>
      <w:tr>
        <w:tblPrEx>
          <w:tblCellMar>
            <w:top w:w="0" w:type="dxa"/>
            <w:left w:w="108" w:type="dxa"/>
            <w:bottom w:w="0" w:type="dxa"/>
            <w:right w:w="108" w:type="dxa"/>
          </w:tblCellMar>
        </w:tblPrEx>
        <w:trPr>
          <w:jc w:val="center"/>
        </w:trPr>
        <w:tc>
          <w:tcPr>
            <w:tcW w:w="1666" w:type="pct"/>
            <w:vMerge w:val="continue"/>
            <w:tcBorders>
              <w:top w:val="nil"/>
              <w:left w:val="nil"/>
              <w:bottom w:val="nil"/>
              <w:right w:val="nil"/>
            </w:tcBorders>
            <w:vAlign w:val="center"/>
          </w:tcPr>
          <w:p>
            <w:pPr>
              <w:widowControl/>
              <w:spacing w:line="264" w:lineRule="auto"/>
              <w:jc w:val="left"/>
              <w:rPr>
                <w:rFonts w:hint="eastAsia" w:ascii="仿宋" w:hAnsi="仿宋" w:eastAsia="仿宋" w:cs="仿宋"/>
                <w:color w:val="000000" w:themeColor="text1"/>
                <w:sz w:val="18"/>
                <w:szCs w:val="18"/>
                <w14:textFill>
                  <w14:solidFill>
                    <w14:schemeClr w14:val="tx1"/>
                  </w14:solidFill>
                </w14:textFill>
              </w:rPr>
            </w:pP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(0.038)</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(0.060)</w:t>
            </w:r>
          </w:p>
        </w:tc>
      </w:tr>
      <w:tr>
        <w:tblPrEx>
          <w:tblCellMar>
            <w:top w:w="0" w:type="dxa"/>
            <w:left w:w="108" w:type="dxa"/>
            <w:bottom w:w="0" w:type="dxa"/>
            <w:right w:w="108" w:type="dxa"/>
          </w:tblCellMar>
        </w:tblPrEx>
        <w:trPr>
          <w:trHeight w:val="328" w:hRule="atLeast"/>
          <w:jc w:val="center"/>
        </w:trPr>
        <w:tc>
          <w:tcPr>
            <w:tcW w:w="1666"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控制变量</w:t>
            </w: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1666"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个体固定效应</w:t>
            </w: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1666" w:type="pct"/>
            <w:tcBorders>
              <w:top w:val="nil"/>
              <w:left w:val="nil"/>
              <w:bottom w:val="nil"/>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年份固定效应</w:t>
            </w: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1666" w:type="pct"/>
            <w:tcBorders>
              <w:top w:val="nil"/>
              <w:left w:val="nil"/>
              <w:bottom w:val="nil"/>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行业固定效应</w:t>
            </w: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1666" w:type="pct"/>
            <w:tcBorders>
              <w:top w:val="nil"/>
              <w:left w:val="nil"/>
              <w:bottom w:val="nil"/>
              <w:right w:val="nil"/>
            </w:tcBorders>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地区固定效应</w:t>
            </w: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1666"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观测量</w:t>
            </w:r>
          </w:p>
        </w:tc>
        <w:tc>
          <w:tcPr>
            <w:tcW w:w="1665"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r>
              <w:rPr>
                <w:rFonts w:hint="eastAsia" w:ascii="仿宋" w:hAnsi="仿宋" w:eastAsia="仿宋" w:cs="仿宋"/>
                <w:color w:val="000000" w:themeColor="text1"/>
                <w:sz w:val="18"/>
                <w:szCs w:val="18"/>
                <w:lang w:val="en-US"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415</w:t>
            </w:r>
          </w:p>
        </w:tc>
        <w:tc>
          <w:tcPr>
            <w:tcW w:w="1667" w:type="pct"/>
            <w:tcBorders>
              <w:top w:val="nil"/>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r>
              <w:rPr>
                <w:rFonts w:hint="eastAsia" w:ascii="仿宋" w:hAnsi="仿宋" w:eastAsia="仿宋" w:cs="仿宋"/>
                <w:color w:val="000000" w:themeColor="text1"/>
                <w:sz w:val="18"/>
                <w:szCs w:val="18"/>
                <w:lang w:val="en-US"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543</w:t>
            </w:r>
          </w:p>
        </w:tc>
      </w:tr>
      <w:tr>
        <w:tblPrEx>
          <w:tblCellMar>
            <w:top w:w="0" w:type="dxa"/>
            <w:left w:w="108" w:type="dxa"/>
            <w:bottom w:w="0" w:type="dxa"/>
            <w:right w:w="108" w:type="dxa"/>
          </w:tblCellMar>
        </w:tblPrEx>
        <w:trPr>
          <w:jc w:val="center"/>
        </w:trPr>
        <w:tc>
          <w:tcPr>
            <w:tcW w:w="1666" w:type="pct"/>
            <w:tcBorders>
              <w:top w:val="nil"/>
              <w:left w:val="nil"/>
              <w:bottom w:val="single" w:color="auto" w:sz="6"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R</w:t>
            </w:r>
            <w:r>
              <w:rPr>
                <w:rFonts w:hint="eastAsia" w:ascii="仿宋" w:hAnsi="仿宋" w:eastAsia="仿宋" w:cs="仿宋"/>
                <w:color w:val="000000" w:themeColor="text1"/>
                <w:sz w:val="18"/>
                <w:szCs w:val="18"/>
                <w14:textFill>
                  <w14:solidFill>
                    <w14:schemeClr w14:val="tx1"/>
                  </w14:solidFill>
                </w14:textFill>
              </w:rPr>
              <w:t>-squared</w:t>
            </w:r>
          </w:p>
        </w:tc>
        <w:tc>
          <w:tcPr>
            <w:tcW w:w="1665" w:type="pct"/>
            <w:tcBorders>
              <w:top w:val="nil"/>
              <w:left w:val="nil"/>
              <w:bottom w:val="single" w:color="auto" w:sz="6"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0.310</w:t>
            </w:r>
          </w:p>
        </w:tc>
        <w:tc>
          <w:tcPr>
            <w:tcW w:w="1667" w:type="pct"/>
            <w:tcBorders>
              <w:top w:val="nil"/>
              <w:left w:val="nil"/>
              <w:bottom w:val="single" w:color="auto" w:sz="6"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0.287</w:t>
            </w:r>
          </w:p>
        </w:tc>
      </w:tr>
    </w:tbl>
    <w:p>
      <w:pPr>
        <w:spacing w:line="264" w:lineRule="auto"/>
        <w:ind w:firstLine="42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注：***代表</w:t>
      </w:r>
      <w:r>
        <w:rPr>
          <w:rFonts w:hint="eastAsia" w:ascii="仿宋" w:hAnsi="仿宋" w:eastAsia="仿宋" w:cs="仿宋"/>
          <w:i/>
          <w:iCs/>
          <w:color w:val="000000" w:themeColor="text1"/>
          <w:sz w:val="18"/>
          <w:szCs w:val="18"/>
          <w14:textFill>
            <w14:solidFill>
              <w14:schemeClr w14:val="tx1"/>
            </w14:solidFill>
          </w14:textFill>
        </w:rPr>
        <w:t>p</w:t>
      </w:r>
      <w:r>
        <w:rPr>
          <w:rFonts w:hint="eastAsia" w:ascii="仿宋" w:hAnsi="仿宋" w:eastAsia="仿宋" w:cs="仿宋"/>
          <w:color w:val="000000" w:themeColor="text1"/>
          <w:sz w:val="18"/>
          <w:szCs w:val="18"/>
          <w14:textFill>
            <w14:solidFill>
              <w14:schemeClr w14:val="tx1"/>
            </w14:solidFill>
          </w14:textFill>
        </w:rPr>
        <w:t>&lt;0.01。固定效应中的Y表示已控制。控制变量中的Y表示已加入。括号内展示公司聚类标准误。</w:t>
      </w:r>
    </w:p>
    <w:p>
      <w:pPr>
        <w:spacing w:line="264" w:lineRule="auto"/>
        <w:ind w:firstLine="420"/>
        <w:jc w:val="left"/>
        <w:rPr>
          <w:rFonts w:ascii="Times New Roman" w:hAnsi="Times New Roman" w:eastAsia="仿宋" w:cs="Times New Roman"/>
          <w:color w:val="000000" w:themeColor="text1"/>
          <w:sz w:val="18"/>
          <w:szCs w:val="18"/>
          <w14:textFill>
            <w14:solidFill>
              <w14:schemeClr w14:val="tx1"/>
            </w14:solidFill>
          </w14:textFill>
        </w:rPr>
      </w:pP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表</w:t>
      </w:r>
      <w:r>
        <w:rPr>
          <w:rFonts w:hint="eastAsia" w:ascii="宋体" w:hAnsi="宋体" w:eastAsia="宋体" w:cs="宋体"/>
          <w:b/>
          <w:bCs/>
          <w:color w:val="000000" w:themeColor="text1"/>
          <w:sz w:val="20"/>
          <w:szCs w:val="20"/>
          <w:lang w:val="en-US" w:eastAsia="zh-CN"/>
          <w14:textFill>
            <w14:solidFill>
              <w14:schemeClr w14:val="tx1"/>
            </w14:solidFill>
          </w14:textFill>
        </w:rPr>
        <w:t>A3</w:t>
      </w:r>
      <w:r>
        <w:rPr>
          <w:rFonts w:hint="eastAsia" w:ascii="宋体" w:hAnsi="宋体" w:eastAsia="宋体" w:cs="宋体"/>
          <w:b/>
          <w:bCs/>
          <w:color w:val="000000" w:themeColor="text1"/>
          <w:sz w:val="20"/>
          <w:szCs w:val="20"/>
          <w14:textFill>
            <w14:solidFill>
              <w14:schemeClr w14:val="tx1"/>
            </w14:solidFill>
          </w14:textFill>
        </w:rPr>
        <w:t xml:space="preserve"> 稳健性检验4</w:t>
      </w:r>
    </w:p>
    <w:tbl>
      <w:tblPr>
        <w:tblStyle w:val="7"/>
        <w:tblW w:w="4996" w:type="pct"/>
        <w:jc w:val="center"/>
        <w:tblLayout w:type="autofit"/>
        <w:tblCellMar>
          <w:top w:w="0" w:type="dxa"/>
          <w:left w:w="108" w:type="dxa"/>
          <w:bottom w:w="0" w:type="dxa"/>
          <w:right w:w="108" w:type="dxa"/>
        </w:tblCellMar>
      </w:tblPr>
      <w:tblGrid>
        <w:gridCol w:w="1610"/>
        <w:gridCol w:w="1150"/>
        <w:gridCol w:w="1151"/>
        <w:gridCol w:w="1151"/>
        <w:gridCol w:w="1151"/>
        <w:gridCol w:w="1151"/>
        <w:gridCol w:w="1151"/>
      </w:tblGrid>
      <w:tr>
        <w:tblPrEx>
          <w:tblCellMar>
            <w:top w:w="0" w:type="dxa"/>
            <w:left w:w="108" w:type="dxa"/>
            <w:bottom w:w="0" w:type="dxa"/>
            <w:right w:w="108" w:type="dxa"/>
          </w:tblCellMar>
        </w:tblPrEx>
        <w:trPr>
          <w:jc w:val="center"/>
        </w:trPr>
        <w:tc>
          <w:tcPr>
            <w:tcW w:w="945" w:type="pct"/>
            <w:tcBorders>
              <w:top w:val="single" w:color="auto" w:sz="4"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前推/滞后</w:t>
            </w:r>
          </w:p>
        </w:tc>
        <w:tc>
          <w:tcPr>
            <w:tcW w:w="675" w:type="pct"/>
            <w:tcBorders>
              <w:top w:val="single" w:color="auto" w:sz="4"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前推一期</w:t>
            </w:r>
          </w:p>
        </w:tc>
        <w:tc>
          <w:tcPr>
            <w:tcW w:w="675" w:type="pct"/>
            <w:tcBorders>
              <w:top w:val="single" w:color="auto" w:sz="4"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前推二期</w:t>
            </w:r>
          </w:p>
        </w:tc>
        <w:tc>
          <w:tcPr>
            <w:tcW w:w="675" w:type="pct"/>
            <w:tcBorders>
              <w:top w:val="single" w:color="auto" w:sz="4"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前推三期</w:t>
            </w:r>
          </w:p>
        </w:tc>
        <w:tc>
          <w:tcPr>
            <w:tcW w:w="675" w:type="pct"/>
            <w:tcBorders>
              <w:top w:val="single" w:color="auto" w:sz="4"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滞后一期</w:t>
            </w:r>
          </w:p>
        </w:tc>
        <w:tc>
          <w:tcPr>
            <w:tcW w:w="675" w:type="pct"/>
            <w:tcBorders>
              <w:top w:val="single" w:color="auto" w:sz="4"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滞后两期</w:t>
            </w:r>
          </w:p>
        </w:tc>
        <w:tc>
          <w:tcPr>
            <w:tcW w:w="675" w:type="pct"/>
            <w:tcBorders>
              <w:top w:val="single" w:color="auto" w:sz="4" w:space="0"/>
              <w:left w:val="nil"/>
              <w:bottom w:val="single" w:color="auto" w:sz="4"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滞后三期</w:t>
            </w:r>
          </w:p>
        </w:tc>
      </w:tr>
      <w:tr>
        <w:tblPrEx>
          <w:tblCellMar>
            <w:top w:w="0" w:type="dxa"/>
            <w:left w:w="108" w:type="dxa"/>
            <w:bottom w:w="0" w:type="dxa"/>
            <w:right w:w="108" w:type="dxa"/>
          </w:tblCellMar>
        </w:tblPrEx>
        <w:trPr>
          <w:jc w:val="center"/>
        </w:trPr>
        <w:tc>
          <w:tcPr>
            <w:tcW w:w="945" w:type="pct"/>
            <w:vMerge w:val="restart"/>
            <w:tcBorders>
              <w:top w:val="single" w:color="auto" w:sz="4" w:space="0"/>
            </w:tcBorders>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shock_1</w:t>
            </w:r>
          </w:p>
        </w:tc>
        <w:tc>
          <w:tcPr>
            <w:tcW w:w="675" w:type="pct"/>
            <w:tcBorders>
              <w:top w:val="single" w:color="auto" w:sz="4" w:space="0"/>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-0.064*</w:t>
            </w:r>
          </w:p>
        </w:tc>
        <w:tc>
          <w:tcPr>
            <w:tcW w:w="675" w:type="pct"/>
            <w:tcBorders>
              <w:top w:val="single" w:color="auto" w:sz="4" w:space="0"/>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Borders>
              <w:top w:val="single" w:color="auto" w:sz="4" w:space="0"/>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Borders>
              <w:top w:val="single" w:color="auto" w:sz="4" w:space="0"/>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-0.011</w:t>
            </w:r>
          </w:p>
        </w:tc>
        <w:tc>
          <w:tcPr>
            <w:tcW w:w="675" w:type="pct"/>
            <w:tcBorders>
              <w:top w:val="single" w:color="auto" w:sz="4" w:space="0"/>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Borders>
              <w:top w:val="single" w:color="auto" w:sz="4" w:space="0"/>
              <w:left w:val="nil"/>
              <w:bottom w:val="nil"/>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945" w:type="pct"/>
            <w:vMerge w:val="continue"/>
            <w:vAlign w:val="center"/>
          </w:tcPr>
          <w:p>
            <w:pPr>
              <w:widowControl/>
              <w:spacing w:line="264" w:lineRule="auto"/>
              <w:jc w:val="left"/>
              <w:rPr>
                <w:rFonts w:hint="eastAsia" w:ascii="仿宋" w:hAnsi="仿宋" w:eastAsia="仿宋" w:cs="仿宋"/>
                <w:i/>
                <w:iCs/>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(0.033)</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(0.031)</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945" w:type="pct"/>
            <w:vMerge w:val="restart"/>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shock_2</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0.057</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-0.027</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945" w:type="pct"/>
            <w:vMerge w:val="continue"/>
            <w:vAlign w:val="center"/>
          </w:tcPr>
          <w:p>
            <w:pPr>
              <w:widowControl/>
              <w:spacing w:line="264" w:lineRule="auto"/>
              <w:jc w:val="left"/>
              <w:rPr>
                <w:rFonts w:hint="eastAsia" w:ascii="仿宋" w:hAnsi="仿宋" w:eastAsia="仿宋" w:cs="仿宋"/>
                <w:i/>
                <w:iCs/>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(0.037)</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(0.033)</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945" w:type="pct"/>
            <w:vMerge w:val="restart"/>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shock_3</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0.007</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-0.062</w:t>
            </w:r>
          </w:p>
        </w:tc>
      </w:tr>
      <w:tr>
        <w:tblPrEx>
          <w:tblCellMar>
            <w:top w:w="0" w:type="dxa"/>
            <w:left w:w="108" w:type="dxa"/>
            <w:bottom w:w="0" w:type="dxa"/>
            <w:right w:w="108" w:type="dxa"/>
          </w:tblCellMar>
        </w:tblPrEx>
        <w:trPr>
          <w:jc w:val="center"/>
        </w:trPr>
        <w:tc>
          <w:tcPr>
            <w:tcW w:w="945" w:type="pct"/>
            <w:vMerge w:val="continue"/>
            <w:vAlign w:val="center"/>
          </w:tcPr>
          <w:p>
            <w:pPr>
              <w:widowControl/>
              <w:spacing w:line="264" w:lineRule="auto"/>
              <w:jc w:val="left"/>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(0.043)</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(0.039)</w:t>
            </w:r>
          </w:p>
        </w:tc>
      </w:tr>
      <w:tr>
        <w:tblPrEx>
          <w:tblCellMar>
            <w:top w:w="0" w:type="dxa"/>
            <w:left w:w="108" w:type="dxa"/>
            <w:bottom w:w="0" w:type="dxa"/>
            <w:right w:w="108" w:type="dxa"/>
          </w:tblCellMar>
        </w:tblPrEx>
        <w:trPr>
          <w:jc w:val="center"/>
        </w:trPr>
        <w:tc>
          <w:tcPr>
            <w:tcW w:w="94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控制变量</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94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个体固定效应</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94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年份固定效应</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94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行业固定效应</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94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地区固定效应</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675" w:type="pct"/>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jc w:val="center"/>
        </w:trPr>
        <w:tc>
          <w:tcPr>
            <w:tcW w:w="94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观测量</w:t>
            </w:r>
          </w:p>
        </w:tc>
        <w:tc>
          <w:tcPr>
            <w:tcW w:w="675" w:type="pct"/>
            <w:vAlign w:val="bottom"/>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14,759</w:t>
            </w:r>
          </w:p>
        </w:tc>
        <w:tc>
          <w:tcPr>
            <w:tcW w:w="675" w:type="pct"/>
            <w:vAlign w:val="bottom"/>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13,079</w:t>
            </w:r>
          </w:p>
        </w:tc>
        <w:tc>
          <w:tcPr>
            <w:tcW w:w="675" w:type="pct"/>
            <w:vAlign w:val="bottom"/>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11,550</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14,645</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12,900</w:t>
            </w:r>
          </w:p>
        </w:tc>
        <w:tc>
          <w:tcPr>
            <w:tcW w:w="675" w:type="pct"/>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11,263</w:t>
            </w:r>
          </w:p>
        </w:tc>
      </w:tr>
      <w:tr>
        <w:tblPrEx>
          <w:tblCellMar>
            <w:top w:w="0" w:type="dxa"/>
            <w:left w:w="108" w:type="dxa"/>
            <w:bottom w:w="0" w:type="dxa"/>
            <w:right w:w="108" w:type="dxa"/>
          </w:tblCellMar>
        </w:tblPrEx>
        <w:trPr>
          <w:jc w:val="center"/>
        </w:trPr>
        <w:tc>
          <w:tcPr>
            <w:tcW w:w="945" w:type="pct"/>
            <w:tcBorders>
              <w:top w:val="nil"/>
              <w:left w:val="nil"/>
              <w:bottom w:val="single" w:color="auto" w:sz="6"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R</w:t>
            </w:r>
            <w:r>
              <w:rPr>
                <w:rFonts w:hint="eastAsia" w:ascii="仿宋" w:hAnsi="仿宋" w:eastAsia="仿宋" w:cs="仿宋"/>
                <w:color w:val="000000" w:themeColor="text1"/>
                <w:sz w:val="18"/>
                <w:szCs w:val="18"/>
                <w14:textFill>
                  <w14:solidFill>
                    <w14:schemeClr w14:val="tx1"/>
                  </w14:solidFill>
                </w14:textFill>
              </w:rPr>
              <w:t>-squared</w:t>
            </w:r>
          </w:p>
        </w:tc>
        <w:tc>
          <w:tcPr>
            <w:tcW w:w="675" w:type="pct"/>
            <w:tcBorders>
              <w:top w:val="nil"/>
              <w:left w:val="nil"/>
              <w:bottom w:val="single" w:color="auto" w:sz="6" w:space="0"/>
              <w:right w:val="nil"/>
            </w:tcBorders>
            <w:vAlign w:val="bottom"/>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0.432</w:t>
            </w:r>
          </w:p>
        </w:tc>
        <w:tc>
          <w:tcPr>
            <w:tcW w:w="675" w:type="pct"/>
            <w:tcBorders>
              <w:top w:val="nil"/>
              <w:left w:val="nil"/>
              <w:bottom w:val="single" w:color="auto" w:sz="6" w:space="0"/>
              <w:right w:val="nil"/>
            </w:tcBorders>
            <w:vAlign w:val="bottom"/>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0.440</w:t>
            </w:r>
          </w:p>
        </w:tc>
        <w:tc>
          <w:tcPr>
            <w:tcW w:w="675" w:type="pct"/>
            <w:tcBorders>
              <w:top w:val="nil"/>
              <w:left w:val="nil"/>
              <w:bottom w:val="single" w:color="auto" w:sz="6" w:space="0"/>
              <w:right w:val="nil"/>
            </w:tcBorders>
            <w:vAlign w:val="bottom"/>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0.425</w:t>
            </w:r>
          </w:p>
        </w:tc>
        <w:tc>
          <w:tcPr>
            <w:tcW w:w="675" w:type="pct"/>
            <w:tcBorders>
              <w:top w:val="nil"/>
              <w:left w:val="nil"/>
              <w:bottom w:val="single" w:color="auto" w:sz="6"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0.445</w:t>
            </w:r>
          </w:p>
        </w:tc>
        <w:tc>
          <w:tcPr>
            <w:tcW w:w="675" w:type="pct"/>
            <w:tcBorders>
              <w:top w:val="nil"/>
              <w:left w:val="nil"/>
              <w:bottom w:val="single" w:color="auto" w:sz="6"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0.465</w:t>
            </w:r>
          </w:p>
        </w:tc>
        <w:tc>
          <w:tcPr>
            <w:tcW w:w="675" w:type="pct"/>
            <w:tcBorders>
              <w:top w:val="nil"/>
              <w:left w:val="nil"/>
              <w:bottom w:val="single" w:color="auto" w:sz="6" w:space="0"/>
              <w:right w:val="nil"/>
            </w:tcBorders>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0.484</w:t>
            </w:r>
          </w:p>
        </w:tc>
      </w:tr>
    </w:tbl>
    <w:p>
      <w:pPr>
        <w:spacing w:line="264" w:lineRule="auto"/>
        <w:ind w:firstLine="42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注：***代表</w:t>
      </w:r>
      <w:r>
        <w:rPr>
          <w:rFonts w:hint="eastAsia" w:ascii="仿宋" w:hAnsi="仿宋" w:eastAsia="仿宋" w:cs="仿宋"/>
          <w:i/>
          <w:iCs/>
          <w:color w:val="000000" w:themeColor="text1"/>
          <w:sz w:val="18"/>
          <w:szCs w:val="18"/>
          <w14:textFill>
            <w14:solidFill>
              <w14:schemeClr w14:val="tx1"/>
            </w14:solidFill>
          </w14:textFill>
        </w:rPr>
        <w:t>p</w:t>
      </w:r>
      <w:r>
        <w:rPr>
          <w:rFonts w:hint="eastAsia" w:ascii="仿宋" w:hAnsi="仿宋" w:eastAsia="仿宋" w:cs="仿宋"/>
          <w:color w:val="000000" w:themeColor="text1"/>
          <w:sz w:val="18"/>
          <w:szCs w:val="18"/>
          <w14:textFill>
            <w14:solidFill>
              <w14:schemeClr w14:val="tx1"/>
            </w14:solidFill>
          </w14:textFill>
        </w:rPr>
        <w:t>&lt;0.01。固定效应中的Y表示已控制。控制变量中的Y表示已加入。括号内展示公司聚类标准误。</w:t>
      </w: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rPr>
          <w:rFonts w:hint="eastAsia" w:ascii="Times New Roman" w:hAnsi="Times New Roman" w:eastAsia="仿宋" w:cs="Times New Roman"/>
          <w:color w:val="000000" w:themeColor="text1"/>
          <w:szCs w:val="21"/>
          <w14:textFill>
            <w14:solidFill>
              <w14:schemeClr w14:val="tx1"/>
            </w14:solidFill>
          </w14:textFill>
        </w:rPr>
      </w:pPr>
    </w:p>
    <w:p>
      <w:pPr>
        <w:pStyle w:val="2"/>
        <w:spacing w:line="264" w:lineRule="auto"/>
        <w:jc w:val="center"/>
        <w:rPr>
          <w:rFonts w:hint="eastAsia" w:ascii="楷体" w:hAnsi="楷体" w:eastAsia="楷体" w:cs="楷体"/>
          <w:b w:val="0"/>
          <w:bCs w:val="0"/>
          <w:color w:val="000000" w:themeColor="text1"/>
          <w:sz w:val="28"/>
          <w:szCs w:val="28"/>
          <w14:textFill>
            <w14:solidFill>
              <w14:schemeClr w14:val="tx1"/>
            </w14:solidFill>
          </w14:textFill>
        </w:rPr>
      </w:pPr>
      <w:bookmarkStart w:id="1" w:name="_Toc17916"/>
      <w:r>
        <w:rPr>
          <w:rFonts w:hint="eastAsia" w:ascii="楷体" w:hAnsi="楷体" w:eastAsia="楷体" w:cs="楷体"/>
          <w:b w:val="0"/>
          <w:bCs w:val="0"/>
          <w:i w:val="0"/>
          <w:iCs w:val="0"/>
          <w:sz w:val="28"/>
          <w:szCs w:val="28"/>
          <w:lang w:val="zh-CN"/>
        </w:rPr>
        <w:t>附录Ⅲ</w:t>
      </w:r>
      <w:r>
        <w:rPr>
          <w:rFonts w:hint="eastAsia" w:ascii="楷体" w:hAnsi="楷体" w:eastAsia="楷体" w:cs="楷体"/>
          <w:b w:val="0"/>
          <w:bCs w:val="0"/>
          <w:color w:val="000000" w:themeColor="text1"/>
          <w:sz w:val="28"/>
          <w:szCs w:val="28"/>
          <w14:textFill>
            <w14:solidFill>
              <w14:schemeClr w14:val="tx1"/>
            </w14:solidFill>
          </w14:textFill>
        </w:rPr>
        <w:t xml:space="preserve"> 稳健性检验</w:t>
      </w:r>
      <w:bookmarkEnd w:id="1"/>
    </w:p>
    <w:p>
      <w:pPr>
        <w:ind w:firstLine="420"/>
        <w:rPr>
          <w:rFonts w:ascii="Times New Roman" w:hAnsi="Times New Roman" w:eastAsia="仿宋" w:cs="Times New Roman"/>
          <w:bCs/>
          <w:color w:val="000000" w:themeColor="text1"/>
          <w:szCs w:val="21"/>
          <w14:textFill>
            <w14:solidFill>
              <w14:schemeClr w14:val="tx1"/>
            </w14:solidFill>
          </w14:textFill>
        </w:rPr>
      </w:pPr>
      <w:r>
        <w:rPr>
          <w:rFonts w:ascii="Times New Roman" w:hAnsi="Times New Roman" w:eastAsia="仿宋" w:cs="Times New Roman"/>
          <w:bCs/>
          <w:color w:val="000000" w:themeColor="text1"/>
          <w:szCs w:val="21"/>
          <w14:textFill>
            <w14:solidFill>
              <w14:schemeClr w14:val="tx1"/>
            </w14:solidFill>
          </w14:textFill>
        </w:rPr>
        <w:t>预测反倾销的回归结果如下表所示。基本结论数，我们无法使用可得信息预测企业是否会遭受反倾销，即反倾销是随机发生的。</w:t>
      </w: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表</w:t>
      </w:r>
      <w:r>
        <w:rPr>
          <w:rFonts w:hint="eastAsia" w:ascii="宋体" w:hAnsi="宋体" w:eastAsia="宋体" w:cs="宋体"/>
          <w:b/>
          <w:bCs/>
          <w:color w:val="000000" w:themeColor="text1"/>
          <w:sz w:val="20"/>
          <w:szCs w:val="20"/>
          <w:lang w:val="en-US" w:eastAsia="zh-CN"/>
          <w14:textFill>
            <w14:solidFill>
              <w14:schemeClr w14:val="tx1"/>
            </w14:solidFill>
          </w14:textFill>
        </w:rPr>
        <w:t>Ⅲ</w:t>
      </w:r>
      <w:r>
        <w:rPr>
          <w:rFonts w:hint="eastAsia" w:ascii="宋体" w:hAnsi="宋体" w:eastAsia="宋体" w:cs="宋体"/>
          <w:b/>
          <w:bCs/>
          <w:color w:val="000000" w:themeColor="text1"/>
          <w:sz w:val="20"/>
          <w:szCs w:val="20"/>
          <w14:textFill>
            <w14:solidFill>
              <w14:schemeClr w14:val="tx1"/>
            </w14:solidFill>
          </w14:textFill>
        </w:rPr>
        <w:t>1 随机性检验</w:t>
      </w:r>
    </w:p>
    <w:tbl>
      <w:tblPr>
        <w:tblStyle w:val="7"/>
        <w:tblpPr w:leftFromText="180" w:rightFromText="180" w:vertAnchor="text" w:horzAnchor="page" w:tblpX="1862" w:tblpY="154"/>
        <w:tblOverlap w:val="never"/>
        <w:tblW w:w="4998" w:type="pct"/>
        <w:tblInd w:w="0" w:type="dxa"/>
        <w:tblLayout w:type="autofit"/>
        <w:tblCellMar>
          <w:top w:w="0" w:type="dxa"/>
          <w:left w:w="108" w:type="dxa"/>
          <w:bottom w:w="0" w:type="dxa"/>
          <w:right w:w="108" w:type="dxa"/>
        </w:tblCellMar>
      </w:tblPr>
      <w:tblGrid>
        <w:gridCol w:w="3313"/>
        <w:gridCol w:w="2602"/>
        <w:gridCol w:w="2604"/>
      </w:tblGrid>
      <w:tr>
        <w:tblPrEx>
          <w:tblCellMar>
            <w:top w:w="0" w:type="dxa"/>
            <w:left w:w="108" w:type="dxa"/>
            <w:bottom w:w="0" w:type="dxa"/>
            <w:right w:w="108" w:type="dxa"/>
          </w:tblCellMar>
        </w:tblPrEx>
        <w:trPr>
          <w:trHeight w:val="260" w:hRule="atLeast"/>
        </w:trPr>
        <w:tc>
          <w:tcPr>
            <w:tcW w:w="1944" w:type="pct"/>
            <w:tcBorders>
              <w:top w:val="single" w:color="auto" w:sz="4" w:space="0"/>
              <w:left w:val="nil"/>
              <w:bottom w:val="single" w:color="auto" w:sz="4" w:space="0"/>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bookmarkStart w:id="2" w:name="_Hlk85363515"/>
            <w:r>
              <w:rPr>
                <w:rFonts w:hint="eastAsia" w:ascii="仿宋" w:hAnsi="仿宋" w:eastAsia="仿宋" w:cs="仿宋"/>
                <w:color w:val="000000" w:themeColor="text1"/>
                <w:sz w:val="18"/>
                <w:szCs w:val="18"/>
                <w14:textFill>
                  <w14:solidFill>
                    <w14:schemeClr w14:val="tx1"/>
                  </w14:solidFill>
                </w14:textFill>
              </w:rPr>
              <w:t>自变量</w:t>
            </w:r>
          </w:p>
        </w:tc>
        <w:tc>
          <w:tcPr>
            <w:tcW w:w="1527" w:type="pct"/>
            <w:tcBorders>
              <w:top w:val="single" w:color="auto" w:sz="4" w:space="0"/>
              <w:left w:val="nil"/>
              <w:bottom w:val="single" w:color="auto" w:sz="4" w:space="0"/>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当期</w:t>
            </w:r>
          </w:p>
        </w:tc>
        <w:tc>
          <w:tcPr>
            <w:tcW w:w="1528" w:type="pct"/>
            <w:tcBorders>
              <w:top w:val="single" w:color="auto" w:sz="4" w:space="0"/>
              <w:left w:val="nil"/>
              <w:bottom w:val="single" w:color="auto" w:sz="4" w:space="0"/>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滞后一期</w:t>
            </w:r>
          </w:p>
        </w:tc>
      </w:tr>
      <w:tr>
        <w:tblPrEx>
          <w:tblCellMar>
            <w:top w:w="0" w:type="dxa"/>
            <w:left w:w="108" w:type="dxa"/>
            <w:bottom w:w="0" w:type="dxa"/>
            <w:right w:w="108" w:type="dxa"/>
          </w:tblCellMar>
        </w:tblPrEx>
        <w:trPr>
          <w:trHeight w:val="260" w:hRule="atLeast"/>
        </w:trPr>
        <w:tc>
          <w:tcPr>
            <w:tcW w:w="1944" w:type="pct"/>
            <w:tcBorders>
              <w:top w:val="single" w:color="auto" w:sz="4" w:space="0"/>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nation</w:t>
            </w:r>
          </w:p>
        </w:tc>
        <w:tc>
          <w:tcPr>
            <w:tcW w:w="1527" w:type="pct"/>
            <w:tcBorders>
              <w:top w:val="single" w:color="auto" w:sz="4" w:space="0"/>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0.002</w:t>
            </w:r>
          </w:p>
        </w:tc>
        <w:tc>
          <w:tcPr>
            <w:tcW w:w="1528" w:type="pct"/>
            <w:tcBorders>
              <w:top w:val="single" w:color="auto" w:sz="4" w:space="0"/>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-0.002</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(0.004)</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(0.004)</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notashare</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0.004</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0.006</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(0.009)</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(0.009)</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lincome</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0.001</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-0.002</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(0.003)</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(0.003)</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leverage</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-0.000</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-0.010</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(0.010)</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(0.011)</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pb</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-0.000</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0.000</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(0.000)</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(0.001)</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roa</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-0.056</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-0.118</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(0.079)</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(0.086)</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big4</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-0.009</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-0.006</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(0.008)</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(0.008)</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assetdev</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0.022</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0.009</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(0.016)</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(0.016)</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lpergdp</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-0.002</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0.013</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(0.010)</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(0.010)</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gdpr</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-0.000</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-0.001</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(0.001)</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(0.001)</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i/>
                <w:iCs/>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wasset</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0.004</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0.011</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(0.008)</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(0.008)</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控制变量</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个体固定效应</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年份固定效应</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行业固定效应</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trHeight w:val="260" w:hRule="atLeast"/>
        </w:trPr>
        <w:tc>
          <w:tcPr>
            <w:tcW w:w="1944"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地区固定效应</w:t>
            </w:r>
          </w:p>
        </w:tc>
        <w:tc>
          <w:tcPr>
            <w:tcW w:w="1527"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528" w:type="pct"/>
            <w:tcBorders>
              <w:top w:val="nil"/>
              <w:left w:val="nil"/>
              <w:bottom w:val="nil"/>
              <w:right w:val="nil"/>
            </w:tcBorders>
            <w:shd w:val="clear" w:color="auto" w:fill="auto"/>
            <w:noWrap/>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r>
      <w:tr>
        <w:tblPrEx>
          <w:tblCellMar>
            <w:top w:w="0" w:type="dxa"/>
            <w:left w:w="108" w:type="dxa"/>
            <w:bottom w:w="0" w:type="dxa"/>
            <w:right w:w="108" w:type="dxa"/>
          </w:tblCellMar>
        </w:tblPrEx>
        <w:trPr>
          <w:trHeight w:val="260" w:hRule="atLeast"/>
        </w:trPr>
        <w:tc>
          <w:tcPr>
            <w:tcW w:w="1944" w:type="pct"/>
            <w:shd w:val="clear" w:color="auto" w:fill="auto"/>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观测量</w:t>
            </w:r>
          </w:p>
        </w:tc>
        <w:tc>
          <w:tcPr>
            <w:tcW w:w="1527" w:type="pct"/>
            <w:shd w:val="clear" w:color="auto" w:fill="auto"/>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16,140</w:t>
            </w:r>
          </w:p>
        </w:tc>
        <w:tc>
          <w:tcPr>
            <w:tcW w:w="1528" w:type="pct"/>
            <w:shd w:val="clear" w:color="auto" w:fill="auto"/>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16,517</w:t>
            </w:r>
          </w:p>
        </w:tc>
      </w:tr>
      <w:tr>
        <w:tblPrEx>
          <w:tblCellMar>
            <w:top w:w="0" w:type="dxa"/>
            <w:left w:w="108" w:type="dxa"/>
            <w:bottom w:w="0" w:type="dxa"/>
            <w:right w:w="108" w:type="dxa"/>
          </w:tblCellMar>
        </w:tblPrEx>
        <w:trPr>
          <w:trHeight w:val="260" w:hRule="atLeast"/>
        </w:trPr>
        <w:tc>
          <w:tcPr>
            <w:tcW w:w="1944" w:type="pct"/>
            <w:tcBorders>
              <w:bottom w:val="single" w:color="auto" w:sz="4" w:space="0"/>
            </w:tcBorders>
            <w:shd w:val="clear" w:color="auto" w:fill="auto"/>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iCs/>
                <w:color w:val="000000" w:themeColor="text1"/>
                <w:sz w:val="18"/>
                <w:szCs w:val="18"/>
                <w14:textFill>
                  <w14:solidFill>
                    <w14:schemeClr w14:val="tx1"/>
                  </w14:solidFill>
                </w14:textFill>
              </w:rPr>
              <w:t>R</w:t>
            </w:r>
            <w:r>
              <w:rPr>
                <w:rFonts w:hint="eastAsia" w:ascii="仿宋" w:hAnsi="仿宋" w:eastAsia="仿宋" w:cs="仿宋"/>
                <w:color w:val="000000" w:themeColor="text1"/>
                <w:sz w:val="18"/>
                <w:szCs w:val="18"/>
                <w14:textFill>
                  <w14:solidFill>
                    <w14:schemeClr w14:val="tx1"/>
                  </w14:solidFill>
                </w14:textFill>
              </w:rPr>
              <w:t>-squared</w:t>
            </w:r>
          </w:p>
        </w:tc>
        <w:tc>
          <w:tcPr>
            <w:tcW w:w="1527" w:type="pct"/>
            <w:tcBorders>
              <w:bottom w:val="single" w:color="auto" w:sz="4" w:space="0"/>
            </w:tcBorders>
            <w:shd w:val="clear" w:color="auto" w:fill="auto"/>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0.418</w:t>
            </w:r>
          </w:p>
        </w:tc>
        <w:tc>
          <w:tcPr>
            <w:tcW w:w="1528" w:type="pct"/>
            <w:tcBorders>
              <w:bottom w:val="single" w:color="auto" w:sz="4" w:space="0"/>
            </w:tcBorders>
            <w:shd w:val="clear" w:color="auto" w:fill="auto"/>
            <w:vAlign w:val="center"/>
          </w:tcPr>
          <w:p>
            <w:pPr>
              <w:spacing w:line="264" w:lineRule="auto"/>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0.491</w:t>
            </w:r>
          </w:p>
        </w:tc>
      </w:tr>
      <w:bookmarkEnd w:id="2"/>
    </w:tbl>
    <w:p>
      <w:pPr>
        <w:spacing w:line="264" w:lineRule="auto"/>
        <w:ind w:firstLine="420"/>
        <w:jc w:val="left"/>
        <w:rPr>
          <w:rFonts w:ascii="Times New Roman" w:hAnsi="Times New Roman" w:eastAsia="仿宋" w:cs="Times New Roman"/>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注：***代表</w:t>
      </w:r>
      <w:r>
        <w:rPr>
          <w:rFonts w:hint="eastAsia" w:ascii="仿宋" w:hAnsi="仿宋" w:eastAsia="仿宋" w:cs="仿宋"/>
          <w:i/>
          <w:iCs/>
          <w:color w:val="000000" w:themeColor="text1"/>
          <w:sz w:val="18"/>
          <w:szCs w:val="18"/>
          <w14:textFill>
            <w14:solidFill>
              <w14:schemeClr w14:val="tx1"/>
            </w14:solidFill>
          </w14:textFill>
        </w:rPr>
        <w:t>p</w:t>
      </w:r>
      <w:r>
        <w:rPr>
          <w:rFonts w:hint="eastAsia" w:ascii="仿宋" w:hAnsi="仿宋" w:eastAsia="仿宋" w:cs="仿宋"/>
          <w:color w:val="000000" w:themeColor="text1"/>
          <w:sz w:val="18"/>
          <w:szCs w:val="18"/>
          <w14:textFill>
            <w14:solidFill>
              <w14:schemeClr w14:val="tx1"/>
            </w14:solidFill>
          </w14:textFill>
        </w:rPr>
        <w:t>&lt;0.01。固定效应中的Y表示已控制。控制变量中的Y表示已加入。括号内展示公司聚类标准误。</w:t>
      </w:r>
    </w:p>
    <w:p>
      <w:pPr>
        <w:spacing w:line="276" w:lineRule="auto"/>
        <w:rPr>
          <w:rFonts w:hint="eastAsia" w:ascii="Times New Roman" w:hAnsi="Times New Roman" w:eastAsia="华文楷体" w:cs="Times New Roman"/>
          <w:b/>
          <w:color w:val="000000" w:themeColor="text1"/>
          <w14:textFill>
            <w14:solidFill>
              <w14:schemeClr w14:val="tx1"/>
            </w14:solidFill>
          </w14:textFill>
        </w:rPr>
      </w:pPr>
    </w:p>
    <w:p>
      <w:pPr>
        <w:spacing w:line="276" w:lineRule="auto"/>
        <w:ind w:firstLine="420" w:firstLineChars="200"/>
        <w:jc w:val="center"/>
        <w:rPr>
          <w:rFonts w:ascii="Times New Roman" w:hAnsi="Times New Roman" w:eastAsia="华文楷体" w:cs="Times New Roman"/>
          <w:b/>
          <w:color w:val="000000" w:themeColor="text1"/>
          <w14:textFill>
            <w14:solidFill>
              <w14:schemeClr w14:val="tx1"/>
            </w14:solidFill>
          </w14:textFill>
        </w:rPr>
      </w:pPr>
      <w:r>
        <w:rPr>
          <w:rFonts w:ascii="Times New Roman" w:hAnsi="Times New Roman" w:eastAsia="华文楷体" w:cs="Times New Roman"/>
          <w:b/>
          <w:color w:val="000000" w:themeColor="text1"/>
          <w14:textFill>
            <w14:solidFill>
              <w14:schemeClr w14:val="tx1"/>
            </w14:solidFill>
          </w14:textFill>
        </w:rPr>
        <w:drawing>
          <wp:inline distT="0" distB="0" distL="0" distR="0">
            <wp:extent cx="3205480" cy="2231390"/>
            <wp:effectExtent l="0" t="0" r="762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2" cstate="print">
                      <a:extLst>
                        <a:ext uri="{28A0092B-C50C-407E-A947-70E740481C1C}">
                          <a14:useLocalDpi xmlns:a14="http://schemas.microsoft.com/office/drawing/2010/main" val="0"/>
                        </a:ext>
                      </a:extLst>
                    </a:blip>
                    <a:srcRect b="7340"/>
                    <a:stretch>
                      <a:fillRect/>
                    </a:stretch>
                  </pic:blipFill>
                  <pic:spPr>
                    <a:xfrm>
                      <a:off x="0" y="0"/>
                      <a:ext cx="3212136" cy="2235774"/>
                    </a:xfrm>
                    <a:prstGeom prst="rect">
                      <a:avLst/>
                    </a:prstGeom>
                    <a:noFill/>
                    <a:ln>
                      <a:noFill/>
                    </a:ln>
                  </pic:spPr>
                </pic:pic>
              </a:graphicData>
            </a:graphic>
          </wp:inline>
        </w:drawing>
      </w: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图</w:t>
      </w:r>
      <w:r>
        <w:rPr>
          <w:rFonts w:hint="eastAsia" w:ascii="宋体" w:hAnsi="宋体" w:eastAsia="宋体" w:cs="宋体"/>
          <w:b/>
          <w:bCs/>
          <w:color w:val="000000" w:themeColor="text1"/>
          <w:sz w:val="20"/>
          <w:szCs w:val="20"/>
          <w:lang w:val="en-US" w:eastAsia="zh-CN"/>
          <w14:textFill>
            <w14:solidFill>
              <w14:schemeClr w14:val="tx1"/>
            </w14:solidFill>
          </w14:textFill>
        </w:rPr>
        <w:t>Ⅲ</w:t>
      </w:r>
      <w:r>
        <w:rPr>
          <w:rFonts w:hint="eastAsia" w:ascii="宋体" w:hAnsi="宋体" w:eastAsia="宋体" w:cs="宋体"/>
          <w:b/>
          <w:bCs/>
          <w:color w:val="000000" w:themeColor="text1"/>
          <w:sz w:val="20"/>
          <w:szCs w:val="20"/>
          <w14:textFill>
            <w14:solidFill>
              <w14:schemeClr w14:val="tx1"/>
            </w14:solidFill>
          </w14:textFill>
        </w:rPr>
        <w:t>1 残差概率密度图</w:t>
      </w:r>
    </w:p>
    <w:p>
      <w:pPr>
        <w:spacing w:line="276" w:lineRule="auto"/>
        <w:ind w:firstLine="420" w:firstLineChars="200"/>
        <w:jc w:val="center"/>
        <w:rPr>
          <w:rFonts w:ascii="Times New Roman" w:hAnsi="Times New Roman" w:eastAsia="华文楷体" w:cs="Times New Roman"/>
          <w:b/>
          <w:color w:val="000000" w:themeColor="text1"/>
          <w14:textFill>
            <w14:solidFill>
              <w14:schemeClr w14:val="tx1"/>
            </w14:solidFill>
          </w14:textFill>
        </w:rPr>
      </w:pPr>
    </w:p>
    <w:p>
      <w:pPr>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Times New Roman" w:eastAsia="仿宋" w:cs="Times New Roman"/>
        </w:rPr>
        <w:t>临近匹配：结合审稿人的意见，我们分别进行了1</w:t>
      </w:r>
      <w:r>
        <w:rPr>
          <w:rFonts w:hint="default" w:ascii="Times New Roman" w:hAnsi="Times New Roman" w:eastAsia="仿宋" w:cs="Times New Roman"/>
          <w:lang w:val="en-US" w:eastAsia="zh-CN"/>
        </w:rPr>
        <w:t>:</w:t>
      </w:r>
      <w:r>
        <w:rPr>
          <w:rFonts w:ascii="Times New Roman" w:hAnsi="Times New Roman" w:eastAsia="仿宋" w:cs="Times New Roman"/>
        </w:rPr>
        <w:t>1-1:5的PSM临近匹配，检验与匹配后的回归结果如下：</w:t>
      </w:r>
    </w:p>
    <w:p>
      <w:pPr>
        <w:rPr>
          <w:rFonts w:ascii="Times New Roman" w:hAnsi="Times New Roman" w:cs="Times New Roman"/>
        </w:rPr>
      </w:pPr>
    </w:p>
    <w:p>
      <w:pPr>
        <w:jc w:val="center"/>
        <w:rPr>
          <w:rFonts w:hint="eastAsia" w:ascii="宋体" w:hAnsi="宋体" w:eastAsia="宋体" w:cs="宋体"/>
          <w:b/>
          <w:bCs/>
          <w:sz w:val="20"/>
          <w:szCs w:val="20"/>
        </w:rPr>
      </w:pPr>
      <w:r>
        <w:rPr>
          <w:rFonts w:hint="eastAsia" w:ascii="宋体" w:hAnsi="宋体" w:eastAsia="宋体" w:cs="宋体"/>
          <w:b/>
          <w:bCs/>
          <w:color w:val="000000" w:themeColor="text1"/>
          <w:sz w:val="20"/>
          <w:szCs w:val="20"/>
          <w14:textFill>
            <w14:solidFill>
              <w14:schemeClr w14:val="tx1"/>
            </w14:solidFill>
          </w14:textFill>
        </w:rPr>
        <w:t>表</w:t>
      </w:r>
      <w:r>
        <w:rPr>
          <w:rFonts w:hint="eastAsia" w:ascii="宋体" w:hAnsi="宋体" w:eastAsia="宋体" w:cs="宋体"/>
          <w:b/>
          <w:bCs/>
          <w:color w:val="000000" w:themeColor="text1"/>
          <w:sz w:val="20"/>
          <w:szCs w:val="20"/>
          <w:lang w:val="en-US" w:eastAsia="zh-CN"/>
          <w14:textFill>
            <w14:solidFill>
              <w14:schemeClr w14:val="tx1"/>
            </w14:solidFill>
          </w14:textFill>
        </w:rPr>
        <w:t>Ⅲ2</w:t>
      </w:r>
      <w:r>
        <w:rPr>
          <w:rFonts w:hint="eastAsia" w:ascii="宋体" w:hAnsi="宋体" w:eastAsia="宋体" w:cs="宋体"/>
          <w:b/>
          <w:bCs/>
          <w:color w:val="000000" w:themeColor="text1"/>
          <w:sz w:val="20"/>
          <w:szCs w:val="20"/>
          <w14:textFill>
            <w14:solidFill>
              <w14:schemeClr w14:val="tx1"/>
            </w14:solidFill>
          </w14:textFill>
        </w:rPr>
        <w:t xml:space="preserve"> </w:t>
      </w:r>
      <w:r>
        <w:rPr>
          <w:rFonts w:hint="eastAsia" w:ascii="宋体" w:hAnsi="宋体" w:eastAsia="宋体" w:cs="宋体"/>
          <w:b/>
          <w:bCs/>
          <w:color w:val="000000" w:themeColor="text1"/>
          <w:sz w:val="20"/>
          <w:szCs w:val="20"/>
          <w:lang w:val="en-US" w:eastAsia="zh-CN"/>
          <w14:textFill>
            <w14:solidFill>
              <w14:schemeClr w14:val="tx1"/>
            </w14:solidFill>
          </w14:textFill>
        </w:rPr>
        <w:t xml:space="preserve"> </w:t>
      </w:r>
      <w:r>
        <w:rPr>
          <w:rFonts w:hint="eastAsia" w:ascii="宋体" w:hAnsi="宋体" w:eastAsia="宋体" w:cs="宋体"/>
          <w:b/>
          <w:bCs/>
          <w:color w:val="000000" w:themeColor="text1"/>
          <w:sz w:val="20"/>
          <w:szCs w:val="20"/>
          <w14:textFill>
            <w14:solidFill>
              <w14:schemeClr w14:val="tx1"/>
            </w14:solidFill>
          </w14:textFill>
        </w:rPr>
        <w:t>PSM</w:t>
      </w:r>
      <w:r>
        <w:rPr>
          <w:rFonts w:hint="eastAsia" w:ascii="宋体" w:hAnsi="宋体" w:eastAsia="宋体" w:cs="宋体"/>
          <w:b/>
          <w:bCs/>
          <w:sz w:val="20"/>
          <w:szCs w:val="20"/>
        </w:rPr>
        <w:t>回归结果</w:t>
      </w:r>
    </w:p>
    <w:tbl>
      <w:tblPr>
        <w:tblStyle w:val="7"/>
        <w:tblW w:w="0" w:type="auto"/>
        <w:jc w:val="center"/>
        <w:tblLayout w:type="fixed"/>
        <w:tblCellMar>
          <w:top w:w="0" w:type="dxa"/>
          <w:left w:w="108" w:type="dxa"/>
          <w:bottom w:w="0" w:type="dxa"/>
          <w:right w:w="108" w:type="dxa"/>
        </w:tblCellMar>
      </w:tblPr>
      <w:tblGrid>
        <w:gridCol w:w="1947"/>
        <w:gridCol w:w="1152"/>
        <w:gridCol w:w="1152"/>
        <w:gridCol w:w="1440"/>
        <w:gridCol w:w="1440"/>
        <w:gridCol w:w="1296"/>
      </w:tblGrid>
      <w:tr>
        <w:tblPrEx>
          <w:tblCellMar>
            <w:top w:w="0" w:type="dxa"/>
            <w:left w:w="108" w:type="dxa"/>
            <w:bottom w:w="0" w:type="dxa"/>
            <w:right w:w="108" w:type="dxa"/>
          </w:tblCellMar>
        </w:tblPrEx>
        <w:trPr>
          <w:jc w:val="center"/>
        </w:trPr>
        <w:tc>
          <w:tcPr>
            <w:tcW w:w="1947" w:type="dxa"/>
            <w:tcBorders>
              <w:top w:val="single" w:color="auto" w:sz="6" w:space="0"/>
              <w:left w:val="nil"/>
              <w:bottom w:val="nil"/>
              <w:right w:val="nil"/>
              <w:tl2br w:val="nil"/>
              <w:tr2bl w:val="nil"/>
            </w:tcBorders>
          </w:tcPr>
          <w:p>
            <w:pPr>
              <w:rPr>
                <w:rFonts w:hint="eastAsia" w:ascii="仿宋" w:hAnsi="仿宋" w:eastAsia="仿宋" w:cs="仿宋"/>
                <w:sz w:val="18"/>
                <w:szCs w:val="18"/>
              </w:rPr>
            </w:pPr>
          </w:p>
        </w:tc>
        <w:tc>
          <w:tcPr>
            <w:tcW w:w="1152" w:type="dxa"/>
            <w:tcBorders>
              <w:top w:val="single" w:color="auto" w:sz="6" w:space="0"/>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w:t>
            </w:r>
          </w:p>
        </w:tc>
        <w:tc>
          <w:tcPr>
            <w:tcW w:w="1152" w:type="dxa"/>
            <w:tcBorders>
              <w:top w:val="single" w:color="auto" w:sz="6" w:space="0"/>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(2)</w:t>
            </w:r>
          </w:p>
        </w:tc>
        <w:tc>
          <w:tcPr>
            <w:tcW w:w="1440" w:type="dxa"/>
            <w:tcBorders>
              <w:top w:val="single" w:color="auto" w:sz="6" w:space="0"/>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(3)</w:t>
            </w:r>
          </w:p>
        </w:tc>
        <w:tc>
          <w:tcPr>
            <w:tcW w:w="1440" w:type="dxa"/>
            <w:tcBorders>
              <w:top w:val="single" w:color="auto" w:sz="6" w:space="0"/>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(4)</w:t>
            </w:r>
          </w:p>
        </w:tc>
        <w:tc>
          <w:tcPr>
            <w:tcW w:w="1296" w:type="dxa"/>
            <w:tcBorders>
              <w:top w:val="single" w:color="auto" w:sz="6" w:space="0"/>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(5)</w:t>
            </w:r>
          </w:p>
        </w:tc>
      </w:tr>
      <w:tr>
        <w:tblPrEx>
          <w:tblCellMar>
            <w:top w:w="0" w:type="dxa"/>
            <w:left w:w="108" w:type="dxa"/>
            <w:bottom w:w="0" w:type="dxa"/>
            <w:right w:w="108" w:type="dxa"/>
          </w:tblCellMar>
        </w:tblPrEx>
        <w:trPr>
          <w:jc w:val="center"/>
        </w:trPr>
        <w:tc>
          <w:tcPr>
            <w:tcW w:w="1947" w:type="dxa"/>
            <w:tcBorders>
              <w:top w:val="nil"/>
              <w:left w:val="nil"/>
              <w:bottom w:val="single" w:color="auto" w:sz="6" w:space="0"/>
              <w:right w:val="nil"/>
              <w:tl2br w:val="nil"/>
              <w:tr2bl w:val="nil"/>
            </w:tcBorders>
          </w:tcPr>
          <w:p>
            <w:pPr>
              <w:rPr>
                <w:rFonts w:hint="eastAsia" w:ascii="仿宋" w:hAnsi="仿宋" w:eastAsia="仿宋" w:cs="仿宋"/>
                <w:sz w:val="18"/>
                <w:szCs w:val="18"/>
              </w:rPr>
            </w:pPr>
            <w:r>
              <w:rPr>
                <w:rFonts w:hint="eastAsia" w:ascii="仿宋" w:hAnsi="仿宋" w:eastAsia="仿宋" w:cs="仿宋"/>
                <w:sz w:val="18"/>
                <w:szCs w:val="18"/>
              </w:rPr>
              <w:t>临近数量</w:t>
            </w:r>
          </w:p>
        </w:tc>
        <w:tc>
          <w:tcPr>
            <w:tcW w:w="1152"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1:1</w:t>
            </w:r>
          </w:p>
        </w:tc>
        <w:tc>
          <w:tcPr>
            <w:tcW w:w="1152"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1:2</w:t>
            </w:r>
          </w:p>
        </w:tc>
        <w:tc>
          <w:tcPr>
            <w:tcW w:w="1440"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1:3</w:t>
            </w:r>
          </w:p>
        </w:tc>
        <w:tc>
          <w:tcPr>
            <w:tcW w:w="1440"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1:4</w:t>
            </w:r>
          </w:p>
        </w:tc>
        <w:tc>
          <w:tcPr>
            <w:tcW w:w="1296"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1:5</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shd w:val="clear" w:color="auto" w:fill="auto"/>
          </w:tcPr>
          <w:p>
            <w:pPr>
              <w:rPr>
                <w:rFonts w:hint="eastAsia" w:ascii="仿宋" w:hAnsi="仿宋" w:eastAsia="仿宋" w:cs="仿宋"/>
                <w:i/>
                <w:iCs/>
                <w:sz w:val="18"/>
                <w:szCs w:val="18"/>
              </w:rPr>
            </w:pPr>
            <w:r>
              <w:rPr>
                <w:rFonts w:hint="eastAsia" w:ascii="仿宋" w:hAnsi="仿宋" w:eastAsia="仿宋" w:cs="仿宋"/>
                <w:i/>
                <w:iCs/>
                <w:sz w:val="18"/>
                <w:szCs w:val="18"/>
              </w:rPr>
              <w:t>shockyear</w:t>
            </w:r>
          </w:p>
        </w:tc>
        <w:tc>
          <w:tcPr>
            <w:tcW w:w="1152"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-0.091</w:t>
            </w:r>
          </w:p>
        </w:tc>
        <w:tc>
          <w:tcPr>
            <w:tcW w:w="1152"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0.014</w:t>
            </w:r>
          </w:p>
        </w:tc>
        <w:tc>
          <w:tcPr>
            <w:tcW w:w="1440"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0.132**</w:t>
            </w:r>
          </w:p>
        </w:tc>
        <w:tc>
          <w:tcPr>
            <w:tcW w:w="1440"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0.123**</w:t>
            </w:r>
          </w:p>
        </w:tc>
        <w:tc>
          <w:tcPr>
            <w:tcW w:w="1296"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0.093*</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shd w:val="clear" w:color="auto" w:fill="auto"/>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(0.106)</w:t>
            </w:r>
          </w:p>
        </w:tc>
        <w:tc>
          <w:tcPr>
            <w:tcW w:w="1152"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(0.070)</w:t>
            </w:r>
          </w:p>
        </w:tc>
        <w:tc>
          <w:tcPr>
            <w:tcW w:w="1440"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(0.062)</w:t>
            </w:r>
          </w:p>
        </w:tc>
        <w:tc>
          <w:tcPr>
            <w:tcW w:w="1440"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(0.056)</w:t>
            </w:r>
          </w:p>
        </w:tc>
        <w:tc>
          <w:tcPr>
            <w:tcW w:w="1296" w:type="dxa"/>
            <w:tcBorders>
              <w:top w:val="nil"/>
              <w:left w:val="nil"/>
              <w:bottom w:val="nil"/>
              <w:right w:val="nil"/>
              <w:tl2br w:val="nil"/>
              <w:tr2bl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(0.052)</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nation</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-0.019</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0.167*</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0.034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0.008</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-0.041</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(0.156)</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(0.098)</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(0.073)</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(0.063)</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(0.060)</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notashare</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0.149</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-0.150</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-0.295</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-0.238</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-0.167</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(0.432)</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(0.254)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(0.195)</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(0.152)</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(0.130)</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lincome</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-0.105</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-0.117</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-0.121</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-0.079</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-0.077</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(0.181)</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(0.111)</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(0.084)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(0.075)</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(0.066)</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leverage</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-0.614</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-0.440</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-0.898***</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-0.857***</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-0.531**</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(0.531)</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(0.399)</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(0.330)</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(0.247)</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(0.235)</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pb</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-0.124</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-0.187*</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-0.109</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-0.106</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-0.118*</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(0.133)</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(0.098)</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(0.083)</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(0.066)</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(0.063)</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roa</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-1.072</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-1.083</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-3.034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-4.764**</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-4.166**</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(4.956)</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(3.159)</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(2.734)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(2.170)</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(1.954)</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big4</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-0.266</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-0.199</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-0.076</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-0.134</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-0.115</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(0.354)</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(0.282)</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(0.305)</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(0.235)</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(0.216)</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assetdev</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0.784</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1.111*</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0.282</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0.105</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0.012</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(1.087)</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(0.643)</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(0.429)</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(0.392)</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(0.418)</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lpergdp</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-0.313</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-0.402</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-0.232</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-0.200</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-0.154</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(0.433)</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(0.263)</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(0.188)</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(0.141)</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(0.131)</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gdpr</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0.023</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0.007</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0.014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0.010</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0.012</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(0.020)</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(0.014)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(0.011)</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(0.009)</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(0.008)</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i/>
                <w:iCs/>
                <w:sz w:val="18"/>
                <w:szCs w:val="18"/>
              </w:rPr>
            </w:pPr>
            <w:r>
              <w:rPr>
                <w:rFonts w:hint="eastAsia" w:ascii="仿宋" w:hAnsi="仿宋" w:eastAsia="仿宋" w:cs="仿宋"/>
                <w:i/>
                <w:iCs/>
                <w:sz w:val="18"/>
                <w:szCs w:val="18"/>
              </w:rPr>
              <w:t>wasset</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1.062**</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0.511*</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0.652***</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0.450**</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0.315*</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(0.455)</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(0.309)</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(0.247)</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(0.205)</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(0.186)</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sz w:val="18"/>
                <w:szCs w:val="18"/>
              </w:rPr>
            </w:pPr>
            <w:r>
              <w:rPr>
                <w:rFonts w:hint="eastAsia" w:ascii="仿宋" w:hAnsi="仿宋" w:eastAsia="仿宋" w:cs="仿宋"/>
                <w:sz w:val="18"/>
                <w:szCs w:val="18"/>
              </w:rPr>
              <w:t>Constant</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-4.010</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2.661</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-0.344</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0.372</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0.959</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(6.289)</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(4.247)</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(3.121)</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(2.335)</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(2.080)</w:t>
            </w: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jc w:val="center"/>
        </w:trPr>
        <w:tc>
          <w:tcPr>
            <w:tcW w:w="1947" w:type="dxa"/>
            <w:tcBorders>
              <w:top w:val="nil"/>
              <w:left w:val="nil"/>
              <w:bottom w:val="nil"/>
              <w:right w:val="nil"/>
              <w:tl2br w:val="nil"/>
              <w:tr2bl w:val="nil"/>
            </w:tcBorders>
          </w:tcPr>
          <w:p>
            <w:pPr>
              <w:rPr>
                <w:rFonts w:hint="eastAsia" w:ascii="仿宋" w:hAnsi="仿宋" w:eastAsia="仿宋" w:cs="仿宋"/>
                <w:sz w:val="18"/>
                <w:szCs w:val="18"/>
              </w:rPr>
            </w:pPr>
            <w:r>
              <w:rPr>
                <w:rFonts w:hint="eastAsia" w:ascii="仿宋" w:hAnsi="仿宋" w:eastAsia="仿宋" w:cs="仿宋"/>
                <w:sz w:val="18"/>
                <w:szCs w:val="18"/>
              </w:rPr>
              <w:t>Observations</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357</w:t>
            </w:r>
          </w:p>
        </w:tc>
        <w:tc>
          <w:tcPr>
            <w:tcW w:w="1152"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706</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1,063</w:t>
            </w:r>
          </w:p>
        </w:tc>
        <w:tc>
          <w:tcPr>
            <w:tcW w:w="1440"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1,446</w:t>
            </w:r>
          </w:p>
        </w:tc>
        <w:tc>
          <w:tcPr>
            <w:tcW w:w="1296" w:type="dxa"/>
            <w:tcBorders>
              <w:top w:val="nil"/>
              <w:left w:val="nil"/>
              <w:bottom w:val="nil"/>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1,839</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47" w:type="dxa"/>
            <w:tcBorders>
              <w:top w:val="nil"/>
              <w:left w:val="nil"/>
              <w:bottom w:val="single" w:color="auto" w:sz="6" w:space="0"/>
              <w:right w:val="nil"/>
              <w:tl2br w:val="nil"/>
              <w:tr2bl w:val="nil"/>
            </w:tcBorders>
          </w:tcPr>
          <w:p>
            <w:pPr>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1152"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0.659</w:t>
            </w:r>
          </w:p>
        </w:tc>
        <w:tc>
          <w:tcPr>
            <w:tcW w:w="1152"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0.630</w:t>
            </w:r>
          </w:p>
        </w:tc>
        <w:tc>
          <w:tcPr>
            <w:tcW w:w="1440"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0.607</w:t>
            </w:r>
          </w:p>
        </w:tc>
        <w:tc>
          <w:tcPr>
            <w:tcW w:w="1440"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0.597</w:t>
            </w:r>
          </w:p>
        </w:tc>
        <w:tc>
          <w:tcPr>
            <w:tcW w:w="1296" w:type="dxa"/>
            <w:tcBorders>
              <w:top w:val="nil"/>
              <w:left w:val="nil"/>
              <w:bottom w:val="single" w:color="auto" w:sz="6" w:space="0"/>
              <w:right w:val="nil"/>
              <w:tl2br w:val="nil"/>
              <w:tr2bl w:val="nil"/>
            </w:tcBorders>
          </w:tcPr>
          <w:p>
            <w:pPr>
              <w:jc w:val="center"/>
              <w:rPr>
                <w:rFonts w:hint="eastAsia" w:ascii="仿宋" w:hAnsi="仿宋" w:eastAsia="仿宋" w:cs="仿宋"/>
                <w:sz w:val="18"/>
                <w:szCs w:val="18"/>
              </w:rPr>
            </w:pPr>
            <w:r>
              <w:rPr>
                <w:rFonts w:hint="eastAsia" w:ascii="仿宋" w:hAnsi="仿宋" w:eastAsia="仿宋" w:cs="仿宋"/>
                <w:sz w:val="18"/>
                <w:szCs w:val="18"/>
              </w:rPr>
              <w:t>0.572</w:t>
            </w:r>
          </w:p>
        </w:tc>
      </w:tr>
    </w:tbl>
    <w:p>
      <w:pPr>
        <w:spacing w:line="264" w:lineRule="auto"/>
        <w:ind w:firstLine="42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注：***代表</w:t>
      </w:r>
      <w:r>
        <w:rPr>
          <w:rFonts w:hint="eastAsia" w:ascii="仿宋" w:hAnsi="仿宋" w:eastAsia="仿宋" w:cs="仿宋"/>
          <w:i/>
          <w:iCs/>
          <w:color w:val="000000" w:themeColor="text1"/>
          <w:sz w:val="18"/>
          <w:szCs w:val="18"/>
          <w14:textFill>
            <w14:solidFill>
              <w14:schemeClr w14:val="tx1"/>
            </w14:solidFill>
          </w14:textFill>
        </w:rPr>
        <w:t>p</w:t>
      </w:r>
      <w:r>
        <w:rPr>
          <w:rFonts w:hint="eastAsia" w:ascii="仿宋" w:hAnsi="仿宋" w:eastAsia="仿宋" w:cs="仿宋"/>
          <w:color w:val="000000" w:themeColor="text1"/>
          <w:sz w:val="18"/>
          <w:szCs w:val="18"/>
          <w14:textFill>
            <w14:solidFill>
              <w14:schemeClr w14:val="tx1"/>
            </w14:solidFill>
          </w14:textFill>
        </w:rPr>
        <w:t>&lt;0.01。固定效应中的Y表示已控制。控制变量中的Y表示已加入。括号内展示公司聚类标准误。</w:t>
      </w:r>
    </w:p>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r>
        <w:rPr>
          <w:rFonts w:ascii="Times New Roman" w:hAnsi="Times New Roman" w:eastAsia="仿宋" w:cs="Times New Roman"/>
        </w:rPr>
        <w:t>结果显示，1:1,1:2的临近匹配的核心系数都没有显著，而1:3及以上的结果都显著。</w:t>
      </w:r>
      <w:r>
        <w:rPr>
          <w:rFonts w:hint="eastAsia" w:ascii="Times New Roman" w:hAnsi="Times New Roman" w:eastAsia="仿宋" w:cs="Times New Roman"/>
        </w:rPr>
        <w:t>这其中的主要</w:t>
      </w:r>
      <w:r>
        <w:rPr>
          <w:rFonts w:ascii="Times New Roman" w:hAnsi="Times New Roman" w:eastAsia="仿宋" w:cs="Times New Roman"/>
        </w:rPr>
        <w:t>原因</w:t>
      </w:r>
      <w:r>
        <w:rPr>
          <w:rFonts w:hint="eastAsia" w:ascii="Times New Roman" w:hAnsi="Times New Roman" w:eastAsia="仿宋" w:cs="Times New Roman"/>
        </w:rPr>
        <w:t>是</w:t>
      </w:r>
      <w:r>
        <w:rPr>
          <w:rFonts w:ascii="Times New Roman" w:hAnsi="Times New Roman" w:eastAsia="仿宋" w:cs="Times New Roman"/>
        </w:rPr>
        <w:t>，临近匹配数量越多，样本选择带来的差异（variance）就会越小（Caliendo and Kopeinig, 2008）。上述的回归结果也应证了这一观点，因为随着临近数量的变大，系数的标准误也越来越小。与此同时，由于基准回归中受到反倾销的企业观测量本身就很少，而且出于数据的特殊性，本文并不是一个DID型的回归，1:1的匹配很容易使得面板数据的固定效应丢掉大量的观测量（例如只有一年或者一个观测量企业的观测量无法计算固定效应当中必要的均值组群（fixed effect groups），使得1:1或者1:2匹配出现严重的观测量丢失问题，无法确定这些回归是否足够无偏与有效。因此，在权衡临近数量的多少之后，认为1:3这一临近数量相对比较合理。</w:t>
      </w:r>
    </w:p>
    <w:p>
      <w:pPr>
        <w:ind w:firstLine="420" w:firstLineChars="200"/>
        <w:rPr>
          <w:rFonts w:ascii="Times New Roman" w:hAnsi="Times New Roman" w:eastAsia="仿宋" w:cs="Times New Roman"/>
        </w:rPr>
      </w:pPr>
      <w:r>
        <w:rPr>
          <w:rFonts w:ascii="Times New Roman" w:hAnsi="Times New Roman" w:eastAsia="仿宋" w:cs="Times New Roman"/>
        </w:rPr>
        <w:t>在过往使用PSM的文献当中，大多数的文献使用的是kernel方法。出于此处检验的要求，上述回归只能使用临近匹配，而使用这种严格的精确匹配的文献当中，也使用了1对多的匹配（田利辉和王可第，2017），Caliendo and Kopeinig（2008）也推荐使用1对多的匹配在缓解1:1匹配中较大的差异，使得估计结果更加精确。</w:t>
      </w:r>
    </w:p>
    <w:p>
      <w:pPr>
        <w:rPr>
          <w:rFonts w:ascii="Times New Roman" w:hAnsi="Times New Roman" w:cs="Times New Roman"/>
        </w:rPr>
      </w:pPr>
    </w:p>
    <w:p>
      <w:pPr>
        <w:jc w:val="center"/>
        <w:rPr>
          <w:rFonts w:hint="eastAsia" w:ascii="楷体" w:hAnsi="楷体" w:eastAsia="楷体" w:cs="楷体"/>
          <w:sz w:val="28"/>
          <w:szCs w:val="28"/>
        </w:rPr>
      </w:pPr>
      <w:r>
        <w:rPr>
          <w:rFonts w:hint="eastAsia" w:ascii="楷体" w:hAnsi="楷体" w:eastAsia="楷体" w:cs="楷体"/>
          <w:sz w:val="28"/>
          <w:szCs w:val="28"/>
        </w:rPr>
        <w:t>参考文献</w:t>
      </w:r>
    </w:p>
    <w:p>
      <w:pPr>
        <w:numPr>
          <w:ilvl w:val="0"/>
          <w:numId w:val="1"/>
        </w:numPr>
        <w:rPr>
          <w:rFonts w:hint="eastAsia" w:ascii="仿宋" w:hAnsi="仿宋" w:eastAsia="仿宋" w:cs="仿宋"/>
        </w:rPr>
      </w:pPr>
      <w:r>
        <w:rPr>
          <w:rFonts w:hint="eastAsia" w:ascii="仿宋" w:hAnsi="仿宋" w:eastAsia="仿宋" w:cs="仿宋"/>
        </w:rPr>
        <w:t>田利辉、王可第, “社会责任信息披露的</w:t>
      </w:r>
      <w:r>
        <w:rPr>
          <w:rFonts w:hint="eastAsia" w:ascii="仿宋" w:hAnsi="仿宋" w:eastAsia="仿宋" w:cs="仿宋"/>
          <w:lang w:eastAsia="zh-CN"/>
        </w:rPr>
        <w:t>‘</w:t>
      </w:r>
      <w:r>
        <w:rPr>
          <w:rFonts w:hint="eastAsia" w:ascii="仿宋" w:hAnsi="仿宋" w:eastAsia="仿宋" w:cs="仿宋"/>
        </w:rPr>
        <w:t>掩饰效应</w:t>
      </w:r>
      <w:r>
        <w:rPr>
          <w:rFonts w:hint="eastAsia" w:ascii="仿宋" w:hAnsi="仿宋" w:eastAsia="仿宋" w:cs="仿宋"/>
          <w:lang w:eastAsia="zh-CN"/>
        </w:rPr>
        <w:t>’</w:t>
      </w:r>
      <w:r>
        <w:rPr>
          <w:rFonts w:hint="eastAsia" w:ascii="仿宋" w:hAnsi="仿宋" w:eastAsia="仿宋" w:cs="仿宋"/>
        </w:rPr>
        <w:t>和上市公司崩盘风险——来自中国股票市场的DID</w:t>
      </w:r>
      <w:r>
        <w:rPr>
          <w:rFonts w:hint="eastAsia" w:ascii="仿宋" w:hAnsi="仿宋" w:eastAsia="仿宋" w:cs="仿宋"/>
          <w:lang w:val="en-US" w:eastAsia="zh-CN"/>
        </w:rPr>
        <w:t>-</w:t>
      </w:r>
      <w:r>
        <w:rPr>
          <w:rFonts w:hint="eastAsia" w:ascii="仿宋" w:hAnsi="仿宋" w:eastAsia="仿宋" w:cs="仿宋"/>
        </w:rPr>
        <w:t>PSM分析”,《管理世界》, 2017年第11期, 第146-157页。</w:t>
      </w:r>
    </w:p>
    <w:p>
      <w:pPr>
        <w:numPr>
          <w:ilvl w:val="0"/>
          <w:numId w:val="1"/>
        </w:numPr>
        <w:rPr>
          <w:rFonts w:hint="eastAsia" w:ascii="仿宋" w:hAnsi="仿宋" w:eastAsia="仿宋" w:cs="仿宋"/>
        </w:rPr>
      </w:pPr>
      <w:r>
        <w:rPr>
          <w:rFonts w:hint="eastAsia" w:ascii="仿宋" w:hAnsi="仿宋" w:eastAsia="仿宋" w:cs="仿宋"/>
        </w:rPr>
        <w:t>Caliendo, M.,</w:t>
      </w:r>
      <w:r>
        <w:rPr>
          <w:rFonts w:hint="eastAsia" w:ascii="仿宋" w:hAnsi="仿宋" w:eastAsia="仿宋" w:cs="仿宋"/>
          <w:lang w:val="en-US" w:eastAsia="zh-CN"/>
        </w:rPr>
        <w:t>and</w:t>
      </w:r>
      <w:r>
        <w:rPr>
          <w:rFonts w:hint="eastAsia" w:ascii="仿宋" w:hAnsi="仿宋" w:eastAsia="仿宋" w:cs="仿宋"/>
        </w:rPr>
        <w:t xml:space="preserve"> S.</w:t>
      </w:r>
      <w:r>
        <w:rPr>
          <w:rFonts w:hint="eastAsia" w:ascii="仿宋" w:hAnsi="仿宋" w:eastAsia="仿宋" w:cs="仿宋"/>
          <w:lang w:val="en-US" w:eastAsia="zh-CN"/>
        </w:rPr>
        <w:t xml:space="preserve"> </w:t>
      </w:r>
      <w:r>
        <w:rPr>
          <w:rFonts w:hint="eastAsia" w:ascii="仿宋" w:hAnsi="仿宋" w:eastAsia="仿宋" w:cs="仿宋"/>
        </w:rPr>
        <w:t>Kopeinig</w:t>
      </w:r>
      <w:r>
        <w:rPr>
          <w:rFonts w:hint="eastAsia" w:ascii="仿宋" w:hAnsi="仿宋" w:eastAsia="仿宋" w:cs="仿宋"/>
          <w:lang w:val="en-US" w:eastAsia="zh-CN"/>
        </w:rPr>
        <w:t>,</w:t>
      </w:r>
      <w:r>
        <w:rPr>
          <w:rFonts w:hint="eastAsia" w:ascii="仿宋" w:hAnsi="仿宋" w:eastAsia="仿宋" w:cs="仿宋"/>
        </w:rPr>
        <w:t xml:space="preserve">“Some Practical Guidance </w:t>
      </w:r>
      <w:r>
        <w:rPr>
          <w:rFonts w:hint="eastAsia" w:ascii="仿宋" w:hAnsi="仿宋" w:eastAsia="仿宋" w:cs="仿宋"/>
          <w:lang w:val="en-US" w:eastAsia="zh-CN"/>
        </w:rPr>
        <w:t>f</w:t>
      </w:r>
      <w:r>
        <w:rPr>
          <w:rFonts w:hint="eastAsia" w:ascii="仿宋" w:hAnsi="仿宋" w:eastAsia="仿宋" w:cs="仿宋"/>
        </w:rPr>
        <w:t xml:space="preserve">or </w:t>
      </w:r>
      <w:r>
        <w:rPr>
          <w:rFonts w:hint="eastAsia" w:ascii="仿宋" w:hAnsi="仿宋" w:eastAsia="仿宋" w:cs="仿宋"/>
          <w:lang w:val="en-US" w:eastAsia="zh-CN"/>
        </w:rPr>
        <w:t>t</w:t>
      </w:r>
      <w:r>
        <w:rPr>
          <w:rFonts w:hint="eastAsia" w:ascii="仿宋" w:hAnsi="仿宋" w:eastAsia="仿宋" w:cs="仿宋"/>
        </w:rPr>
        <w:t xml:space="preserve">he Implementation </w:t>
      </w:r>
      <w:r>
        <w:rPr>
          <w:rFonts w:hint="eastAsia" w:ascii="仿宋" w:hAnsi="仿宋" w:eastAsia="仿宋" w:cs="仿宋"/>
          <w:lang w:val="en-US" w:eastAsia="zh-CN"/>
        </w:rPr>
        <w:t>o</w:t>
      </w:r>
      <w:r>
        <w:rPr>
          <w:rFonts w:hint="eastAsia" w:ascii="仿宋" w:hAnsi="仿宋" w:eastAsia="仿宋" w:cs="仿宋"/>
        </w:rPr>
        <w:t>f Propensity Score Matching”</w:t>
      </w:r>
      <w:r>
        <w:rPr>
          <w:rFonts w:hint="eastAsia" w:ascii="仿宋" w:hAnsi="仿宋" w:eastAsia="仿宋" w:cs="仿宋"/>
          <w:lang w:val="en-US" w:eastAsia="zh-CN"/>
        </w:rPr>
        <w:t>,</w:t>
      </w:r>
      <w:r>
        <w:rPr>
          <w:rFonts w:hint="eastAsia" w:ascii="仿宋" w:hAnsi="仿宋" w:eastAsia="仿宋" w:cs="仿宋"/>
        </w:rPr>
        <w:t xml:space="preserve"> </w:t>
      </w:r>
      <w:r>
        <w:rPr>
          <w:rFonts w:hint="eastAsia" w:ascii="仿宋" w:hAnsi="仿宋" w:eastAsia="仿宋" w:cs="仿宋"/>
          <w:i/>
          <w:iCs/>
        </w:rPr>
        <w:t>Journal of Economic Surveys</w:t>
      </w:r>
      <w:r>
        <w:rPr>
          <w:rFonts w:hint="eastAsia" w:ascii="仿宋" w:hAnsi="仿宋" w:eastAsia="仿宋" w:cs="仿宋"/>
        </w:rPr>
        <w:t>, 2008, 22(1), 31-72.</w:t>
      </w:r>
    </w:p>
    <w:p>
      <w:pPr>
        <w:rPr>
          <w:rStyle w:val="10"/>
          <w:rFonts w:ascii="Times New Roman" w:hAnsi="Times New Roman" w:eastAsia="仿宋" w:cs="Times New Roman"/>
        </w:rPr>
      </w:pPr>
    </w:p>
    <w:p>
      <w:pPr>
        <w:rPr>
          <w:rStyle w:val="10"/>
          <w:rFonts w:ascii="Times New Roman" w:hAnsi="Times New Roman" w:eastAsia="仿宋" w:cs="Times New Roman"/>
        </w:rPr>
      </w:pPr>
    </w:p>
    <w:p>
      <w:pPr>
        <w:rPr>
          <w:rStyle w:val="10"/>
          <w:rFonts w:ascii="Times New Roman" w:hAnsi="Times New Roman" w:eastAsia="仿宋" w:cs="Times New Roma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rPr>
          <w:rStyle w:val="10"/>
          <w:rFonts w:ascii="Times New Roman" w:hAnsi="Times New Roman" w:eastAsia="仿宋" w:cs="Times New Roma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2023年第5期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99C60"/>
    <w:multiLevelType w:val="singleLevel"/>
    <w:tmpl w:val="C6F99C6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TY5MzAxODJhZDAxMGMwZGQwZTA0ZDg0NjA2ZDkifQ=="/>
  </w:docVars>
  <w:rsids>
    <w:rsidRoot w:val="10585DEA"/>
    <w:rsid w:val="00001A8B"/>
    <w:rsid w:val="001230E7"/>
    <w:rsid w:val="004163E5"/>
    <w:rsid w:val="00645803"/>
    <w:rsid w:val="0082095C"/>
    <w:rsid w:val="00822727"/>
    <w:rsid w:val="00C94387"/>
    <w:rsid w:val="00EF1AB4"/>
    <w:rsid w:val="00FB252F"/>
    <w:rsid w:val="02602EF3"/>
    <w:rsid w:val="034F0AEC"/>
    <w:rsid w:val="091026C2"/>
    <w:rsid w:val="0BC47D21"/>
    <w:rsid w:val="0CAD246E"/>
    <w:rsid w:val="10153A2B"/>
    <w:rsid w:val="10585DEA"/>
    <w:rsid w:val="12D731FD"/>
    <w:rsid w:val="16615CB5"/>
    <w:rsid w:val="167E7957"/>
    <w:rsid w:val="1AA020AE"/>
    <w:rsid w:val="1FC84355"/>
    <w:rsid w:val="26DF1B6E"/>
    <w:rsid w:val="27284D09"/>
    <w:rsid w:val="2C8308F9"/>
    <w:rsid w:val="2E115C55"/>
    <w:rsid w:val="2E9E7231"/>
    <w:rsid w:val="2F310C00"/>
    <w:rsid w:val="2F3311E1"/>
    <w:rsid w:val="332E3A59"/>
    <w:rsid w:val="34527647"/>
    <w:rsid w:val="34611E06"/>
    <w:rsid w:val="374B70BC"/>
    <w:rsid w:val="3B533997"/>
    <w:rsid w:val="3BA47F47"/>
    <w:rsid w:val="3CC72D31"/>
    <w:rsid w:val="492F19EC"/>
    <w:rsid w:val="4A7B1B7E"/>
    <w:rsid w:val="4B823AEA"/>
    <w:rsid w:val="4C856040"/>
    <w:rsid w:val="4FC44CA7"/>
    <w:rsid w:val="53A92F5C"/>
    <w:rsid w:val="541A66DF"/>
    <w:rsid w:val="56B52FDF"/>
    <w:rsid w:val="5C517C01"/>
    <w:rsid w:val="64126380"/>
    <w:rsid w:val="6A164324"/>
    <w:rsid w:val="6C975BF0"/>
    <w:rsid w:val="6D1103EE"/>
    <w:rsid w:val="73852C46"/>
    <w:rsid w:val="739E1612"/>
    <w:rsid w:val="764F753B"/>
    <w:rsid w:val="78032F7A"/>
    <w:rsid w:val="78B30B59"/>
    <w:rsid w:val="7A9B0DA6"/>
    <w:rsid w:val="7CD454A1"/>
    <w:rsid w:val="7E3A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9"/>
    <w:pPr>
      <w:keepNext/>
      <w:keepLines/>
      <w:spacing w:before="260" w:after="260" w:line="412" w:lineRule="auto"/>
      <w:outlineLvl w:val="2"/>
    </w:pPr>
    <w:rPr>
      <w:rFonts w:ascii="Times New Roman" w:hAnsi="Times New Roman" w:eastAsia="宋体" w:cs="Times New Roman"/>
      <w:b/>
      <w:bCs/>
      <w:kern w:val="0"/>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paragraph" w:customStyle="1" w:styleId="11">
    <w:name w:val="WPSOffice手动目录 1"/>
    <w:qFormat/>
    <w:uiPriority w:val="0"/>
    <w:rPr>
      <w:rFonts w:ascii="Times New Roman" w:hAnsi="Times New Roman" w:eastAsia="宋体" w:cs="Times New Roman"/>
      <w:lang w:val="en-US" w:eastAsia="zh-CN" w:bidi="ar-SA"/>
    </w:rPr>
  </w:style>
  <w:style w:type="character" w:customStyle="1" w:styleId="12">
    <w:name w:val="页眉 字符"/>
    <w:basedOn w:val="9"/>
    <w:link w:val="4"/>
    <w:qFormat/>
    <w:uiPriority w:val="0"/>
    <w:rPr>
      <w:rFonts w:asciiTheme="minorHAnsi" w:hAnsiTheme="minorHAnsi" w:eastAsiaTheme="minorEastAsia" w:cstheme="minorBidi"/>
      <w:kern w:val="2"/>
      <w:sz w:val="18"/>
      <w:szCs w:val="18"/>
    </w:rPr>
  </w:style>
  <w:style w:type="character" w:customStyle="1" w:styleId="13">
    <w:name w:val="页脚 字符"/>
    <w:basedOn w:val="9"/>
    <w:link w:val="3"/>
    <w:qFormat/>
    <w:uiPriority w:val="99"/>
    <w:rPr>
      <w:rFonts w:asciiTheme="minorHAnsi" w:hAnsiTheme="minorHAnsi" w:eastAsiaTheme="minorEastAsia" w:cstheme="minorBidi"/>
      <w:kern w:val="2"/>
      <w:sz w:val="18"/>
      <w:szCs w:val="18"/>
    </w:rPr>
  </w:style>
  <w:style w:type="paragraph" w:customStyle="1" w:styleId="14">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7.png"/><Relationship Id="rId41" Type="http://schemas.openxmlformats.org/officeDocument/2006/relationships/image" Target="media/image16.wmf"/><Relationship Id="rId40" Type="http://schemas.openxmlformats.org/officeDocument/2006/relationships/oleObject" Target="embeddings/oleObject20.bin"/><Relationship Id="rId4" Type="http://schemas.openxmlformats.org/officeDocument/2006/relationships/footer" Target="footer1.xml"/><Relationship Id="rId39" Type="http://schemas.openxmlformats.org/officeDocument/2006/relationships/image" Target="media/image15.wmf"/><Relationship Id="rId38" Type="http://schemas.openxmlformats.org/officeDocument/2006/relationships/oleObject" Target="embeddings/oleObject19.bin"/><Relationship Id="rId37" Type="http://schemas.openxmlformats.org/officeDocument/2006/relationships/image" Target="media/image14.wmf"/><Relationship Id="rId36" Type="http://schemas.openxmlformats.org/officeDocument/2006/relationships/oleObject" Target="embeddings/oleObject18.bin"/><Relationship Id="rId35" Type="http://schemas.openxmlformats.org/officeDocument/2006/relationships/image" Target="media/image13.wmf"/><Relationship Id="rId34" Type="http://schemas.openxmlformats.org/officeDocument/2006/relationships/oleObject" Target="embeddings/oleObject17.bin"/><Relationship Id="rId33" Type="http://schemas.openxmlformats.org/officeDocument/2006/relationships/image" Target="media/image12.wmf"/><Relationship Id="rId32" Type="http://schemas.openxmlformats.org/officeDocument/2006/relationships/oleObject" Target="embeddings/oleObject16.bin"/><Relationship Id="rId31" Type="http://schemas.openxmlformats.org/officeDocument/2006/relationships/image" Target="media/image11.wmf"/><Relationship Id="rId30" Type="http://schemas.openxmlformats.org/officeDocument/2006/relationships/oleObject" Target="embeddings/oleObject15.bin"/><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image" Target="media/image10.wmf"/><Relationship Id="rId27" Type="http://schemas.openxmlformats.org/officeDocument/2006/relationships/oleObject" Target="embeddings/oleObject13.bin"/><Relationship Id="rId26" Type="http://schemas.openxmlformats.org/officeDocument/2006/relationships/image" Target="media/image9.wmf"/><Relationship Id="rId25" Type="http://schemas.openxmlformats.org/officeDocument/2006/relationships/oleObject" Target="embeddings/oleObject12.bin"/><Relationship Id="rId24" Type="http://schemas.openxmlformats.org/officeDocument/2006/relationships/image" Target="media/image8.wmf"/><Relationship Id="rId23" Type="http://schemas.openxmlformats.org/officeDocument/2006/relationships/oleObject" Target="embeddings/oleObject11.bin"/><Relationship Id="rId22" Type="http://schemas.openxmlformats.org/officeDocument/2006/relationships/image" Target="media/image7.wmf"/><Relationship Id="rId21" Type="http://schemas.openxmlformats.org/officeDocument/2006/relationships/oleObject" Target="embeddings/oleObject10.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5.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image" Target="media/image3.wmf"/><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7</Pages>
  <Words>1764</Words>
  <Characters>3701</Characters>
  <Lines>39</Lines>
  <Paragraphs>11</Paragraphs>
  <TotalTime>0</TotalTime>
  <ScaleCrop>false</ScaleCrop>
  <LinksUpToDate>false</LinksUpToDate>
  <CharactersWithSpaces>3930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2023-09-07T02:13:00Z</dcterms:created>
  <dc:creator>叶梓南Yip Zinaam</dc:creator>
  <cp:lastModifiedBy>刘京</cp:lastModifiedBy>
  <dcterms:modified xsi:type="dcterms:W3CDTF">2023-09-19T10:15:59Z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048444A6FB404106B6CD0AC7B3BD869F_13</vt:lpwstr>
  </property>
</Properties>
</file>