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公共托幼服务对生育意愿的影响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——基于断点回归的经验证据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" w:cs="Times New Roman"/>
          <w:sz w:val="40"/>
          <w:szCs w:val="40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陈</w:t>
      </w:r>
      <w:r>
        <w:rPr>
          <w:rFonts w:ascii="楷体" w:hAnsi="楷体" w:eastAsia="楷体" w:cs="Times New Roman"/>
          <w:sz w:val="28"/>
          <w:szCs w:val="28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</w:rPr>
        <w:t>梅</w:t>
      </w:r>
      <w:r>
        <w:rPr>
          <w:rFonts w:ascii="楷体" w:hAnsi="楷体" w:eastAsia="楷体" w:cs="Times New Roman"/>
          <w:sz w:val="28"/>
          <w:szCs w:val="28"/>
        </w:rPr>
        <w:t xml:space="preserve"> 张梦皙 石智雷</w:t>
      </w:r>
    </w:p>
    <w:p>
      <w:pPr>
        <w:jc w:val="center"/>
        <w:rPr>
          <w:rFonts w:ascii="Times New Roman" w:hAnsi="Times New Roman" w:eastAsia="仿宋" w:cs="Times New Roman"/>
          <w:sz w:val="40"/>
          <w:szCs w:val="40"/>
        </w:rPr>
      </w:pP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 </w:instrText>
      </w:r>
      <w:r>
        <w:rPr>
          <w:rFonts w:hint="eastAsia" w:ascii="仿宋" w:hAnsi="仿宋" w:eastAsia="仿宋"/>
        </w:rPr>
        <w:instrText xml:space="preserve">TOC \o "1-1" \h \z \u</w:instrText>
      </w:r>
      <w:r>
        <w:rPr>
          <w:rFonts w:ascii="仿宋" w:hAnsi="仿宋" w:eastAsia="仿宋"/>
        </w:rPr>
        <w:instrText xml:space="preserve"> </w:instrText>
      </w:r>
      <w:r>
        <w:rPr>
          <w:rFonts w:ascii="仿宋" w:hAnsi="仿宋" w:eastAsia="仿宋"/>
        </w:rPr>
        <w:fldChar w:fldCharType="separate"/>
      </w:r>
    </w:p>
    <w:p>
      <w:pPr>
        <w:bidi w:val="0"/>
        <w:jc w:val="left"/>
        <w:rPr>
          <w:rFonts w:ascii="仿宋" w:hAnsi="仿宋" w:eastAsia="仿宋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</w:rPr>
        <w:fldChar w:fldCharType="end"/>
      </w:r>
    </w:p>
    <w:p>
      <w:pPr>
        <w:bidi w:val="0"/>
        <w:jc w:val="left"/>
        <w:rPr>
          <w:rFonts w:ascii="仿宋" w:hAnsi="仿宋" w:eastAsia="仿宋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32"/>
        </w:rPr>
      </w:pPr>
      <w:bookmarkStart w:id="0" w:name="_Toc150422257"/>
      <w:r>
        <w:rPr>
          <w:rFonts w:hint="eastAsia" w:ascii="楷体" w:hAnsi="楷体" w:eastAsia="楷体" w:cs="楷体"/>
          <w:sz w:val="28"/>
          <w:szCs w:val="32"/>
        </w:rPr>
        <w:t>附录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I</w:t>
      </w:r>
      <w:r>
        <w:rPr>
          <w:rFonts w:hint="eastAsia" w:ascii="楷体" w:hAnsi="楷体" w:eastAsia="楷体" w:cs="楷体"/>
          <w:sz w:val="28"/>
          <w:szCs w:val="32"/>
        </w:rPr>
        <w:t xml:space="preserve"> 附表及附图</w:t>
      </w:r>
      <w:bookmarkEnd w:id="0"/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3422650" cy="2489200"/>
            <wp:effectExtent l="0" t="0" r="635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629" cy="250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图A1  孩子出生时间核密度图</w:t>
      </w:r>
    </w:p>
    <w:p>
      <w:pPr>
        <w:ind w:firstLine="400" w:firstLineChars="200"/>
        <w:rPr>
          <w:rFonts w:ascii="仿宋" w:hAnsi="仿宋" w:eastAsia="仿宋"/>
          <w:sz w:val="20"/>
          <w:szCs w:val="22"/>
        </w:rPr>
      </w:pPr>
      <w:r>
        <w:rPr>
          <w:rFonts w:hint="eastAsia" w:ascii="仿宋" w:hAnsi="仿宋" w:eastAsia="仿宋"/>
          <w:sz w:val="20"/>
          <w:szCs w:val="22"/>
        </w:rPr>
        <w:t>注：上图是根据M</w:t>
      </w:r>
      <w:r>
        <w:rPr>
          <w:rFonts w:ascii="仿宋" w:hAnsi="仿宋" w:eastAsia="仿宋"/>
          <w:sz w:val="20"/>
          <w:szCs w:val="22"/>
        </w:rPr>
        <w:t>cCrary</w:t>
      </w:r>
      <w:r>
        <w:rPr>
          <w:rFonts w:hint="eastAsia" w:ascii="仿宋" w:hAnsi="仿宋" w:eastAsia="仿宋"/>
          <w:sz w:val="20"/>
          <w:szCs w:val="22"/>
        </w:rPr>
        <w:t>（2</w:t>
      </w:r>
      <w:r>
        <w:rPr>
          <w:rFonts w:ascii="仿宋" w:hAnsi="仿宋" w:eastAsia="仿宋"/>
          <w:sz w:val="20"/>
          <w:szCs w:val="22"/>
        </w:rPr>
        <w:t>008</w:t>
      </w:r>
      <w:r>
        <w:rPr>
          <w:rFonts w:hint="eastAsia" w:ascii="仿宋" w:hAnsi="仿宋" w:eastAsia="仿宋"/>
          <w:sz w:val="20"/>
          <w:szCs w:val="22"/>
        </w:rPr>
        <w:t>）建议的程序DCdensity所绘制的，断点前后拟合曲线的置信区间是9</w:t>
      </w:r>
      <w:r>
        <w:rPr>
          <w:rFonts w:ascii="仿宋" w:hAnsi="仿宋" w:eastAsia="仿宋"/>
          <w:sz w:val="20"/>
          <w:szCs w:val="22"/>
        </w:rPr>
        <w:t>5%</w:t>
      </w:r>
      <w:r>
        <w:rPr>
          <w:rFonts w:hint="eastAsia" w:ascii="仿宋" w:hAnsi="仿宋" w:eastAsia="仿宋"/>
          <w:sz w:val="20"/>
          <w:szCs w:val="22"/>
        </w:rPr>
        <w:t>。</w:t>
      </w:r>
    </w:p>
    <w:p>
      <w:pPr>
        <w:ind w:firstLine="420" w:firstLineChars="200"/>
        <w:rPr>
          <w:rFonts w:ascii="仿宋" w:hAnsi="仿宋" w:eastAsia="仿宋"/>
          <w:szCs w:val="24"/>
        </w:rPr>
      </w:pPr>
    </w:p>
    <w:p>
      <w:pPr>
        <w:ind w:firstLine="420" w:firstLineChars="200"/>
        <w:rPr>
          <w:rFonts w:ascii="仿宋" w:hAnsi="仿宋" w:eastAsia="仿宋"/>
          <w:szCs w:val="24"/>
        </w:rPr>
      </w:pPr>
    </w:p>
    <w:p>
      <w:pPr>
        <w:ind w:firstLine="420" w:firstLineChars="200"/>
        <w:rPr>
          <w:rFonts w:hint="eastAsia" w:ascii="仿宋" w:hAnsi="仿宋" w:eastAsia="仿宋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表A1  前定变量的连续性检验</w:t>
      </w:r>
    </w:p>
    <w:tbl>
      <w:tblPr>
        <w:tblStyle w:val="8"/>
        <w:tblW w:w="708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275"/>
        <w:gridCol w:w="1276"/>
        <w:gridCol w:w="12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年龄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受教育程度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一孩出生于断点前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018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102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076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996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085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057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403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295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最优带宽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119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727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兄弟姐妹数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总收入对数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住房面积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一孩性别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一孩出生于断点前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085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239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142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346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3.561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805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098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165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最优带宽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119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393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119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848</w:t>
            </w:r>
          </w:p>
        </w:tc>
      </w:tr>
    </w:tbl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注：括号里的数字是家庭聚类稳健标准误，最优带宽采用交叉验证法计算，内核选择三角内核。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="仿宋" w:hAnsi="仿宋" w:eastAsia="仿宋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表A2  加入前定变量的RDD估计结果</w:t>
      </w:r>
    </w:p>
    <w:tbl>
      <w:tblPr>
        <w:tblStyle w:val="8"/>
        <w:tblW w:w="870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估计量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及设定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（1）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（3）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（4）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（5）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（6）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LATE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182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vertAlign w:val="superscript"/>
              </w:rPr>
              <w:t>*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098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234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vertAlign w:val="superscript"/>
              </w:rPr>
              <w:t>*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133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515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vertAlign w:val="superscript"/>
              </w:rPr>
              <w:t>**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215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153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vertAlign w:val="superscript"/>
              </w:rPr>
              <w:t>*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086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160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114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379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vertAlign w:val="superscript"/>
              </w:rPr>
              <w:t>**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182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内核选择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三角内核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三角内核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三角内核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矩形内核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矩形内核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矩形内核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带宽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119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161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173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727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2938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2042</w:t>
            </w:r>
          </w:p>
        </w:tc>
      </w:tr>
    </w:tbl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注：括号里的数字是家庭聚类稳健标准误，***、**和*分别表示在1%、5%和1</w:t>
      </w:r>
      <w:r>
        <w:rPr>
          <w:rFonts w:ascii="仿宋" w:hAnsi="仿宋" w:eastAsia="仿宋"/>
          <w:sz w:val="18"/>
          <w:szCs w:val="18"/>
        </w:rPr>
        <w:t>0</w:t>
      </w:r>
      <w:r>
        <w:rPr>
          <w:rFonts w:hint="eastAsia" w:ascii="仿宋" w:hAnsi="仿宋" w:eastAsia="仿宋"/>
          <w:sz w:val="18"/>
          <w:szCs w:val="18"/>
        </w:rPr>
        <w:t>%的统计水平上显著。</w:t>
      </w: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宋体"/>
          <w:kern w:val="0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表A3  基于其他假想断点的RDD估计结果</w:t>
      </w:r>
    </w:p>
    <w:tbl>
      <w:tblPr>
        <w:tblStyle w:val="8"/>
        <w:tblW w:w="850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虚拟断点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3.3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.6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（1）</w:t>
            </w: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（3）</w:t>
            </w: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（4）</w:t>
            </w: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（5）</w:t>
            </w:r>
          </w:p>
        </w:tc>
        <w:tc>
          <w:tcPr>
            <w:tcW w:w="1191" w:type="dxa"/>
            <w:tcBorders>
              <w:top w:val="nil"/>
              <w:bottom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（6）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LATE</w:t>
            </w:r>
          </w:p>
        </w:tc>
        <w:tc>
          <w:tcPr>
            <w:tcW w:w="1191" w:type="dxa"/>
            <w:tcBorders>
              <w:top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116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407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250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155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053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087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016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177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550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346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191" w:type="dxa"/>
            <w:tcBorders>
              <w:top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337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（0.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901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最优带宽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样本量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548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492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178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173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213</w:t>
            </w:r>
          </w:p>
        </w:tc>
        <w:tc>
          <w:tcPr>
            <w:tcW w:w="11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848</w:t>
            </w:r>
          </w:p>
        </w:tc>
      </w:tr>
    </w:tbl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注：假想断点的选择是随机的，我们选取了断点前后的3个月、6个月、9个月作为假想断点；最优带宽由交叉验证法计算所得，内核选择矩形内核。</w:t>
      </w: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</w:p>
    <w:p>
      <w:pPr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adjustRightInd w:val="0"/>
        <w:snapToGrid w:val="0"/>
        <w:ind w:firstLine="360" w:firstLineChars="200"/>
        <w:rPr>
          <w:rFonts w:ascii="仿宋" w:hAnsi="仿宋" w:eastAsia="仿宋"/>
          <w:sz w:val="18"/>
          <w:szCs w:val="18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381064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57381064"/>
        <w:docPartObj>
          <w:docPartGallery w:val="autotext"/>
        </w:docPartObj>
      </w:sdtPr>
      <w:sdtContent/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2023年第6期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1504AF"/>
    <w:rsid w:val="000037BC"/>
    <w:rsid w:val="000154E6"/>
    <w:rsid w:val="00024B63"/>
    <w:rsid w:val="00026C2A"/>
    <w:rsid w:val="0005064C"/>
    <w:rsid w:val="00084D66"/>
    <w:rsid w:val="000A5FAB"/>
    <w:rsid w:val="001504AF"/>
    <w:rsid w:val="00156578"/>
    <w:rsid w:val="00176601"/>
    <w:rsid w:val="002237F3"/>
    <w:rsid w:val="0024580D"/>
    <w:rsid w:val="002B5175"/>
    <w:rsid w:val="003269A7"/>
    <w:rsid w:val="00331A0C"/>
    <w:rsid w:val="003610B3"/>
    <w:rsid w:val="003805FD"/>
    <w:rsid w:val="003F6353"/>
    <w:rsid w:val="00512D92"/>
    <w:rsid w:val="00597402"/>
    <w:rsid w:val="005F71F2"/>
    <w:rsid w:val="00600C44"/>
    <w:rsid w:val="0062553D"/>
    <w:rsid w:val="006575E9"/>
    <w:rsid w:val="006C3F27"/>
    <w:rsid w:val="007B03E6"/>
    <w:rsid w:val="00826590"/>
    <w:rsid w:val="00864739"/>
    <w:rsid w:val="00872A22"/>
    <w:rsid w:val="00965398"/>
    <w:rsid w:val="00967C67"/>
    <w:rsid w:val="009B2834"/>
    <w:rsid w:val="00A3374C"/>
    <w:rsid w:val="00AD4461"/>
    <w:rsid w:val="00B65C1B"/>
    <w:rsid w:val="00BB6857"/>
    <w:rsid w:val="00BD50EF"/>
    <w:rsid w:val="00BF52FF"/>
    <w:rsid w:val="00C00175"/>
    <w:rsid w:val="00C66DE5"/>
    <w:rsid w:val="00CE3641"/>
    <w:rsid w:val="00D4595A"/>
    <w:rsid w:val="00D812FE"/>
    <w:rsid w:val="00DC525E"/>
    <w:rsid w:val="00EF4F37"/>
    <w:rsid w:val="00F029A8"/>
    <w:rsid w:val="00F75B10"/>
    <w:rsid w:val="0C512149"/>
    <w:rsid w:val="1D3E4AA8"/>
    <w:rsid w:val="73B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outlineLvl w:val="0"/>
    </w:pPr>
    <w:rPr>
      <w:rFonts w:ascii="仿宋" w:hAnsi="仿宋" w:eastAsia="仿宋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footnote text"/>
    <w:basedOn w:val="1"/>
    <w:link w:val="14"/>
    <w:qFormat/>
    <w:uiPriority w:val="0"/>
    <w:pPr>
      <w:widowControl/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脚注文本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_段落文字 字符"/>
    <w:basedOn w:val="9"/>
    <w:link w:val="16"/>
    <w:qFormat/>
    <w:locked/>
    <w:uiPriority w:val="0"/>
    <w:rPr>
      <w:rFonts w:ascii="Times New Roman" w:hAnsi="Times New Roman" w:eastAsia="宋体" w:cs="宋体"/>
      <w:kern w:val="0"/>
      <w:sz w:val="24"/>
      <w:szCs w:val="24"/>
    </w:rPr>
  </w:style>
  <w:style w:type="paragraph" w:customStyle="1" w:styleId="16">
    <w:name w:val="B_段落文字"/>
    <w:basedOn w:val="1"/>
    <w:link w:val="15"/>
    <w:qFormat/>
    <w:uiPriority w:val="0"/>
    <w:pPr>
      <w:autoSpaceDE w:val="0"/>
      <w:autoSpaceDN w:val="0"/>
      <w:adjustRightInd w:val="0"/>
      <w:spacing w:line="300" w:lineRule="auto"/>
      <w:ind w:firstLine="200" w:firstLineChars="200"/>
    </w:pPr>
    <w:rPr>
      <w:rFonts w:ascii="Times New Roman" w:hAnsi="Times New Roman" w:eastAsia="宋体" w:cs="宋体"/>
      <w:kern w:val="0"/>
      <w:sz w:val="24"/>
      <w:szCs w:val="24"/>
    </w:rPr>
  </w:style>
  <w:style w:type="character" w:styleId="17">
    <w:name w:val="Placeholder Text"/>
    <w:basedOn w:val="9"/>
    <w:semiHidden/>
    <w:qFormat/>
    <w:uiPriority w:val="99"/>
    <w:rPr>
      <w:color w:val="666666"/>
    </w:rPr>
  </w:style>
  <w:style w:type="character" w:customStyle="1" w:styleId="18">
    <w:name w:val="标题 1 字符"/>
    <w:basedOn w:val="9"/>
    <w:link w:val="2"/>
    <w:uiPriority w:val="9"/>
    <w:rPr>
      <w:rFonts w:ascii="仿宋" w:hAnsi="仿宋" w:eastAsia="仿宋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C49AA-A18D-4FA7-9FE8-425AED88F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2023-05-18T09:15:00Z</dcterms:created>
  <dc:creator>1273834883@qq.com</dc:creator>
  <cp:lastModifiedBy>刘京</cp:lastModifiedBy>
  <dcterms:modified xsi:type="dcterms:W3CDTF">2023-11-17T10:11:46Z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2FE2F0C02E93403ABD11A93518560B40_12</vt:lpwstr>
  </property>
</Properties>
</file>