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仿宋" w:cs="Times New Roman"/>
          <w:b/>
          <w:kern w:val="44"/>
          <w:sz w:val="32"/>
          <w:szCs w:val="32"/>
        </w:rPr>
      </w:pPr>
      <w:bookmarkStart w:id="0" w:name="_Toc24574"/>
      <w:bookmarkStart w:id="1" w:name="_Toc3566"/>
      <w:bookmarkStart w:id="2" w:name="_Toc30610"/>
      <w:r>
        <w:rPr>
          <w:rFonts w:ascii="Times New Roman" w:hAnsi="Times New Roman" w:eastAsia="仿宋" w:cs="Times New Roman"/>
          <w:b/>
          <w:kern w:val="44"/>
          <w:sz w:val="32"/>
          <w:szCs w:val="32"/>
        </w:rPr>
        <w:t>异地中考门槛与</w:t>
      </w:r>
      <w:r>
        <w:rPr>
          <w:rFonts w:hint="eastAsia" w:ascii="Times New Roman" w:hAnsi="Times New Roman" w:eastAsia="仿宋" w:cs="Times New Roman"/>
          <w:b/>
          <w:kern w:val="44"/>
          <w:sz w:val="32"/>
          <w:szCs w:val="32"/>
        </w:rPr>
        <w:t>流动人口子女的</w:t>
      </w:r>
      <w:r>
        <w:rPr>
          <w:rFonts w:ascii="Times New Roman" w:hAnsi="Times New Roman" w:eastAsia="仿宋" w:cs="Times New Roman"/>
          <w:b/>
          <w:kern w:val="44"/>
          <w:sz w:val="32"/>
          <w:szCs w:val="32"/>
        </w:rPr>
        <w:t>留守</w:t>
      </w:r>
      <w:bookmarkEnd w:id="0"/>
      <w:bookmarkEnd w:id="1"/>
      <w:bookmarkEnd w:id="2"/>
    </w:p>
    <w:p>
      <w:pPr>
        <w:spacing w:line="360" w:lineRule="auto"/>
        <w:rPr>
          <w:rFonts w:hint="eastAsia"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陈媛媛  邹月晴  宋 扬</w:t>
      </w:r>
    </w:p>
    <w:p>
      <w:pPr>
        <w:pStyle w:val="5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5"/>
        <w:jc w:val="center"/>
        <w:rPr>
          <w:rFonts w:hint="eastAsia" w:ascii="楷体" w:hAnsi="楷体" w:eastAsia="楷体" w:cs="楷体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目录</w:t>
      </w:r>
    </w:p>
    <w:sdt>
      <w:sdtPr>
        <w:rPr>
          <w:rFonts w:ascii="宋体" w:hAnsi="宋体" w:eastAsia="宋体"/>
        </w:rPr>
        <w:id w:val="147461002"/>
        <w15:color w:val="DBDBDB"/>
        <w:docPartObj>
          <w:docPartGallery w:val="Table of Contents"/>
          <w:docPartUnique/>
        </w:docPartObj>
      </w:sdtPr>
      <w:sdtEndPr>
        <w:rPr>
          <w:rFonts w:hint="eastAsia" w:ascii="楷体" w:hAnsi="楷体" w:eastAsia="楷体" w:cs="楷体"/>
          <w:szCs w:val="40"/>
        </w:rPr>
      </w:sdtEndPr>
      <w:sdtContent>
        <w:p>
          <w:pPr>
            <w:jc w:val="center"/>
          </w:pPr>
        </w:p>
        <w:p>
          <w:pPr>
            <w:pStyle w:val="9"/>
            <w:tabs>
              <w:tab w:val="right" w:leader="dot" w:pos="8306"/>
            </w:tabs>
            <w:rPr>
              <w:rFonts w:ascii="仿宋" w:hAnsi="仿宋" w:eastAsia="仿宋" w:cs="仿宋"/>
            </w:rPr>
          </w:pPr>
          <w:r>
            <w:rPr>
              <w:rFonts w:hint="eastAsia" w:ascii="楷体" w:hAnsi="楷体" w:eastAsia="楷体" w:cs="楷体"/>
              <w:sz w:val="32"/>
              <w:szCs w:val="40"/>
            </w:rPr>
            <w:fldChar w:fldCharType="begin"/>
          </w:r>
          <w:r>
            <w:rPr>
              <w:rFonts w:hint="eastAsia" w:ascii="楷体" w:hAnsi="楷体" w:eastAsia="楷体" w:cs="楷体"/>
              <w:sz w:val="32"/>
              <w:szCs w:val="40"/>
            </w:rPr>
            <w:instrText xml:space="preserve">TOC \o "1-1" \h \u </w:instrText>
          </w:r>
          <w:r>
            <w:rPr>
              <w:rFonts w:hint="eastAsia" w:ascii="楷体" w:hAnsi="楷体" w:eastAsia="楷体" w:cs="楷体"/>
              <w:sz w:val="32"/>
              <w:szCs w:val="40"/>
            </w:rPr>
            <w:fldChar w:fldCharType="separate"/>
          </w:r>
          <w:r>
            <w:fldChar w:fldCharType="begin"/>
          </w:r>
          <w:r>
            <w:instrText xml:space="preserve"> HYPERLINK \l "_Toc19808"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Cs w:val="24"/>
            </w:rPr>
            <w:t>附录Ⅰ 描述性统计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ascii="仿宋" w:hAnsi="仿宋" w:eastAsia="仿宋" w:cs="仿宋"/>
            </w:rPr>
          </w:pPr>
          <w:r>
            <w:fldChar w:fldCharType="begin"/>
          </w:r>
          <w:r>
            <w:instrText xml:space="preserve"> HYPERLINK \l "_Toc5403"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Cs w:val="24"/>
            </w:rPr>
            <w:t>附录Ⅱ 子女年级与异地中考门槛交互项系数图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"_Toc26689"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Cs w:val="24"/>
            </w:rPr>
            <w:t>附录Ⅲ 稳健性检验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  <w:lang w:val="en-US" w:eastAsia="zh-CN"/>
            </w:rPr>
            <w:t>4</w:t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</w:p>
        <w:p>
          <w:pPr>
            <w:pStyle w:val="5"/>
            <w:ind w:firstLine="420" w:firstLineChars="200"/>
            <w:jc w:val="both"/>
            <w:rPr>
              <w:rFonts w:ascii="楷体" w:hAnsi="楷体" w:eastAsia="楷体" w:cs="楷体"/>
              <w:sz w:val="32"/>
              <w:szCs w:val="40"/>
            </w:rPr>
          </w:pPr>
          <w:r>
            <w:rPr>
              <w:rFonts w:hint="eastAsia" w:ascii="楷体" w:hAnsi="楷体" w:eastAsia="楷体" w:cs="楷体"/>
              <w:szCs w:val="40"/>
            </w:rPr>
            <w:fldChar w:fldCharType="end"/>
          </w:r>
        </w:p>
      </w:sdtContent>
    </w:sdt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5"/>
        <w:ind w:firstLine="640" w:firstLineChars="200"/>
        <w:jc w:val="both"/>
        <w:rPr>
          <w:rFonts w:ascii="楷体" w:hAnsi="楷体" w:eastAsia="楷体" w:cs="楷体"/>
          <w:sz w:val="32"/>
          <w:szCs w:val="40"/>
        </w:rPr>
      </w:pPr>
    </w:p>
    <w:p>
      <w:pPr>
        <w:pStyle w:val="2"/>
        <w:spacing w:before="0" w:after="0" w:line="480" w:lineRule="auto"/>
        <w:rPr>
          <w:rFonts w:hint="eastAsia"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Toc19808"/>
      <w:bookmarkStart w:id="4" w:name="_Toc13801"/>
    </w:p>
    <w:p>
      <w:pPr>
        <w:pStyle w:val="2"/>
        <w:spacing w:before="0" w:after="0" w:line="480" w:lineRule="auto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附录Ⅰ 描述性统计</w:t>
      </w:r>
      <w:bookmarkEnd w:id="3"/>
      <w:bookmarkEnd w:id="4"/>
    </w:p>
    <w:p>
      <w:pPr>
        <w:ind w:firstLine="420" w:firstLineChars="200"/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表Ⅰ1展示了变量的描述性统计结果。图Ⅰ1以72个城市异地中考门槛的均值为标准进行划分，分别刻画了高低门槛城市各年级流动人口子女的留守比例</w:t>
      </w:r>
      <w:r>
        <w:rPr>
          <w:rFonts w:hint="eastAsia" w:ascii="Times New Roman" w:hAnsi="Times New Roman" w:eastAsia="仿宋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可以看出，随着子女年级的升高，流动人口子女留守比例也在升高；小升初时子女留守比例的上升更加明显；高门槛城市的流动人口子女留守比例更高，且留守比例随年级上升增加的幅度更大。</w:t>
      </w:r>
    </w:p>
    <w:p>
      <w:pPr>
        <w:ind w:firstLine="420" w:firstLineChars="200"/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5" w:name="_Toc10384"/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表Ⅰ1  描述性统计</w:t>
      </w:r>
      <w:bookmarkEnd w:id="5"/>
    </w:p>
    <w:tbl>
      <w:tblPr>
        <w:tblStyle w:val="13"/>
        <w:tblW w:w="813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598"/>
        <w:gridCol w:w="1134"/>
        <w:gridCol w:w="1134"/>
        <w:gridCol w:w="1134"/>
        <w:gridCol w:w="113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134" w:type="dxa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134" w:type="dxa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134" w:type="dxa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标准差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最小值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最大值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8134" w:type="dxa"/>
            <w:gridSpan w:val="5"/>
            <w:tcBorders>
              <w:top w:val="single" w:color="auto" w:sz="4" w:space="0"/>
              <w:bottom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是否留守（是=1）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single" w:color="000000" w:sz="4" w:space="0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核心解释变量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异地中考门槛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子女年级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10.860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2.604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single" w:color="000000" w:sz="4" w:space="0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家庭层面控制变量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子女个数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子女性别（男性=1）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户主性别（男性=1）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户主年龄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37.630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户主民族（汉族=1）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户主教育年限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户主是否有医疗保险（是=1）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户主户口性质（农村=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户主流动年限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家庭月收入（对数）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13.590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家庭月支出（对数）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配偶随迁（是=1）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配偶年龄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37.382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配偶民族（汉族=1）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配偶教育年限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配偶户口性质（农村=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8134" w:type="dxa"/>
            <w:gridSpan w:val="5"/>
            <w:tcBorders>
              <w:top w:val="single" w:color="000000" w:sz="4" w:space="0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城市层面控制变量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城市常住人口（万人）（对数）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8.022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地区生产总值（元）（对数）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19.467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商品房销售价格（元/平方米）（对数）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10.725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普通高等学校数（所）（对数）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op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ind w:left="210" w:leftChars="10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城镇登记失业率（%）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2.962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3598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儿童个体样本量</w:t>
            </w:r>
          </w:p>
        </w:tc>
        <w:tc>
          <w:tcPr>
            <w:tcW w:w="4535" w:type="dxa"/>
            <w:gridSpan w:val="4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3598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城市*年份层面的样本量</w:t>
            </w:r>
          </w:p>
        </w:tc>
        <w:tc>
          <w:tcPr>
            <w:tcW w:w="4535" w:type="dxa"/>
            <w:gridSpan w:val="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</w:tr>
    </w:tbl>
    <w:p>
      <w:pPr>
        <w:pStyle w:val="5"/>
        <w:ind w:firstLine="420" w:firstLineChars="200"/>
        <w:jc w:val="both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jc w:val="center"/>
        <w:rPr>
          <w:rFonts w:ascii="Times New Roman" w:hAnsi="Times New Roman" w:eastAsia="宋体" w:cs="Times New Roman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872865" cy="2294890"/>
            <wp:effectExtent l="0" t="0" r="5715" b="6350"/>
            <wp:docPr id="4" name="图片 4" descr="C:/Users/SongY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SongY/Desktop/图片1.png图片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76" r="3476"/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6" w:name="_Toc20866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图Ⅰ1  各年级流动人口子女留守比例</w:t>
      </w:r>
      <w:bookmarkEnd w:id="6"/>
    </w:p>
    <w:p>
      <w:pPr>
        <w:pStyle w:val="5"/>
        <w:ind w:firstLine="419" w:firstLineChars="233"/>
        <w:jc w:val="both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注：子女留守比例根据CMDS2014-2017年数据计算。</w:t>
      </w:r>
    </w:p>
    <w:p>
      <w:pPr>
        <w:keepNext/>
        <w:jc w:val="center"/>
      </w:pPr>
    </w:p>
    <w:p>
      <w:pPr>
        <w:pStyle w:val="2"/>
        <w:spacing w:before="0" w:after="0" w:line="480" w:lineRule="auto"/>
        <w:rPr>
          <w:sz w:val="24"/>
          <w:szCs w:val="24"/>
        </w:rPr>
      </w:pPr>
      <w:bookmarkStart w:id="7" w:name="_Toc9517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2"/>
        <w:spacing w:before="0" w:after="0" w:line="480" w:lineRule="auto"/>
        <w:rPr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pStyle w:val="2"/>
        <w:spacing w:before="0" w:after="0" w:line="480" w:lineRule="auto"/>
        <w:rPr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rPr>
          <w:b/>
          <w:kern w:val="44"/>
          <w:sz w:val="24"/>
          <w:szCs w:val="24"/>
        </w:rPr>
      </w:pPr>
    </w:p>
    <w:p>
      <w:pPr>
        <w:pStyle w:val="2"/>
        <w:spacing w:before="0" w:after="0" w:line="480" w:lineRule="auto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8" w:name="_Toc5403"/>
      <w:r>
        <w:rPr>
          <w:rFonts w:hint="eastAsia" w:ascii="楷体" w:hAnsi="楷体" w:eastAsia="楷体" w:cs="楷体"/>
          <w:b w:val="0"/>
          <w:bCs/>
          <w:sz w:val="28"/>
          <w:szCs w:val="28"/>
        </w:rPr>
        <w:t>附录Ⅱ 子女年级与异地中考门槛交互项系数图</w:t>
      </w:r>
      <w:bookmarkEnd w:id="7"/>
      <w:bookmarkEnd w:id="8"/>
    </w:p>
    <w:p>
      <w:pPr>
        <w:pStyle w:val="5"/>
        <w:ind w:firstLine="420" w:firstLineChars="200"/>
        <w:jc w:val="both"/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了进一步探究不同年级子女</w:t>
      </w:r>
      <w:r>
        <w:rPr>
          <w:rFonts w:hint="eastAsia" w:ascii="Times New Roman" w:hAnsi="Times New Roman" w:eastAsia="仿宋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留守</w:t>
      </w: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受异地中考门槛影响的差异，</w:t>
      </w:r>
      <w:r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图Ⅱ1</w:t>
      </w: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展示了各年级虚拟变量和异地中考门槛交互项的</w:t>
      </w:r>
      <w:r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回归</w:t>
      </w: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系数。可以看出，</w:t>
      </w:r>
      <w:r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异地中考门槛主要影响七至九年级流动儿童的留守决策，且随着子女距离中考时间的临近，异地中考门槛提高对子女留守的影响逐渐加大。</w:t>
      </w:r>
      <w:bookmarkStart w:id="13" w:name="_GoBack"/>
      <w:bookmarkEnd w:id="13"/>
    </w:p>
    <w:p>
      <w:pPr>
        <w:pStyle w:val="5"/>
        <w:ind w:firstLine="420" w:firstLineChars="200"/>
        <w:jc w:val="both"/>
        <w:rPr>
          <w:rFonts w:hint="eastAsia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3352165" cy="2153920"/>
            <wp:effectExtent l="0" t="0" r="635" b="254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2465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center"/>
        <w:outlineLvl w:val="0"/>
        <w:rPr>
          <w:rFonts w:ascii="Times New Roman" w:hAnsi="Times New Roman" w:eastAsia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19429"/>
      <w:bookmarkStart w:id="10" w:name="_Toc7005"/>
      <w:bookmarkStart w:id="11" w:name="_Toc24435"/>
      <w:r>
        <w:rPr>
          <w:rFonts w:hint="eastAsia" w:ascii="Times New Roman" w:hAnsi="Times New Roman" w:eastAsia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图Ⅱ1</w:t>
      </w:r>
      <w:r>
        <w:rPr>
          <w:rFonts w:ascii="Times New Roman" w:hAnsi="Times New Roman" w:eastAsia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子女年级与异地中考门槛交互项系数图</w:t>
      </w:r>
      <w:bookmarkEnd w:id="9"/>
      <w:bookmarkEnd w:id="10"/>
      <w:bookmarkEnd w:id="11"/>
    </w:p>
    <w:p>
      <w:pPr>
        <w:pStyle w:val="18"/>
        <w:spacing w:line="240" w:lineRule="auto"/>
        <w:ind w:left="1680" w:firstLine="0" w:firstLineChars="0"/>
        <w:rPr>
          <w:rFonts w:hint="eastAsia" w:ascii="Times New Roman" w:hAnsi="Times New Roman" w:eastAsia="仿宋"/>
          <w:sz w:val="18"/>
          <w:szCs w:val="18"/>
        </w:rPr>
      </w:pPr>
      <w:r>
        <w:rPr>
          <w:rFonts w:hint="eastAsia" w:ascii="Times New Roman" w:hAnsi="Times New Roman" w:eastAsia="仿宋"/>
          <w:sz w:val="18"/>
          <w:szCs w:val="18"/>
        </w:rPr>
        <w:t>注：图示为9</w:t>
      </w:r>
      <w:r>
        <w:rPr>
          <w:rFonts w:ascii="Times New Roman" w:hAnsi="Times New Roman" w:eastAsia="仿宋"/>
          <w:sz w:val="18"/>
          <w:szCs w:val="18"/>
        </w:rPr>
        <w:t>0</w:t>
      </w:r>
      <w:r>
        <w:rPr>
          <w:rFonts w:hint="eastAsia" w:ascii="Times New Roman" w:hAnsi="Times New Roman" w:eastAsia="仿宋"/>
          <w:sz w:val="18"/>
          <w:szCs w:val="18"/>
        </w:rPr>
        <w:t>%置信区间。</w:t>
      </w:r>
    </w:p>
    <w:p>
      <w:pPr>
        <w:pStyle w:val="18"/>
        <w:spacing w:line="480" w:lineRule="auto"/>
        <w:ind w:firstLine="360"/>
        <w:rPr>
          <w:rFonts w:ascii="Times New Roman" w:hAnsi="Times New Roman" w:eastAsia="仿宋"/>
          <w:sz w:val="18"/>
          <w:szCs w:val="18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18"/>
        <w:spacing w:line="480" w:lineRule="auto"/>
        <w:ind w:firstLine="482"/>
        <w:rPr>
          <w:rFonts w:asciiTheme="minorHAnsi" w:hAnsiTheme="minorHAnsi" w:eastAsiaTheme="minorEastAsia" w:cstheme="minorBidi"/>
          <w:b/>
          <w:color w:val="auto"/>
          <w:kern w:val="44"/>
          <w:szCs w:val="24"/>
        </w:rPr>
      </w:pPr>
    </w:p>
    <w:p>
      <w:pPr>
        <w:pStyle w:val="2"/>
        <w:spacing w:before="0" w:after="0" w:line="480" w:lineRule="auto"/>
        <w:jc w:val="center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12" w:name="_Toc26689"/>
      <w:r>
        <w:rPr>
          <w:rFonts w:hint="eastAsia" w:ascii="楷体" w:hAnsi="楷体" w:eastAsia="楷体" w:cs="楷体"/>
          <w:b w:val="0"/>
          <w:bCs/>
          <w:sz w:val="28"/>
          <w:szCs w:val="28"/>
        </w:rPr>
        <w:t>附录Ⅲ 稳健性检验</w:t>
      </w:r>
      <w:bookmarkEnd w:id="12"/>
    </w:p>
    <w:p>
      <w:pPr>
        <w:pStyle w:val="10"/>
        <w:snapToGrid/>
        <w:ind w:firstLine="420" w:firstLineChars="200"/>
        <w:jc w:val="both"/>
        <w:rPr>
          <w:rFonts w:ascii="Times New Roman" w:hAnsi="Times New Roman" w:eastAsia="仿宋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156" w:beforeLines="50"/>
        <w:jc w:val="center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表Ⅲ1  排除其他影响因素</w:t>
      </w:r>
    </w:p>
    <w:tbl>
      <w:tblPr>
        <w:tblStyle w:val="13"/>
        <w:tblW w:w="901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1305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7"/>
              <w:spacing w:before="0" w:after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因变量：子女留守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(5)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(7)</w:t>
            </w:r>
          </w:p>
        </w:tc>
        <w:tc>
          <w:tcPr>
            <w:tcW w:w="964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GDP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城镇登记失业率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常住人口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商品房</w:t>
            </w:r>
          </w:p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销售价格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城市价格</w:t>
            </w:r>
          </w:p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指数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普通高等</w:t>
            </w:r>
          </w:p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学校数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人均</w:t>
            </w:r>
          </w:p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96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父母生育年龄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spacing w:before="0" w:after="0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子女年级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异地中考门槛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0.016***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0.026***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0.016**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0.026***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0.025***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0.014**</w:t>
            </w:r>
          </w:p>
        </w:tc>
        <w:tc>
          <w:tcPr>
            <w:tcW w:w="964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0.027***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(0.008)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(0.005)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(0.007)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(0.006)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(0.007)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before="0" w:after="0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子女年级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-0.040*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0.015***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-0.012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-0.059***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0.010***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-0.030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-0.001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before="0" w:after="0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(0.023)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(0.006)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(0.011)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(0.017)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(0.030)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(0.002)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(0.022)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(0.005)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before="0" w:after="0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异地中考门槛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-0.277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-0.322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-0.276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-0.242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-0.322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-0.317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-0.268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-0.324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before="0" w:after="0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(0.236)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(0.239)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(0.234)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(0.232)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(0.238)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(0.240)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(0.233)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(0.238)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样本数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110,121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110,121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0.289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0.289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0.290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0.290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0.289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pStyle w:val="17"/>
              <w:spacing w:before="0" w:after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0.289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0.289</w:t>
            </w:r>
          </w:p>
        </w:tc>
        <w:tc>
          <w:tcPr>
            <w:tcW w:w="964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0.290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个体及家庭特征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流入地城市特征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年份固定效应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流入地城市固定效应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户籍地省份固定效应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spacing w:line="240" w:lineRule="exact"/>
        <w:ind w:firstLine="360" w:firstLineChars="200"/>
        <w:rPr>
          <w:rFonts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注：列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）—（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在基准模型的基础上分别加入</w:t>
      </w:r>
      <w:r>
        <w:rPr>
          <w:rFonts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GDP</w:t>
      </w:r>
      <w:r>
        <w:rPr>
          <w:rFonts w:hint="eastAsia" w:ascii="Times New Roman" w:hAnsi="Times New Roman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（对数）、城镇登记失业率、常住人口（对数）、商品房销售价格（对数）、价格指数、普通高等学校数（对数）、人均教育支出（对数）、流动人口子女父母生育年龄与子女年级的交互项。</w:t>
      </w:r>
    </w:p>
    <w:p/>
    <w:p>
      <w:pPr>
        <w:pStyle w:val="4"/>
        <w:spacing w:before="156" w:beforeLines="50"/>
        <w:jc w:val="center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表Ⅲ2  分年份稳健性检验</w:t>
      </w:r>
    </w:p>
    <w:tbl>
      <w:tblPr>
        <w:tblStyle w:val="13"/>
        <w:tblW w:w="830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862"/>
        <w:gridCol w:w="1361"/>
        <w:gridCol w:w="1361"/>
        <w:gridCol w:w="1361"/>
        <w:gridCol w:w="136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因变量：子女留守</w:t>
            </w:r>
          </w:p>
        </w:tc>
        <w:tc>
          <w:tcPr>
            <w:tcW w:w="1361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361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361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361" w:type="dxa"/>
            <w:tcBorders>
              <w:bottom w:val="nil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CMDS2014</w:t>
            </w:r>
          </w:p>
        </w:tc>
        <w:tc>
          <w:tcPr>
            <w:tcW w:w="1361" w:type="dxa"/>
            <w:tcBorders>
              <w:top w:val="nil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CMDS2015</w:t>
            </w:r>
          </w:p>
        </w:tc>
        <w:tc>
          <w:tcPr>
            <w:tcW w:w="1361" w:type="dxa"/>
            <w:tcBorders>
              <w:top w:val="nil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CMDS2016</w:t>
            </w:r>
          </w:p>
        </w:tc>
        <w:tc>
          <w:tcPr>
            <w:tcW w:w="1361" w:type="dxa"/>
            <w:tcBorders>
              <w:top w:val="nil"/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CMDS2017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子女年级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异地中考门槛</w:t>
            </w:r>
          </w:p>
        </w:tc>
        <w:tc>
          <w:tcPr>
            <w:tcW w:w="136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0.020***</w:t>
            </w:r>
          </w:p>
        </w:tc>
        <w:tc>
          <w:tcPr>
            <w:tcW w:w="136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0.033***</w:t>
            </w:r>
          </w:p>
        </w:tc>
        <w:tc>
          <w:tcPr>
            <w:tcW w:w="136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0.025***</w:t>
            </w:r>
          </w:p>
        </w:tc>
        <w:tc>
          <w:tcPr>
            <w:tcW w:w="136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0.022**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(0.007)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(0.010)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(0.009)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(0.009)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子女年级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0.014***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0.011***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0.011***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0.013***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(0.002)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(0.002)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(0.003)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(0.002)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异地中考门槛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-0.099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-0.246**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-0.113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-0.060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(0.086)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(0.109)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(0.131)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(0.160)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样本数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28,323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28,385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26,696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26,717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0.276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0.256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0.270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个人及家庭特征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流入地城市特征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2862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户籍地省份固定效应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ind w:left="420" w:firstLine="42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pPr>
        <w:pStyle w:val="4"/>
        <w:spacing w:before="156" w:beforeLines="50"/>
        <w:jc w:val="center"/>
        <w:rPr>
          <w:rFonts w:ascii="Times New Roman" w:hAnsi="Times New Roman" w:eastAsia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689985" cy="2767330"/>
            <wp:effectExtent l="0" t="0" r="5715" b="0"/>
            <wp:docPr id="5" name="图片 5" descr="C:\Users\Administrator\Desktop\经济学季刊定稿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经济学季刊定稿\Grap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2581" cy="27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图Ⅲ1  不同流入时间稳健性检验</w:t>
      </w:r>
    </w:p>
    <w:p>
      <w:pPr>
        <w:pStyle w:val="18"/>
        <w:spacing w:line="240" w:lineRule="auto"/>
        <w:ind w:left="1259" w:firstLineChars="0"/>
        <w:rPr>
          <w:rFonts w:hint="eastAsia" w:ascii="Times New Roman" w:hAnsi="Times New Roman" w:eastAsia="仿宋"/>
          <w:sz w:val="18"/>
          <w:szCs w:val="18"/>
        </w:rPr>
      </w:pPr>
      <w:r>
        <w:rPr>
          <w:rFonts w:hint="eastAsia" w:ascii="Times New Roman" w:hAnsi="Times New Roman" w:eastAsia="仿宋"/>
          <w:sz w:val="18"/>
          <w:szCs w:val="18"/>
        </w:rPr>
        <w:t>注：图示为9</w:t>
      </w:r>
      <w:r>
        <w:rPr>
          <w:rFonts w:ascii="Times New Roman" w:hAnsi="Times New Roman" w:eastAsia="仿宋"/>
          <w:sz w:val="18"/>
          <w:szCs w:val="18"/>
        </w:rPr>
        <w:t>0</w:t>
      </w:r>
      <w:r>
        <w:rPr>
          <w:rFonts w:hint="eastAsia" w:ascii="Times New Roman" w:hAnsi="Times New Roman" w:eastAsia="仿宋"/>
          <w:sz w:val="18"/>
          <w:szCs w:val="18"/>
        </w:rPr>
        <w:t>%置信区间。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eastAsia="仿宋"/>
        </w:rPr>
      </w:pPr>
      <w:r>
        <w:rPr>
          <w:rFonts w:hint="eastAsia" w:ascii="宋体" w:hAnsi="宋体" w:eastAsia="宋体" w:cs="宋体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>
      <w:pPr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SJ0+ZIOIvH-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2024年第1期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NTYzYzg0NjI3OGM0Mjg2ZDVmMmFlOTI2NzFmODUifQ=="/>
  </w:docVars>
  <w:rsids>
    <w:rsidRoot w:val="00BE2BBC"/>
    <w:rsid w:val="0000475E"/>
    <w:rsid w:val="000A69BD"/>
    <w:rsid w:val="000A771F"/>
    <w:rsid w:val="000D76A6"/>
    <w:rsid w:val="00100488"/>
    <w:rsid w:val="00147A0F"/>
    <w:rsid w:val="001610FE"/>
    <w:rsid w:val="00193C82"/>
    <w:rsid w:val="001B3CE3"/>
    <w:rsid w:val="001B5426"/>
    <w:rsid w:val="001C4961"/>
    <w:rsid w:val="001F4A74"/>
    <w:rsid w:val="002334CF"/>
    <w:rsid w:val="0026151A"/>
    <w:rsid w:val="0028453C"/>
    <w:rsid w:val="002B055B"/>
    <w:rsid w:val="002B18DC"/>
    <w:rsid w:val="002B6081"/>
    <w:rsid w:val="002F2FFF"/>
    <w:rsid w:val="0031063B"/>
    <w:rsid w:val="00342032"/>
    <w:rsid w:val="00400DEF"/>
    <w:rsid w:val="00480A8C"/>
    <w:rsid w:val="00486F21"/>
    <w:rsid w:val="00503D6F"/>
    <w:rsid w:val="00512989"/>
    <w:rsid w:val="00565DE9"/>
    <w:rsid w:val="0058713A"/>
    <w:rsid w:val="005B78EB"/>
    <w:rsid w:val="005B79AE"/>
    <w:rsid w:val="005D202D"/>
    <w:rsid w:val="005D53FD"/>
    <w:rsid w:val="005E5049"/>
    <w:rsid w:val="0060350D"/>
    <w:rsid w:val="0062328A"/>
    <w:rsid w:val="00640114"/>
    <w:rsid w:val="0067136C"/>
    <w:rsid w:val="00673221"/>
    <w:rsid w:val="006F39F7"/>
    <w:rsid w:val="00756469"/>
    <w:rsid w:val="00761332"/>
    <w:rsid w:val="0076243C"/>
    <w:rsid w:val="007A7A06"/>
    <w:rsid w:val="007F5316"/>
    <w:rsid w:val="00820879"/>
    <w:rsid w:val="00872E77"/>
    <w:rsid w:val="00880309"/>
    <w:rsid w:val="008A1AA4"/>
    <w:rsid w:val="00901838"/>
    <w:rsid w:val="00913C51"/>
    <w:rsid w:val="00922E15"/>
    <w:rsid w:val="00985FBE"/>
    <w:rsid w:val="00987E57"/>
    <w:rsid w:val="009B33CE"/>
    <w:rsid w:val="009C0BBA"/>
    <w:rsid w:val="009C4657"/>
    <w:rsid w:val="009C58D3"/>
    <w:rsid w:val="009E3D56"/>
    <w:rsid w:val="00A144AB"/>
    <w:rsid w:val="00A423C4"/>
    <w:rsid w:val="00A81D10"/>
    <w:rsid w:val="00A963D2"/>
    <w:rsid w:val="00AA1F5F"/>
    <w:rsid w:val="00AD0BAF"/>
    <w:rsid w:val="00AF2DB7"/>
    <w:rsid w:val="00B328F9"/>
    <w:rsid w:val="00B50A39"/>
    <w:rsid w:val="00BA0E9C"/>
    <w:rsid w:val="00BE0121"/>
    <w:rsid w:val="00BE2BBC"/>
    <w:rsid w:val="00C0488C"/>
    <w:rsid w:val="00C07E55"/>
    <w:rsid w:val="00C1223E"/>
    <w:rsid w:val="00C513DA"/>
    <w:rsid w:val="00CB42C3"/>
    <w:rsid w:val="00CD7DA1"/>
    <w:rsid w:val="00CF0009"/>
    <w:rsid w:val="00D67DBE"/>
    <w:rsid w:val="00D848D1"/>
    <w:rsid w:val="00DC157A"/>
    <w:rsid w:val="00DC7FE9"/>
    <w:rsid w:val="00DD5668"/>
    <w:rsid w:val="00DE1675"/>
    <w:rsid w:val="00E554E4"/>
    <w:rsid w:val="00E94DE6"/>
    <w:rsid w:val="00ED2DCD"/>
    <w:rsid w:val="00F054A5"/>
    <w:rsid w:val="00F33FC8"/>
    <w:rsid w:val="00F8188E"/>
    <w:rsid w:val="013B2B96"/>
    <w:rsid w:val="05D8243A"/>
    <w:rsid w:val="06755E5D"/>
    <w:rsid w:val="0772358E"/>
    <w:rsid w:val="08146DF3"/>
    <w:rsid w:val="099039A4"/>
    <w:rsid w:val="0AA22C94"/>
    <w:rsid w:val="0B291CB1"/>
    <w:rsid w:val="0DDD118B"/>
    <w:rsid w:val="12744159"/>
    <w:rsid w:val="139F04BD"/>
    <w:rsid w:val="15F30226"/>
    <w:rsid w:val="16732DAE"/>
    <w:rsid w:val="169B17F7"/>
    <w:rsid w:val="17F41887"/>
    <w:rsid w:val="19D141F9"/>
    <w:rsid w:val="1EED08D9"/>
    <w:rsid w:val="1F951C13"/>
    <w:rsid w:val="1FFB189E"/>
    <w:rsid w:val="22AB7CC8"/>
    <w:rsid w:val="252236AD"/>
    <w:rsid w:val="26F71F64"/>
    <w:rsid w:val="28AF0448"/>
    <w:rsid w:val="2B682477"/>
    <w:rsid w:val="2C2B6B20"/>
    <w:rsid w:val="2E4415F5"/>
    <w:rsid w:val="30176732"/>
    <w:rsid w:val="31250AEE"/>
    <w:rsid w:val="31644F41"/>
    <w:rsid w:val="32BB581D"/>
    <w:rsid w:val="35336FC4"/>
    <w:rsid w:val="373A6E70"/>
    <w:rsid w:val="37D83664"/>
    <w:rsid w:val="39C944DB"/>
    <w:rsid w:val="3B3201D0"/>
    <w:rsid w:val="3E495BEB"/>
    <w:rsid w:val="3ECF4342"/>
    <w:rsid w:val="40423CBD"/>
    <w:rsid w:val="418626C9"/>
    <w:rsid w:val="43F31768"/>
    <w:rsid w:val="46CE5D9A"/>
    <w:rsid w:val="479F0E8A"/>
    <w:rsid w:val="48090F70"/>
    <w:rsid w:val="494C4961"/>
    <w:rsid w:val="49D95E0B"/>
    <w:rsid w:val="4B6E5B92"/>
    <w:rsid w:val="4CE95658"/>
    <w:rsid w:val="4F3877A3"/>
    <w:rsid w:val="537868FE"/>
    <w:rsid w:val="54D63454"/>
    <w:rsid w:val="572D17AE"/>
    <w:rsid w:val="57A93052"/>
    <w:rsid w:val="57EE10A0"/>
    <w:rsid w:val="57FB5F07"/>
    <w:rsid w:val="593D461C"/>
    <w:rsid w:val="5FEA1490"/>
    <w:rsid w:val="625E7BB8"/>
    <w:rsid w:val="64FE28B2"/>
    <w:rsid w:val="65BC70E8"/>
    <w:rsid w:val="66176E0F"/>
    <w:rsid w:val="6630258F"/>
    <w:rsid w:val="671001D4"/>
    <w:rsid w:val="68CA04BB"/>
    <w:rsid w:val="6BA70260"/>
    <w:rsid w:val="6EC67BD5"/>
    <w:rsid w:val="6F7F2EDE"/>
    <w:rsid w:val="705605A5"/>
    <w:rsid w:val="71126644"/>
    <w:rsid w:val="71C43856"/>
    <w:rsid w:val="723A2004"/>
    <w:rsid w:val="7A2B2D92"/>
    <w:rsid w:val="7B6E018F"/>
    <w:rsid w:val="7F9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link w:val="22"/>
    <w:autoRedefine/>
    <w:unhideWhenUsed/>
    <w:qFormat/>
    <w:uiPriority w:val="99"/>
    <w:pPr>
      <w:jc w:val="left"/>
    </w:pPr>
  </w:style>
  <w:style w:type="paragraph" w:styleId="6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</w:rPr>
  </w:style>
  <w:style w:type="paragraph" w:styleId="10">
    <w:name w:val="footnote text"/>
    <w:basedOn w:val="1"/>
    <w:autoRedefine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annotation subject"/>
    <w:basedOn w:val="5"/>
    <w:next w:val="5"/>
    <w:link w:val="23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autoRedefine/>
    <w:qFormat/>
    <w:uiPriority w:val="0"/>
    <w:rPr>
      <w:sz w:val="21"/>
      <w:szCs w:val="21"/>
    </w:rPr>
  </w:style>
  <w:style w:type="paragraph" w:customStyle="1" w:styleId="17">
    <w:name w:val="表格文字"/>
    <w:basedOn w:val="1"/>
    <w:autoRedefine/>
    <w:qFormat/>
    <w:uiPriority w:val="1"/>
    <w:pPr>
      <w:spacing w:before="60" w:after="60"/>
      <w:jc w:val="center"/>
    </w:pPr>
    <w:rPr>
      <w:rFonts w:eastAsia="宋体"/>
      <w:sz w:val="18"/>
    </w:rPr>
  </w:style>
  <w:style w:type="paragraph" w:customStyle="1" w:styleId="18">
    <w:name w:val="列出段落1"/>
    <w:basedOn w:val="1"/>
    <w:qFormat/>
    <w:uiPriority w:val="0"/>
    <w:pPr>
      <w:spacing w:line="360" w:lineRule="auto"/>
      <w:ind w:firstLine="420" w:firstLineChars="200"/>
      <w:jc w:val="left"/>
    </w:pPr>
    <w:rPr>
      <w:rFonts w:ascii="等线" w:hAnsi="等线" w:eastAsia="宋体" w:cs="Times New Roman"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character" w:customStyle="1" w:styleId="19">
    <w:name w:val="标题二"/>
    <w:qFormat/>
    <w:uiPriority w:val="0"/>
    <w:rPr>
      <w:rFonts w:hint="default" w:ascii="SSJ0+ZIOIvH-3" w:hAnsi="SSJ0+ZIOIvH-3" w:eastAsia="宋体"/>
      <w:b/>
      <w:color w:val="000000"/>
      <w:sz w:val="24"/>
      <w:szCs w:val="16"/>
    </w:rPr>
  </w:style>
  <w:style w:type="paragraph" w:customStyle="1" w:styleId="20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1">
    <w:name w:val="批注框文本 字符"/>
    <w:basedOn w:val="15"/>
    <w:link w:val="6"/>
    <w:autoRedefine/>
    <w:qFormat/>
    <w:uiPriority w:val="0"/>
    <w:rPr>
      <w:kern w:val="2"/>
      <w:sz w:val="18"/>
      <w:szCs w:val="18"/>
    </w:rPr>
  </w:style>
  <w:style w:type="character" w:customStyle="1" w:styleId="22">
    <w:name w:val="批注文字 字符"/>
    <w:basedOn w:val="15"/>
    <w:link w:val="5"/>
    <w:qFormat/>
    <w:uiPriority w:val="99"/>
    <w:rPr>
      <w:kern w:val="2"/>
      <w:sz w:val="21"/>
      <w:szCs w:val="22"/>
    </w:rPr>
  </w:style>
  <w:style w:type="character" w:customStyle="1" w:styleId="23">
    <w:name w:val="批注主题 字符"/>
    <w:basedOn w:val="22"/>
    <w:link w:val="12"/>
    <w:autoRedefine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4F770-363D-4B20-91A3-D087A49D2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442</Words>
  <Characters>2520</Characters>
  <Lines>21</Lines>
  <Paragraphs>5</Paragraphs>
  <TotalTime>6</TotalTime>
  <ScaleCrop>false</ScaleCrop>
  <LinksUpToDate>false</LinksUpToDate>
  <CharactersWithSpaces>2957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2023-12-26T02:56:00Z</dcterms:created>
  <dc:creator>SongY</dc:creator>
  <cp:lastModifiedBy>SongY</cp:lastModifiedBy>
  <dcterms:modified xsi:type="dcterms:W3CDTF">2024-01-09T12:27:14Z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C50972E669C847D6BE4F024B065DC492_12</vt:lpwstr>
  </property>
</Properties>
</file>