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电力扩张对工业发展影响的因果评估</w:t>
      </w:r>
    </w:p>
    <w:p>
      <w:pPr>
        <w:jc w:val="center"/>
        <w:rPr>
          <w:rFonts w:ascii="仿宋" w:hAnsi="仿宋" w:eastAsia="仿宋" w:cs="Times New Roman"/>
          <w:b/>
          <w:bCs/>
          <w:sz w:val="28"/>
          <w:szCs w:val="28"/>
        </w:rPr>
      </w:pPr>
      <w:r>
        <w:rPr>
          <w:rFonts w:hint="eastAsia" w:ascii="仿宋" w:hAnsi="仿宋" w:eastAsia="仿宋" w:cs="Times New Roman"/>
          <w:b/>
          <w:bCs/>
          <w:sz w:val="28"/>
          <w:szCs w:val="28"/>
          <w:lang w:eastAsia="zh-CN"/>
        </w:rPr>
        <w:t>——</w:t>
      </w:r>
      <w:r>
        <w:rPr>
          <w:rFonts w:hint="eastAsia" w:ascii="仿宋" w:hAnsi="仿宋" w:eastAsia="仿宋" w:cs="Times New Roman"/>
          <w:b/>
          <w:bCs/>
          <w:sz w:val="28"/>
          <w:szCs w:val="28"/>
        </w:rPr>
        <w:t>来自</w:t>
      </w:r>
      <w:r>
        <w:rPr>
          <w:rFonts w:ascii="仿宋" w:hAnsi="仿宋" w:eastAsia="仿宋" w:cs="Times New Roman"/>
          <w:b/>
          <w:bCs/>
          <w:sz w:val="28"/>
          <w:szCs w:val="28"/>
        </w:rPr>
        <w:t>近代中国的证据</w:t>
      </w:r>
    </w:p>
    <w:p>
      <w:pPr>
        <w:jc w:val="center"/>
        <w:rPr>
          <w:rFonts w:ascii="楷体" w:hAnsi="楷体" w:eastAsia="楷体" w:cs="Times New Roman"/>
          <w:sz w:val="28"/>
          <w:szCs w:val="28"/>
        </w:rPr>
      </w:pPr>
      <w:r>
        <w:rPr>
          <w:rFonts w:hint="eastAsia" w:ascii="楷体" w:hAnsi="楷体" w:eastAsia="楷体" w:cs="Times New Roman"/>
          <w:sz w:val="28"/>
          <w:szCs w:val="28"/>
        </w:rPr>
        <w:t>刘丛 陈婷 薄诗雨</w:t>
      </w:r>
    </w:p>
    <w:p>
      <w:pPr>
        <w:jc w:val="center"/>
        <w:rPr>
          <w:rFonts w:hint="eastAsia" w:ascii="仿宋" w:hAnsi="仿宋" w:eastAsia="仿宋" w:cs="Times New Roman"/>
          <w:b/>
          <w:bCs/>
          <w:sz w:val="28"/>
          <w:szCs w:val="28"/>
        </w:rPr>
      </w:pPr>
    </w:p>
    <w:p>
      <w:pPr>
        <w:jc w:val="center"/>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val="en-US" w:eastAsia="zh-CN"/>
        </w:rPr>
        <w:t>目录</w:t>
      </w:r>
    </w:p>
    <w:sdt>
      <w:sdtPr>
        <w:rPr>
          <w:sz w:val="24"/>
          <w:szCs w:val="28"/>
          <w:lang w:val="zh-CN"/>
        </w:rPr>
        <w:id w:val="-91158663"/>
        <w:docPartObj>
          <w:docPartGallery w:val="Table of Contents"/>
          <w:docPartUnique/>
        </w:docPartObj>
      </w:sdtPr>
      <w:sdtEndPr>
        <w:rPr>
          <w:b/>
          <w:bCs/>
          <w:sz w:val="32"/>
          <w:szCs w:val="36"/>
          <w:lang w:val="zh-CN"/>
        </w:rPr>
      </w:sdtEndPr>
      <w:sdtContent>
        <w:p>
          <w:pPr>
            <w:widowControl/>
            <w:jc w:val="left"/>
            <w:rPr>
              <w:sz w:val="32"/>
              <w:szCs w:val="36"/>
            </w:rPr>
          </w:pPr>
        </w:p>
        <w:p>
          <w:pPr>
            <w:pStyle w:val="5"/>
            <w:tabs>
              <w:tab w:val="right" w:leader="dot" w:pos="8296"/>
            </w:tabs>
            <w:rPr>
              <w:rFonts w:hint="eastAsia" w:ascii="仿宋" w:hAnsi="仿宋" w:eastAsia="仿宋" w:cs="仿宋"/>
              <w:sz w:val="22"/>
              <w:szCs w:val="22"/>
              <w14:ligatures w14:val="standardContextual"/>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TOC \o "1-3" \h \z \u </w:instrText>
          </w:r>
          <w:r>
            <w:rPr>
              <w:rFonts w:hint="eastAsia" w:ascii="仿宋" w:hAnsi="仿宋" w:eastAsia="仿宋" w:cs="仿宋"/>
              <w:sz w:val="22"/>
              <w:szCs w:val="22"/>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"_Toc155478221" </w:instrText>
          </w:r>
          <w:r>
            <w:rPr>
              <w:rFonts w:hint="eastAsia" w:ascii="仿宋" w:hAnsi="仿宋" w:eastAsia="仿宋" w:cs="仿宋"/>
              <w:sz w:val="22"/>
              <w:szCs w:val="22"/>
            </w:rPr>
            <w:fldChar w:fldCharType="separate"/>
          </w:r>
          <w:r>
            <w:rPr>
              <w:rStyle w:val="8"/>
              <w:rFonts w:hint="eastAsia" w:ascii="仿宋" w:hAnsi="仿宋" w:eastAsia="仿宋" w:cs="仿宋"/>
              <w:sz w:val="22"/>
              <w:szCs w:val="22"/>
            </w:rPr>
            <w:t xml:space="preserve">附录I </w:t>
          </w:r>
          <w:r>
            <w:rPr>
              <w:rStyle w:val="8"/>
              <w:rFonts w:hint="eastAsia" w:ascii="仿宋" w:hAnsi="仿宋" w:eastAsia="仿宋" w:cs="仿宋"/>
              <w:sz w:val="22"/>
              <w:szCs w:val="22"/>
              <w:lang w:val="en-US" w:eastAsia="zh-CN"/>
            </w:rPr>
            <w:t xml:space="preserve"> </w:t>
          </w:r>
          <w:r>
            <w:rPr>
              <w:rStyle w:val="8"/>
              <w:rFonts w:hint="eastAsia" w:ascii="仿宋" w:hAnsi="仿宋" w:eastAsia="仿宋" w:cs="仿宋"/>
              <w:sz w:val="22"/>
              <w:szCs w:val="22"/>
            </w:rPr>
            <w:t>附表</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p>
        <w:p>
          <w:pPr>
            <w:pStyle w:val="5"/>
            <w:tabs>
              <w:tab w:val="right" w:leader="dot" w:pos="8296"/>
            </w:tabs>
            <w:rPr>
              <w:rFonts w:hint="eastAsia" w:ascii="仿宋" w:hAnsi="仿宋" w:eastAsia="仿宋" w:cs="仿宋"/>
              <w:sz w:val="22"/>
              <w:szCs w:val="22"/>
              <w14:ligatures w14:val="standardContextual"/>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"_Toc155478222" </w:instrText>
          </w:r>
          <w:r>
            <w:rPr>
              <w:rFonts w:hint="eastAsia" w:ascii="仿宋" w:hAnsi="仿宋" w:eastAsia="仿宋" w:cs="仿宋"/>
              <w:sz w:val="22"/>
              <w:szCs w:val="22"/>
            </w:rPr>
            <w:fldChar w:fldCharType="separate"/>
          </w:r>
          <w:r>
            <w:rPr>
              <w:rStyle w:val="8"/>
              <w:rFonts w:hint="eastAsia" w:ascii="仿宋" w:hAnsi="仿宋" w:eastAsia="仿宋" w:cs="仿宋"/>
              <w:sz w:val="22"/>
              <w:szCs w:val="22"/>
            </w:rPr>
            <w:t>附录II</w:t>
          </w:r>
          <w:r>
            <w:rPr>
              <w:rStyle w:val="8"/>
              <w:rFonts w:hint="eastAsia" w:ascii="仿宋" w:hAnsi="仿宋" w:eastAsia="仿宋" w:cs="仿宋"/>
              <w:sz w:val="22"/>
              <w:szCs w:val="22"/>
              <w:lang w:val="en-US" w:eastAsia="zh-CN"/>
            </w:rPr>
            <w:t xml:space="preserve"> </w:t>
          </w:r>
          <w:r>
            <w:rPr>
              <w:rStyle w:val="8"/>
              <w:rFonts w:hint="eastAsia" w:ascii="仿宋" w:hAnsi="仿宋" w:eastAsia="仿宋" w:cs="仿宋"/>
              <w:sz w:val="22"/>
              <w:szCs w:val="22"/>
            </w:rPr>
            <w:t>关于交错双重差分方法的讨论</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sz w:val="22"/>
              <w:szCs w:val="22"/>
            </w:rPr>
            <w:fldChar w:fldCharType="end"/>
          </w:r>
        </w:p>
        <w:p>
          <w:pPr>
            <w:rPr>
              <w:sz w:val="32"/>
              <w:szCs w:val="36"/>
            </w:rPr>
          </w:pPr>
          <w:r>
            <w:rPr>
              <w:rFonts w:hint="eastAsia" w:ascii="仿宋" w:hAnsi="仿宋" w:eastAsia="仿宋" w:cs="仿宋"/>
              <w:b/>
              <w:bCs/>
              <w:sz w:val="22"/>
              <w:szCs w:val="22"/>
              <w:lang w:val="zh-CN"/>
            </w:rPr>
            <w:fldChar w:fldCharType="end"/>
          </w:r>
        </w:p>
      </w:sdtContent>
    </w:sdt>
    <w:p>
      <w:pPr>
        <w:pStyle w:val="2"/>
        <w:rPr>
          <w:rFonts w:hint="eastAsia"/>
        </w:rPr>
        <w:sectPr>
          <w:headerReference r:id="rId3" w:type="default"/>
          <w:pgSz w:w="11906" w:h="16838"/>
          <w:pgMar w:top="1440" w:right="1800" w:bottom="1440" w:left="1800" w:header="851" w:footer="992" w:gutter="0"/>
          <w:cols w:space="425" w:num="1"/>
          <w:docGrid w:type="lines" w:linePitch="312" w:charSpace="0"/>
        </w:sectPr>
      </w:pPr>
      <w:bookmarkStart w:id="0" w:name="_Toc155478222"/>
    </w:p>
    <w:p>
      <w:pPr>
        <w:pStyle w:val="2"/>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附录Ⅰ 附表</w:t>
      </w:r>
      <w:bookmarkEnd w:id="0"/>
    </w:p>
    <w:p>
      <w:pPr>
        <w:ind w:firstLine="360"/>
        <w:jc w:val="center"/>
        <w:rPr>
          <w:rFonts w:hint="eastAsia" w:ascii="宋体" w:hAnsi="宋体" w:eastAsia="宋体" w:cs="宋体"/>
          <w:b/>
          <w:bCs/>
          <w:sz w:val="20"/>
          <w:szCs w:val="21"/>
        </w:rPr>
      </w:pPr>
      <w:r>
        <w:rPr>
          <w:rFonts w:hint="eastAsia" w:ascii="宋体" w:hAnsi="宋体" w:eastAsia="宋体" w:cs="宋体"/>
          <w:b/>
          <w:bCs/>
          <w:sz w:val="20"/>
          <w:szCs w:val="21"/>
        </w:rPr>
        <w:t>表A1 变量描述统计</w:t>
      </w:r>
    </w:p>
    <w:tbl>
      <w:tblPr>
        <w:tblStyle w:val="6"/>
        <w:tblW w:w="8222" w:type="dxa"/>
        <w:tblInd w:w="0" w:type="dxa"/>
        <w:tblLayout w:type="fixed"/>
        <w:tblCellMar>
          <w:top w:w="0" w:type="dxa"/>
          <w:left w:w="108" w:type="dxa"/>
          <w:bottom w:w="0" w:type="dxa"/>
          <w:right w:w="108" w:type="dxa"/>
        </w:tblCellMar>
      </w:tblPr>
      <w:tblGrid>
        <w:gridCol w:w="800"/>
        <w:gridCol w:w="2461"/>
        <w:gridCol w:w="850"/>
        <w:gridCol w:w="992"/>
        <w:gridCol w:w="993"/>
        <w:gridCol w:w="992"/>
        <w:gridCol w:w="1134"/>
      </w:tblGrid>
      <w:tr>
        <w:tblPrEx>
          <w:tblCellMar>
            <w:top w:w="0" w:type="dxa"/>
            <w:left w:w="108" w:type="dxa"/>
            <w:bottom w:w="0" w:type="dxa"/>
            <w:right w:w="108" w:type="dxa"/>
          </w:tblCellMar>
        </w:tblPrEx>
        <w:tc>
          <w:tcPr>
            <w:tcW w:w="3261" w:type="dxa"/>
            <w:gridSpan w:val="2"/>
            <w:tcBorders>
              <w:top w:val="single" w:color="auto" w:sz="4" w:space="0"/>
              <w:left w:val="nil"/>
              <w:bottom w:val="single" w:color="auto" w:sz="10" w:space="0"/>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变量（单位）</w:t>
            </w:r>
          </w:p>
        </w:tc>
        <w:tc>
          <w:tcPr>
            <w:tcW w:w="850" w:type="dxa"/>
            <w:tcBorders>
              <w:top w:val="single" w:color="auto" w:sz="4" w:space="0"/>
              <w:left w:val="nil"/>
              <w:bottom w:val="single" w:color="auto" w:sz="10" w:space="0"/>
              <w:right w:val="nil"/>
            </w:tcBorders>
          </w:tcPr>
          <w:p>
            <w:pPr>
              <w:autoSpaceDE w:val="0"/>
              <w:autoSpaceDN w:val="0"/>
              <w:adjustRightInd w:val="0"/>
              <w:jc w:val="righ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观察值</w:t>
            </w:r>
          </w:p>
        </w:tc>
        <w:tc>
          <w:tcPr>
            <w:tcW w:w="992" w:type="dxa"/>
            <w:tcBorders>
              <w:top w:val="single" w:color="auto" w:sz="4" w:space="0"/>
              <w:left w:val="nil"/>
              <w:bottom w:val="single" w:color="auto" w:sz="10"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 </w:t>
            </w:r>
            <w:r>
              <w:rPr>
                <w:rFonts w:hint="eastAsia" w:ascii="Times New Roman" w:hAnsi="Times New Roman" w:eastAsia="仿宋" w:cs="Times New Roman"/>
                <w:kern w:val="0"/>
                <w:sz w:val="18"/>
                <w:szCs w:val="18"/>
              </w:rPr>
              <w:t>均值</w:t>
            </w:r>
          </w:p>
        </w:tc>
        <w:tc>
          <w:tcPr>
            <w:tcW w:w="993" w:type="dxa"/>
            <w:tcBorders>
              <w:top w:val="single" w:color="auto" w:sz="4" w:space="0"/>
              <w:left w:val="nil"/>
              <w:bottom w:val="single" w:color="auto" w:sz="10"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 </w:t>
            </w:r>
            <w:r>
              <w:rPr>
                <w:rFonts w:hint="eastAsia" w:ascii="Times New Roman" w:hAnsi="Times New Roman" w:eastAsia="仿宋" w:cs="Times New Roman"/>
                <w:kern w:val="0"/>
                <w:sz w:val="18"/>
                <w:szCs w:val="18"/>
              </w:rPr>
              <w:t>标准差</w:t>
            </w:r>
          </w:p>
        </w:tc>
        <w:tc>
          <w:tcPr>
            <w:tcW w:w="992" w:type="dxa"/>
            <w:tcBorders>
              <w:top w:val="single" w:color="auto" w:sz="4" w:space="0"/>
              <w:left w:val="nil"/>
              <w:bottom w:val="single" w:color="auto" w:sz="10" w:space="0"/>
              <w:right w:val="nil"/>
            </w:tcBorders>
          </w:tcPr>
          <w:p>
            <w:pPr>
              <w:autoSpaceDE w:val="0"/>
              <w:autoSpaceDN w:val="0"/>
              <w:adjustRightInd w:val="0"/>
              <w:jc w:val="righ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最小值</w:t>
            </w:r>
          </w:p>
        </w:tc>
        <w:tc>
          <w:tcPr>
            <w:tcW w:w="1134" w:type="dxa"/>
            <w:tcBorders>
              <w:top w:val="single" w:color="auto" w:sz="4" w:space="0"/>
              <w:left w:val="nil"/>
              <w:bottom w:val="single" w:color="auto" w:sz="10"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 </w:t>
            </w:r>
            <w:r>
              <w:rPr>
                <w:rFonts w:hint="eastAsia" w:ascii="Times New Roman" w:hAnsi="Times New Roman" w:eastAsia="仿宋" w:cs="Times New Roman"/>
                <w:kern w:val="0"/>
                <w:sz w:val="18"/>
                <w:szCs w:val="18"/>
              </w:rPr>
              <w:t>最大值</w:t>
            </w:r>
          </w:p>
        </w:tc>
      </w:tr>
      <w:tr>
        <w:tblPrEx>
          <w:tblCellMar>
            <w:top w:w="0" w:type="dxa"/>
            <w:left w:w="108" w:type="dxa"/>
            <w:bottom w:w="0" w:type="dxa"/>
            <w:right w:w="108" w:type="dxa"/>
          </w:tblCellMar>
        </w:tblPrEx>
        <w:tc>
          <w:tcPr>
            <w:tcW w:w="3261" w:type="dxa"/>
            <w:gridSpan w:val="2"/>
            <w:tcBorders>
              <w:top w:val="single" w:color="auto" w:sz="4" w:space="0"/>
              <w:left w:val="nil"/>
              <w:right w:val="nil"/>
            </w:tcBorders>
          </w:tcPr>
          <w:p>
            <w:pPr>
              <w:autoSpaceDE w:val="0"/>
              <w:autoSpaceDN w:val="0"/>
              <w:adjustRightInd w:val="0"/>
              <w:jc w:val="left"/>
              <w:rPr>
                <w:rFonts w:ascii="Times New Roman" w:hAnsi="Times New Roman" w:eastAsia="仿宋" w:cs="Times New Roman"/>
                <w:b/>
                <w:bCs/>
                <w:kern w:val="0"/>
                <w:sz w:val="18"/>
                <w:szCs w:val="18"/>
              </w:rPr>
            </w:pPr>
            <w:r>
              <w:rPr>
                <w:rFonts w:hint="eastAsia" w:ascii="Times New Roman" w:hAnsi="Times New Roman" w:eastAsia="仿宋" w:cs="Times New Roman"/>
                <w:b/>
                <w:bCs/>
                <w:kern w:val="0"/>
                <w:sz w:val="18"/>
                <w:szCs w:val="18"/>
              </w:rPr>
              <w:t>自变量</w:t>
            </w:r>
          </w:p>
        </w:tc>
        <w:tc>
          <w:tcPr>
            <w:tcW w:w="850"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2"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3"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2"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1134"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县级发电容量（千瓦时）</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87.575</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904.113</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24000</w:t>
            </w:r>
          </w:p>
        </w:tc>
      </w:tr>
      <w:tr>
        <w:tblPrEx>
          <w:tblCellMar>
            <w:top w:w="0" w:type="dxa"/>
            <w:left w:w="108" w:type="dxa"/>
            <w:bottom w:w="0" w:type="dxa"/>
            <w:right w:w="108" w:type="dxa"/>
          </w:tblCellMar>
        </w:tblPrEx>
        <w:tc>
          <w:tcPr>
            <w:tcW w:w="3261" w:type="dxa"/>
            <w:gridSpan w:val="2"/>
            <w:tcBorders>
              <w:top w:val="nil"/>
              <w:left w:val="nil"/>
              <w:bottom w:val="single" w:color="auto" w:sz="4" w:space="0"/>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是否有电厂</w:t>
            </w:r>
          </w:p>
        </w:tc>
        <w:tc>
          <w:tcPr>
            <w:tcW w:w="850"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0.058</w:t>
            </w:r>
          </w:p>
        </w:tc>
        <w:tc>
          <w:tcPr>
            <w:tcW w:w="993"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0.235</w:t>
            </w:r>
          </w:p>
        </w:tc>
        <w:tc>
          <w:tcPr>
            <w:tcW w:w="992"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right w:val="nil"/>
            </w:tcBorders>
          </w:tcPr>
          <w:p>
            <w:pPr>
              <w:autoSpaceDE w:val="0"/>
              <w:autoSpaceDN w:val="0"/>
              <w:adjustRightInd w:val="0"/>
              <w:jc w:val="left"/>
              <w:rPr>
                <w:rFonts w:ascii="Times New Roman" w:hAnsi="Times New Roman" w:eastAsia="仿宋" w:cs="Times New Roman"/>
                <w:b/>
                <w:bCs/>
                <w:kern w:val="0"/>
                <w:sz w:val="18"/>
                <w:szCs w:val="18"/>
              </w:rPr>
            </w:pPr>
            <w:r>
              <w:rPr>
                <w:rFonts w:hint="eastAsia" w:ascii="Times New Roman" w:hAnsi="Times New Roman" w:eastAsia="仿宋" w:cs="Times New Roman"/>
                <w:b/>
                <w:bCs/>
                <w:kern w:val="0"/>
                <w:sz w:val="18"/>
                <w:szCs w:val="18"/>
              </w:rPr>
              <w:t>因变量</w:t>
            </w:r>
          </w:p>
        </w:tc>
        <w:tc>
          <w:tcPr>
            <w:tcW w:w="850" w:type="dxa"/>
            <w:tcBorders>
              <w:top w:val="nil"/>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2" w:type="dxa"/>
            <w:tcBorders>
              <w:top w:val="nil"/>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3" w:type="dxa"/>
            <w:tcBorders>
              <w:top w:val="nil"/>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2" w:type="dxa"/>
            <w:tcBorders>
              <w:top w:val="nil"/>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1134" w:type="dxa"/>
            <w:tcBorders>
              <w:top w:val="nil"/>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r>
      <w:tr>
        <w:tblPrEx>
          <w:tblCellMar>
            <w:top w:w="0" w:type="dxa"/>
            <w:left w:w="108" w:type="dxa"/>
            <w:bottom w:w="0" w:type="dxa"/>
            <w:right w:w="108" w:type="dxa"/>
          </w:tblCellMar>
        </w:tblPrEx>
        <w:tc>
          <w:tcPr>
            <w:tcW w:w="3261" w:type="dxa"/>
            <w:gridSpan w:val="2"/>
            <w:tcBorders>
              <w:left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新进入企业数量（个）</w:t>
            </w:r>
          </w:p>
        </w:tc>
        <w:tc>
          <w:tcPr>
            <w:tcW w:w="850" w:type="dxa"/>
            <w:tcBorders>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0.118</w:t>
            </w:r>
          </w:p>
        </w:tc>
        <w:tc>
          <w:tcPr>
            <w:tcW w:w="993" w:type="dxa"/>
            <w:tcBorders>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0.779</w:t>
            </w:r>
          </w:p>
        </w:tc>
        <w:tc>
          <w:tcPr>
            <w:tcW w:w="992" w:type="dxa"/>
            <w:tcBorders>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69</w:t>
            </w:r>
          </w:p>
        </w:tc>
      </w:tr>
      <w:tr>
        <w:tblPrEx>
          <w:tblCellMar>
            <w:top w:w="0" w:type="dxa"/>
            <w:left w:w="108" w:type="dxa"/>
            <w:bottom w:w="0" w:type="dxa"/>
            <w:right w:w="108" w:type="dxa"/>
          </w:tblCellMar>
        </w:tblPrEx>
        <w:tc>
          <w:tcPr>
            <w:tcW w:w="3261" w:type="dxa"/>
            <w:gridSpan w:val="2"/>
            <w:tcBorders>
              <w:left w:val="nil"/>
              <w:bottom w:val="single" w:color="auto" w:sz="4" w:space="0"/>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新进入企业资本量（千元，1</w:t>
            </w:r>
            <w:r>
              <w:rPr>
                <w:rFonts w:ascii="Times New Roman" w:hAnsi="Times New Roman" w:eastAsia="仿宋" w:cs="Times New Roman"/>
                <w:kern w:val="0"/>
                <w:sz w:val="18"/>
                <w:szCs w:val="18"/>
              </w:rPr>
              <w:t>875</w:t>
            </w:r>
            <w:r>
              <w:rPr>
                <w:rFonts w:hint="eastAsia" w:ascii="Times New Roman" w:hAnsi="Times New Roman" w:eastAsia="仿宋" w:cs="Times New Roman"/>
                <w:kern w:val="0"/>
                <w:sz w:val="18"/>
                <w:szCs w:val="18"/>
              </w:rPr>
              <w:t>年不变价格）</w:t>
            </w:r>
          </w:p>
        </w:tc>
        <w:tc>
          <w:tcPr>
            <w:tcW w:w="850" w:type="dxa"/>
            <w:tcBorders>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113715.3</w:t>
            </w:r>
          </w:p>
        </w:tc>
        <w:tc>
          <w:tcPr>
            <w:tcW w:w="993" w:type="dxa"/>
            <w:tcBorders>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919836</w:t>
            </w:r>
          </w:p>
        </w:tc>
        <w:tc>
          <w:tcPr>
            <w:tcW w:w="992" w:type="dxa"/>
            <w:tcBorders>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 27276452</w:t>
            </w:r>
          </w:p>
        </w:tc>
      </w:tr>
      <w:tr>
        <w:tblPrEx>
          <w:tblCellMar>
            <w:top w:w="0" w:type="dxa"/>
            <w:left w:w="108" w:type="dxa"/>
            <w:bottom w:w="0" w:type="dxa"/>
            <w:right w:w="108" w:type="dxa"/>
          </w:tblCellMar>
        </w:tblPrEx>
        <w:tc>
          <w:tcPr>
            <w:tcW w:w="3261" w:type="dxa"/>
            <w:gridSpan w:val="2"/>
            <w:tcBorders>
              <w:top w:val="single" w:color="auto" w:sz="4" w:space="0"/>
              <w:left w:val="nil"/>
              <w:right w:val="nil"/>
            </w:tcBorders>
          </w:tcPr>
          <w:p>
            <w:pPr>
              <w:autoSpaceDE w:val="0"/>
              <w:autoSpaceDN w:val="0"/>
              <w:adjustRightInd w:val="0"/>
              <w:jc w:val="left"/>
              <w:rPr>
                <w:rFonts w:ascii="Times New Roman" w:hAnsi="Times New Roman" w:eastAsia="仿宋" w:cs="Times New Roman"/>
                <w:b/>
                <w:bCs/>
                <w:kern w:val="0"/>
                <w:sz w:val="18"/>
                <w:szCs w:val="18"/>
              </w:rPr>
            </w:pPr>
            <w:r>
              <w:rPr>
                <w:rFonts w:hint="eastAsia" w:ascii="Times New Roman" w:hAnsi="Times New Roman" w:eastAsia="仿宋" w:cs="Times New Roman"/>
                <w:b/>
                <w:bCs/>
                <w:kern w:val="0"/>
                <w:sz w:val="18"/>
                <w:szCs w:val="18"/>
              </w:rPr>
              <w:t>控制变量</w:t>
            </w:r>
          </w:p>
        </w:tc>
        <w:tc>
          <w:tcPr>
            <w:tcW w:w="850"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2"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3"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992"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c>
          <w:tcPr>
            <w:tcW w:w="1134" w:type="dxa"/>
            <w:tcBorders>
              <w:top w:val="single" w:color="auto" w:sz="4" w:space="0"/>
              <w:left w:val="nil"/>
              <w:right w:val="nil"/>
            </w:tcBorders>
          </w:tcPr>
          <w:p>
            <w:pPr>
              <w:autoSpaceDE w:val="0"/>
              <w:autoSpaceDN w:val="0"/>
              <w:adjustRightInd w:val="0"/>
              <w:jc w:val="right"/>
              <w:rPr>
                <w:rFonts w:ascii="Times New Roman" w:hAnsi="Times New Roman" w:eastAsia="仿宋" w:cs="Times New Roman"/>
                <w:b/>
                <w:bCs/>
                <w:kern w:val="0"/>
                <w:sz w:val="18"/>
                <w:szCs w:val="18"/>
              </w:rPr>
            </w:pPr>
          </w:p>
        </w:tc>
      </w:tr>
      <w:tr>
        <w:tblPrEx>
          <w:tblCellMar>
            <w:top w:w="0" w:type="dxa"/>
            <w:left w:w="108" w:type="dxa"/>
            <w:bottom w:w="0" w:type="dxa"/>
            <w:right w:w="108" w:type="dxa"/>
          </w:tblCellMar>
        </w:tblPrEx>
        <w:tc>
          <w:tcPr>
            <w:tcW w:w="3261" w:type="dxa"/>
            <w:gridSpan w:val="2"/>
            <w:tcBorders>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经度</w:t>
            </w:r>
          </w:p>
        </w:tc>
        <w:tc>
          <w:tcPr>
            <w:tcW w:w="850" w:type="dxa"/>
            <w:tcBorders>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114.887</w:t>
            </w:r>
          </w:p>
        </w:tc>
        <w:tc>
          <w:tcPr>
            <w:tcW w:w="993" w:type="dxa"/>
            <w:tcBorders>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5.561</w:t>
            </w:r>
          </w:p>
        </w:tc>
        <w:tc>
          <w:tcPr>
            <w:tcW w:w="992" w:type="dxa"/>
            <w:tcBorders>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100.134</w:t>
            </w:r>
          </w:p>
        </w:tc>
        <w:tc>
          <w:tcPr>
            <w:tcW w:w="1134" w:type="dxa"/>
            <w:tcBorders>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134.033</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纬度</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31.795</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5.216</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19.234</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48.045</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洋务运动时期的军工企业数（个）</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0.056</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0.298</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是否简缺</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0.408</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是否中缺</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0.466</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是否要缺</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0.362</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0.481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是否省会</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0.208</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0.406</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是否首县</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0.271</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0.444</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到对外战场的距离（千米）</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394.772</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306.743</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1690.16</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到海岸线的距离（千米）</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352.806</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323.825</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0.513</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1247.605</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到河流的距离（千米）</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3.598</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6.005</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40.052</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到通商口岸的距离（千米）</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216.933</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176.396</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1295.844</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是否被太平天国运动影响</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0.374</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0.484</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土壤适宜程度指数（棉）</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5.63</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1.31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8.748</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土壤适宜程度指数（茶叶）</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6.766</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2.009</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9.167</w:t>
            </w:r>
          </w:p>
        </w:tc>
      </w:tr>
      <w:tr>
        <w:tblPrEx>
          <w:tblCellMar>
            <w:top w:w="0" w:type="dxa"/>
            <w:left w:w="108" w:type="dxa"/>
            <w:bottom w:w="0" w:type="dxa"/>
            <w:right w:w="108" w:type="dxa"/>
          </w:tblCellMar>
        </w:tblPrEx>
        <w:tc>
          <w:tcPr>
            <w:tcW w:w="3261" w:type="dxa"/>
            <w:gridSpan w:val="2"/>
            <w:tcBorders>
              <w:top w:val="nil"/>
              <w:left w:val="nil"/>
              <w:bottom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土壤适宜程度指数（大豆）</w:t>
            </w:r>
          </w:p>
        </w:tc>
        <w:tc>
          <w:tcPr>
            <w:tcW w:w="850"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5.9</w:t>
            </w:r>
          </w:p>
        </w:tc>
        <w:tc>
          <w:tcPr>
            <w:tcW w:w="993"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1.106</w:t>
            </w:r>
          </w:p>
        </w:tc>
        <w:tc>
          <w:tcPr>
            <w:tcW w:w="992"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8.286</w:t>
            </w:r>
          </w:p>
        </w:tc>
      </w:tr>
      <w:tr>
        <w:tblPrEx>
          <w:tblCellMar>
            <w:top w:w="0" w:type="dxa"/>
            <w:left w:w="108" w:type="dxa"/>
            <w:bottom w:w="0" w:type="dxa"/>
            <w:right w:w="108" w:type="dxa"/>
          </w:tblCellMar>
        </w:tblPrEx>
        <w:tc>
          <w:tcPr>
            <w:tcW w:w="3261" w:type="dxa"/>
            <w:gridSpan w:val="2"/>
            <w:tcBorders>
              <w:top w:val="nil"/>
              <w:left w:val="nil"/>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土壤适宜程度指数（小麦）</w:t>
            </w:r>
          </w:p>
        </w:tc>
        <w:tc>
          <w:tcPr>
            <w:tcW w:w="850" w:type="dxa"/>
            <w:tcBorders>
              <w:top w:val="nil"/>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5.75</w:t>
            </w:r>
          </w:p>
        </w:tc>
        <w:tc>
          <w:tcPr>
            <w:tcW w:w="993" w:type="dxa"/>
            <w:tcBorders>
              <w:top w:val="nil"/>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0.914</w:t>
            </w:r>
          </w:p>
        </w:tc>
        <w:tc>
          <w:tcPr>
            <w:tcW w:w="992" w:type="dxa"/>
            <w:tcBorders>
              <w:top w:val="nil"/>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8.143</w:t>
            </w:r>
          </w:p>
        </w:tc>
      </w:tr>
      <w:tr>
        <w:tblPrEx>
          <w:tblCellMar>
            <w:top w:w="0" w:type="dxa"/>
            <w:left w:w="108" w:type="dxa"/>
            <w:bottom w:w="0" w:type="dxa"/>
            <w:right w:w="108" w:type="dxa"/>
          </w:tblCellMar>
        </w:tblPrEx>
        <w:tc>
          <w:tcPr>
            <w:tcW w:w="3261" w:type="dxa"/>
            <w:gridSpan w:val="2"/>
            <w:tcBorders>
              <w:top w:val="nil"/>
              <w:left w:val="nil"/>
              <w:bottom w:val="single" w:color="auto" w:sz="4" w:space="0"/>
              <w:right w:val="nil"/>
            </w:tcBorders>
          </w:tcPr>
          <w:p>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是否有租界</w:t>
            </w:r>
          </w:p>
        </w:tc>
        <w:tc>
          <w:tcPr>
            <w:tcW w:w="850"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28161</w:t>
            </w:r>
          </w:p>
        </w:tc>
        <w:tc>
          <w:tcPr>
            <w:tcW w:w="992"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0.016</w:t>
            </w:r>
          </w:p>
        </w:tc>
        <w:tc>
          <w:tcPr>
            <w:tcW w:w="993"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0.124</w:t>
            </w:r>
          </w:p>
        </w:tc>
        <w:tc>
          <w:tcPr>
            <w:tcW w:w="992"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1134" w:type="dxa"/>
            <w:tcBorders>
              <w:top w:val="nil"/>
              <w:left w:val="nil"/>
              <w:bottom w:val="single" w:color="auto" w:sz="4" w:space="0"/>
              <w:right w:val="nil"/>
            </w:tcBorders>
          </w:tcPr>
          <w:p>
            <w:pPr>
              <w:autoSpaceDE w:val="0"/>
              <w:autoSpaceDN w:val="0"/>
              <w:adjustRightInd w:val="0"/>
              <w:jc w:val="right"/>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tblPrEx>
          <w:tblCellMar>
            <w:top w:w="0" w:type="dxa"/>
            <w:left w:w="108" w:type="dxa"/>
            <w:bottom w:w="0" w:type="dxa"/>
            <w:right w:w="108" w:type="dxa"/>
          </w:tblCellMar>
        </w:tblPrEx>
        <w:trPr>
          <w:gridAfter w:val="6"/>
          <w:wAfter w:w="7422" w:type="dxa"/>
        </w:trPr>
        <w:tc>
          <w:tcPr>
            <w:tcW w:w="800" w:type="dxa"/>
            <w:tcBorders>
              <w:top w:val="single" w:color="auto" w:sz="6" w:space="0"/>
              <w:left w:val="nil"/>
              <w:bottom w:val="nil"/>
              <w:right w:val="nil"/>
            </w:tcBorders>
          </w:tcPr>
          <w:p>
            <w:pPr>
              <w:autoSpaceDE w:val="0"/>
              <w:autoSpaceDN w:val="0"/>
              <w:adjustRightInd w:val="0"/>
              <w:jc w:val="left"/>
              <w:rPr>
                <w:rFonts w:ascii="Times New Roman" w:hAnsi="Times New Roman" w:eastAsia="仿宋" w:cs="Times New Roman"/>
                <w:kern w:val="0"/>
                <w:sz w:val="20"/>
                <w:szCs w:val="20"/>
              </w:rPr>
            </w:pPr>
          </w:p>
        </w:tc>
      </w:tr>
    </w:tbl>
    <w:p>
      <w:pPr>
        <w:pStyle w:val="9"/>
        <w:ind w:left="360" w:firstLine="0" w:firstLineChars="0"/>
        <w:rPr>
          <w:rFonts w:ascii="Times New Roman" w:hAnsi="Times New Roman" w:eastAsia="宋体" w:cs="Times New Roman"/>
          <w:b/>
          <w:bCs/>
        </w:rPr>
      </w:pPr>
    </w:p>
    <w:p>
      <w:pPr>
        <w:widowControl/>
        <w:jc w:val="left"/>
        <w:rPr>
          <w:rFonts w:ascii="Times New Roman" w:hAnsi="Times New Roman" w:eastAsia="宋体" w:cs="Times New Roman"/>
          <w:b/>
          <w:bCs/>
        </w:rPr>
      </w:pPr>
      <w:r>
        <w:rPr>
          <w:rFonts w:ascii="Times New Roman" w:hAnsi="Times New Roman" w:eastAsia="宋体" w:cs="Times New Roman"/>
          <w:b/>
          <w:bCs/>
        </w:rPr>
        <w:br w:type="page"/>
      </w:r>
    </w:p>
    <w:p>
      <w:pPr>
        <w:pStyle w:val="9"/>
        <w:ind w:left="360" w:firstLine="0" w:firstLineChars="0"/>
        <w:rPr>
          <w:rFonts w:ascii="Times New Roman" w:hAnsi="Times New Roman" w:eastAsia="宋体" w:cs="Times New Roman"/>
          <w:b/>
          <w:bCs/>
        </w:rPr>
      </w:pPr>
    </w:p>
    <w:p>
      <w:pPr>
        <w:widowControl/>
        <w:jc w:val="center"/>
        <w:rPr>
          <w:rFonts w:hint="eastAsia" w:ascii="宋体" w:hAnsi="宋体" w:eastAsia="宋体" w:cs="宋体"/>
          <w:b/>
          <w:bCs/>
          <w:sz w:val="20"/>
          <w:szCs w:val="21"/>
        </w:rPr>
      </w:pPr>
      <w:r>
        <w:rPr>
          <w:rFonts w:hint="eastAsia" w:ascii="宋体" w:hAnsi="宋体" w:eastAsia="宋体" w:cs="宋体"/>
          <w:b/>
          <w:bCs/>
          <w:sz w:val="20"/>
          <w:szCs w:val="21"/>
        </w:rPr>
        <w:t>表A2工具变量的稳健性检验</w:t>
      </w:r>
    </w:p>
    <w:tbl>
      <w:tblPr>
        <w:tblStyle w:val="6"/>
        <w:tblW w:w="9781" w:type="dxa"/>
        <w:jc w:val="center"/>
        <w:tblLayout w:type="autofit"/>
        <w:tblCellMar>
          <w:top w:w="0" w:type="dxa"/>
          <w:left w:w="108" w:type="dxa"/>
          <w:bottom w:w="0" w:type="dxa"/>
          <w:right w:w="108" w:type="dxa"/>
        </w:tblCellMar>
      </w:tblPr>
      <w:tblGrid>
        <w:gridCol w:w="2084"/>
        <w:gridCol w:w="2082"/>
        <w:gridCol w:w="1079"/>
        <w:gridCol w:w="1869"/>
        <w:gridCol w:w="1391"/>
        <w:gridCol w:w="1134"/>
        <w:gridCol w:w="142"/>
      </w:tblGrid>
      <w:tr>
        <w:tblPrEx>
          <w:tblCellMar>
            <w:top w:w="0" w:type="dxa"/>
            <w:left w:w="108" w:type="dxa"/>
            <w:bottom w:w="0" w:type="dxa"/>
            <w:right w:w="108" w:type="dxa"/>
          </w:tblCellMar>
        </w:tblPrEx>
        <w:trPr>
          <w:gridAfter w:val="1"/>
          <w:wAfter w:w="142" w:type="dxa"/>
          <w:trHeight w:val="263" w:hRule="atLeast"/>
          <w:jc w:val="center"/>
        </w:trPr>
        <w:tc>
          <w:tcPr>
            <w:tcW w:w="2084" w:type="dxa"/>
            <w:tcBorders>
              <w:top w:val="single" w:color="000000" w:sz="4" w:space="0"/>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bookmarkStart w:id="1" w:name="_Hlk102678030"/>
            <w:r>
              <w:rPr>
                <w:rFonts w:ascii="Times New Roman" w:hAnsi="Times New Roman" w:eastAsia="仿宋" w:cs="Times New Roman"/>
                <w:kern w:val="0"/>
                <w:sz w:val="18"/>
                <w:szCs w:val="18"/>
              </w:rPr>
              <w:t>　</w:t>
            </w:r>
          </w:p>
        </w:tc>
        <w:tc>
          <w:tcPr>
            <w:tcW w:w="2082"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079"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869"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1391"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1134" w:type="dxa"/>
            <w:tcBorders>
              <w:top w:val="single" w:color="000000" w:sz="4" w:space="0"/>
              <w:left w:val="nil"/>
              <w:bottom w:val="nil"/>
              <w:right w:val="nil"/>
            </w:tcBorders>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(5)</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2082"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2sls</w:t>
            </w:r>
          </w:p>
        </w:tc>
        <w:tc>
          <w:tcPr>
            <w:tcW w:w="1079"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2sls</w:t>
            </w:r>
          </w:p>
        </w:tc>
        <w:tc>
          <w:tcPr>
            <w:tcW w:w="1869"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2sls</w:t>
            </w:r>
          </w:p>
        </w:tc>
        <w:tc>
          <w:tcPr>
            <w:tcW w:w="1391"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2sls</w:t>
            </w:r>
          </w:p>
        </w:tc>
        <w:tc>
          <w:tcPr>
            <w:tcW w:w="1134" w:type="dxa"/>
            <w:tcBorders>
              <w:top w:val="nil"/>
              <w:left w:val="nil"/>
              <w:bottom w:val="nil"/>
              <w:right w:val="nil"/>
            </w:tcBorders>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ols</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变量</w:t>
            </w:r>
          </w:p>
        </w:tc>
        <w:tc>
          <w:tcPr>
            <w:tcW w:w="2082"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企业进入</w:t>
            </w:r>
          </w:p>
        </w:tc>
        <w:tc>
          <w:tcPr>
            <w:tcW w:w="1079" w:type="dxa"/>
            <w:tcBorders>
              <w:top w:val="nil"/>
              <w:left w:val="nil"/>
              <w:bottom w:val="nil"/>
              <w:right w:val="nil"/>
            </w:tcBorders>
            <w:shd w:val="clear" w:color="auto" w:fill="auto"/>
            <w:noWrap/>
          </w:tcPr>
          <w:p>
            <w:pPr>
              <w:widowControl/>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企业进入</w:t>
            </w:r>
          </w:p>
        </w:tc>
        <w:tc>
          <w:tcPr>
            <w:tcW w:w="1869"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企业进入</w:t>
            </w:r>
          </w:p>
        </w:tc>
        <w:tc>
          <w:tcPr>
            <w:tcW w:w="1391" w:type="dxa"/>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企业进入</w:t>
            </w:r>
          </w:p>
        </w:tc>
        <w:tc>
          <w:tcPr>
            <w:tcW w:w="1134" w:type="dxa"/>
            <w:tcBorders>
              <w:top w:val="nil"/>
              <w:left w:val="nil"/>
              <w:bottom w:val="nil"/>
              <w:right w:val="nil"/>
            </w:tcBorders>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企业进入</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single" w:color="000000" w:sz="4" w:space="0"/>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2082"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079"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869"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91" w:type="dxa"/>
            <w:tcBorders>
              <w:top w:val="single" w:color="000000" w:sz="4" w:space="0"/>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134" w:type="dxa"/>
            <w:tcBorders>
              <w:top w:val="single" w:color="000000" w:sz="4" w:space="0"/>
              <w:left w:val="nil"/>
              <w:bottom w:val="nil"/>
              <w:right w:val="nil"/>
            </w:tcBorders>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　</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滞后一期的电厂设立</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0.896***</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0.605</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0.512***</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0.665*</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(0.298)</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(0.405)</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(0.186)</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(0.363)</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both"/>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滞后一期的工具变量</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0.120</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cs="Times New Roman"/>
                <w:sz w:val="18"/>
                <w:szCs w:val="18"/>
              </w:rPr>
            </w:pP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(0.127)</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2082"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p>
        </w:tc>
        <w:tc>
          <w:tcPr>
            <w:tcW w:w="1134" w:type="dxa"/>
            <w:tcBorders>
              <w:top w:val="nil"/>
              <w:left w:val="nil"/>
              <w:bottom w:val="nil"/>
              <w:right w:val="nil"/>
            </w:tcBorders>
            <w:vAlign w:val="bottom"/>
          </w:tcPr>
          <w:p>
            <w:pPr>
              <w:widowControl/>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观察值个数</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26,712</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26,712</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26,145</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26,145</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21,987</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调整</w:t>
            </w:r>
            <w:r>
              <w:rPr>
                <w:rFonts w:ascii="Times New Roman" w:hAnsi="Times New Roman" w:eastAsia="仿宋" w:cs="Times New Roman"/>
                <w:i/>
                <w:iCs/>
                <w:kern w:val="0"/>
                <w:sz w:val="18"/>
                <w:szCs w:val="18"/>
              </w:rPr>
              <w:t>R</w:t>
            </w:r>
            <w:r>
              <w:rPr>
                <w:rFonts w:ascii="Times New Roman" w:hAnsi="Times New Roman" w:eastAsia="仿宋" w:cs="Times New Roman"/>
                <w:kern w:val="0"/>
                <w:sz w:val="18"/>
                <w:szCs w:val="18"/>
              </w:rPr>
              <w:t>平方</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0.241</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0.368</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0.288</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0.230</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0.391</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县级固定效应</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Yes</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省</w:t>
            </w:r>
            <w:r>
              <w:rPr>
                <w:rFonts w:hint="eastAsia" w:ascii="Times New Roman" w:hAnsi="Times New Roman" w:eastAsia="仿宋" w:cs="Times New Roman"/>
                <w:kern w:val="0"/>
                <w:sz w:val="18"/>
                <w:szCs w:val="18"/>
                <w:lang w:val="en-US" w:eastAsia="zh-CN"/>
              </w:rPr>
              <w:t>×</w:t>
            </w:r>
            <w:r>
              <w:rPr>
                <w:rFonts w:ascii="Times New Roman" w:hAnsi="Times New Roman" w:eastAsia="仿宋" w:cs="Times New Roman"/>
                <w:kern w:val="0"/>
                <w:sz w:val="18"/>
                <w:szCs w:val="18"/>
              </w:rPr>
              <w:t>年度固定效应</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Yes</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nil"/>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是否添加控制变量</w:t>
            </w:r>
          </w:p>
        </w:tc>
        <w:tc>
          <w:tcPr>
            <w:tcW w:w="2082"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07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869"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391"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Yes</w:t>
            </w:r>
          </w:p>
        </w:tc>
        <w:tc>
          <w:tcPr>
            <w:tcW w:w="1134" w:type="dxa"/>
            <w:tcBorders>
              <w:top w:val="nil"/>
              <w:left w:val="nil"/>
              <w:bottom w:val="nil"/>
              <w:right w:val="nil"/>
            </w:tcBorders>
            <w:vAlign w:val="bottom"/>
          </w:tcPr>
          <w:p>
            <w:pPr>
              <w:widowControl/>
              <w:jc w:val="center"/>
              <w:rPr>
                <w:rFonts w:ascii="Times New Roman" w:hAnsi="Times New Roman" w:cs="Times New Roman"/>
                <w:sz w:val="18"/>
                <w:szCs w:val="18"/>
              </w:rPr>
            </w:pPr>
            <w:r>
              <w:rPr>
                <w:rFonts w:ascii="Times New Roman" w:hAnsi="Times New Roman" w:cs="Times New Roman"/>
                <w:sz w:val="18"/>
                <w:szCs w:val="18"/>
              </w:rPr>
              <w:t>Yes</w:t>
            </w:r>
          </w:p>
        </w:tc>
      </w:tr>
      <w:tr>
        <w:tblPrEx>
          <w:tblCellMar>
            <w:top w:w="0" w:type="dxa"/>
            <w:left w:w="108" w:type="dxa"/>
            <w:bottom w:w="0" w:type="dxa"/>
            <w:right w:w="108" w:type="dxa"/>
          </w:tblCellMar>
        </w:tblPrEx>
        <w:trPr>
          <w:gridAfter w:val="1"/>
          <w:wAfter w:w="142" w:type="dxa"/>
          <w:trHeight w:val="263" w:hRule="atLeast"/>
          <w:jc w:val="center"/>
        </w:trPr>
        <w:tc>
          <w:tcPr>
            <w:tcW w:w="2084" w:type="dxa"/>
            <w:tcBorders>
              <w:top w:val="nil"/>
              <w:left w:val="nil"/>
              <w:bottom w:val="single" w:color="000000" w:sz="4" w:space="0"/>
              <w:right w:val="nil"/>
            </w:tcBorders>
            <w:shd w:val="clear" w:color="auto" w:fill="auto"/>
            <w:noWrap/>
            <w:vAlign w:val="bottom"/>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K-P </w:t>
            </w:r>
            <w:r>
              <w:rPr>
                <w:rFonts w:ascii="Times New Roman" w:hAnsi="Times New Roman" w:eastAsia="仿宋" w:cs="Times New Roman"/>
                <w:i/>
                <w:iCs/>
                <w:kern w:val="0"/>
                <w:sz w:val="18"/>
                <w:szCs w:val="18"/>
              </w:rPr>
              <w:t>F</w:t>
            </w:r>
            <w:r>
              <w:rPr>
                <w:rFonts w:hint="eastAsia" w:ascii="Times New Roman" w:hAnsi="Times New Roman" w:eastAsia="仿宋" w:cs="Times New Roman"/>
                <w:kern w:val="0"/>
                <w:sz w:val="18"/>
                <w:szCs w:val="18"/>
              </w:rPr>
              <w:t>统计量</w:t>
            </w:r>
          </w:p>
        </w:tc>
        <w:tc>
          <w:tcPr>
            <w:tcW w:w="2082" w:type="dxa"/>
            <w:tcBorders>
              <w:top w:val="nil"/>
              <w:left w:val="nil"/>
              <w:bottom w:val="single" w:color="000000" w:sz="4" w:space="0"/>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21.06</w:t>
            </w:r>
          </w:p>
        </w:tc>
        <w:tc>
          <w:tcPr>
            <w:tcW w:w="1079" w:type="dxa"/>
            <w:tcBorders>
              <w:top w:val="nil"/>
              <w:left w:val="nil"/>
              <w:bottom w:val="single" w:color="000000" w:sz="4" w:space="0"/>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8.093</w:t>
            </w:r>
          </w:p>
        </w:tc>
        <w:tc>
          <w:tcPr>
            <w:tcW w:w="1869" w:type="dxa"/>
            <w:tcBorders>
              <w:top w:val="nil"/>
              <w:left w:val="nil"/>
              <w:bottom w:val="single" w:color="000000" w:sz="4" w:space="0"/>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50.85</w:t>
            </w:r>
          </w:p>
        </w:tc>
        <w:tc>
          <w:tcPr>
            <w:tcW w:w="1391" w:type="dxa"/>
            <w:tcBorders>
              <w:top w:val="nil"/>
              <w:left w:val="nil"/>
              <w:bottom w:val="single" w:color="000000" w:sz="4" w:space="0"/>
              <w:right w:val="nil"/>
            </w:tcBorders>
            <w:shd w:val="clear" w:color="auto" w:fill="auto"/>
            <w:noWrap/>
            <w:vAlign w:val="bottom"/>
          </w:tcPr>
          <w:p>
            <w:pPr>
              <w:widowControl/>
              <w:jc w:val="center"/>
              <w:rPr>
                <w:rFonts w:ascii="Times New Roman" w:hAnsi="Times New Roman" w:eastAsia="仿宋" w:cs="Times New Roman"/>
                <w:kern w:val="0"/>
                <w:sz w:val="18"/>
                <w:szCs w:val="18"/>
              </w:rPr>
            </w:pPr>
            <w:r>
              <w:rPr>
                <w:rFonts w:ascii="Times New Roman" w:hAnsi="Times New Roman" w:cs="Times New Roman"/>
                <w:sz w:val="18"/>
                <w:szCs w:val="18"/>
              </w:rPr>
              <w:t>9.681</w:t>
            </w:r>
          </w:p>
        </w:tc>
        <w:tc>
          <w:tcPr>
            <w:tcW w:w="1134" w:type="dxa"/>
            <w:tcBorders>
              <w:top w:val="nil"/>
              <w:left w:val="nil"/>
              <w:bottom w:val="single" w:color="000000" w:sz="4" w:space="0"/>
              <w:right w:val="nil"/>
            </w:tcBorders>
          </w:tcPr>
          <w:p>
            <w:pPr>
              <w:widowControl/>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936" w:hRule="atLeast"/>
          <w:jc w:val="center"/>
        </w:trPr>
        <w:tc>
          <w:tcPr>
            <w:tcW w:w="9781" w:type="dxa"/>
            <w:gridSpan w:val="7"/>
            <w:tcBorders>
              <w:top w:val="nil"/>
              <w:left w:val="nil"/>
              <w:right w:val="nil"/>
            </w:tcBorders>
          </w:tcPr>
          <w:p>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注：</w:t>
            </w:r>
            <w:r>
              <w:rPr>
                <w:rFonts w:hint="eastAsia" w:ascii="Times New Roman" w:hAnsi="Times New Roman" w:eastAsia="仿宋" w:cs="Times New Roman"/>
                <w:kern w:val="0"/>
                <w:sz w:val="18"/>
                <w:szCs w:val="18"/>
              </w:rPr>
              <w:t>列</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1</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至列</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4</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为使用不同工具变量的</w:t>
            </w:r>
            <w:r>
              <w:rPr>
                <w:rFonts w:ascii="Times New Roman" w:hAnsi="Times New Roman" w:eastAsia="仿宋" w:cs="Times New Roman"/>
                <w:kern w:val="0"/>
                <w:sz w:val="18"/>
                <w:szCs w:val="18"/>
              </w:rPr>
              <w:t>二阶段回归结果</w:t>
            </w: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列</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1</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使用电线进口关税税率乘以1</w:t>
            </w:r>
            <w:r>
              <w:rPr>
                <w:rFonts w:ascii="Times New Roman" w:hAnsi="Times New Roman" w:eastAsia="仿宋" w:cs="Times New Roman"/>
                <w:kern w:val="0"/>
                <w:sz w:val="18"/>
                <w:szCs w:val="18"/>
              </w:rPr>
              <w:t>851</w:t>
            </w:r>
            <w:r>
              <w:rPr>
                <w:rFonts w:hint="eastAsia" w:ascii="Times New Roman" w:hAnsi="Times New Roman" w:eastAsia="仿宋" w:cs="Times New Roman"/>
                <w:kern w:val="0"/>
                <w:sz w:val="18"/>
                <w:szCs w:val="18"/>
              </w:rPr>
              <w:t>年人口</w:t>
            </w:r>
            <w:r>
              <w:rPr>
                <w:rFonts w:ascii="Times New Roman" w:hAnsi="Times New Roman" w:eastAsia="仿宋" w:cs="Times New Roman"/>
                <w:kern w:val="0"/>
                <w:sz w:val="18"/>
                <w:szCs w:val="18"/>
              </w:rPr>
              <w:t>；列</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2</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使用手工机械进口关税税率乘以1</w:t>
            </w:r>
            <w:r>
              <w:rPr>
                <w:rFonts w:ascii="Times New Roman" w:hAnsi="Times New Roman" w:eastAsia="仿宋" w:cs="Times New Roman"/>
                <w:kern w:val="0"/>
                <w:sz w:val="18"/>
                <w:szCs w:val="18"/>
              </w:rPr>
              <w:t>851</w:t>
            </w:r>
            <w:r>
              <w:rPr>
                <w:rFonts w:hint="eastAsia" w:ascii="Times New Roman" w:hAnsi="Times New Roman" w:eastAsia="仿宋" w:cs="Times New Roman"/>
                <w:kern w:val="0"/>
                <w:sz w:val="18"/>
                <w:szCs w:val="18"/>
              </w:rPr>
              <w:t>年人口；</w:t>
            </w:r>
            <w:r>
              <w:rPr>
                <w:rFonts w:ascii="Times New Roman" w:hAnsi="Times New Roman" w:eastAsia="仿宋" w:cs="Times New Roman"/>
                <w:kern w:val="0"/>
                <w:sz w:val="18"/>
                <w:szCs w:val="18"/>
              </w:rPr>
              <w:t>列</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3</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使用发电机进口关税税率乘以1</w:t>
            </w:r>
            <w:r>
              <w:rPr>
                <w:rFonts w:ascii="Times New Roman" w:hAnsi="Times New Roman" w:eastAsia="仿宋" w:cs="Times New Roman"/>
                <w:kern w:val="0"/>
                <w:sz w:val="18"/>
                <w:szCs w:val="18"/>
              </w:rPr>
              <w:t>851</w:t>
            </w:r>
            <w:r>
              <w:rPr>
                <w:rFonts w:hint="eastAsia" w:ascii="Times New Roman" w:hAnsi="Times New Roman" w:eastAsia="仿宋" w:cs="Times New Roman"/>
                <w:kern w:val="0"/>
                <w:sz w:val="18"/>
                <w:szCs w:val="18"/>
              </w:rPr>
              <w:t>年人口乘以1</w:t>
            </w:r>
            <w:r>
              <w:rPr>
                <w:rFonts w:ascii="Times New Roman" w:hAnsi="Times New Roman" w:eastAsia="仿宋" w:cs="Times New Roman"/>
                <w:kern w:val="0"/>
                <w:sz w:val="18"/>
                <w:szCs w:val="18"/>
              </w:rPr>
              <w:t>776</w:t>
            </w:r>
            <w:r>
              <w:rPr>
                <w:rFonts w:hint="eastAsia" w:ascii="Times New Roman" w:hAnsi="Times New Roman" w:eastAsia="仿宋" w:cs="Times New Roman"/>
                <w:kern w:val="0"/>
                <w:sz w:val="18"/>
                <w:szCs w:val="18"/>
              </w:rPr>
              <w:t>年城市化率；</w:t>
            </w:r>
            <w:r>
              <w:rPr>
                <w:rFonts w:ascii="Times New Roman" w:hAnsi="Times New Roman" w:eastAsia="仿宋" w:cs="Times New Roman"/>
                <w:kern w:val="0"/>
                <w:sz w:val="18"/>
                <w:szCs w:val="18"/>
              </w:rPr>
              <w:t>列</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4</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使用发电机进口关税税率乘以1</w:t>
            </w:r>
            <w:r>
              <w:rPr>
                <w:rFonts w:ascii="Times New Roman" w:hAnsi="Times New Roman" w:eastAsia="仿宋" w:cs="Times New Roman"/>
                <w:kern w:val="0"/>
                <w:sz w:val="18"/>
                <w:szCs w:val="18"/>
              </w:rPr>
              <w:t>880</w:t>
            </w:r>
            <w:r>
              <w:rPr>
                <w:rFonts w:hint="eastAsia" w:ascii="Times New Roman" w:hAnsi="Times New Roman" w:eastAsia="仿宋" w:cs="Times New Roman"/>
                <w:kern w:val="0"/>
                <w:sz w:val="18"/>
                <w:szCs w:val="18"/>
              </w:rPr>
              <w:t>年人口乘以1</w:t>
            </w:r>
            <w:r>
              <w:rPr>
                <w:rFonts w:ascii="Times New Roman" w:hAnsi="Times New Roman" w:eastAsia="仿宋" w:cs="Times New Roman"/>
                <w:kern w:val="0"/>
                <w:sz w:val="18"/>
                <w:szCs w:val="18"/>
              </w:rPr>
              <w:t>776</w:t>
            </w:r>
            <w:r>
              <w:rPr>
                <w:rFonts w:hint="eastAsia" w:ascii="Times New Roman" w:hAnsi="Times New Roman" w:eastAsia="仿宋" w:cs="Times New Roman"/>
                <w:kern w:val="0"/>
                <w:sz w:val="18"/>
                <w:szCs w:val="18"/>
              </w:rPr>
              <w:t>年城市化率</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列</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5</w:t>
            </w:r>
            <w:r>
              <w:rPr>
                <w:rFonts w:hint="eastAsia" w:ascii="Times New Roman" w:hAnsi="Times New Roman" w:eastAsia="仿宋" w:cs="Times New Roman"/>
                <w:kern w:val="0"/>
                <w:sz w:val="18"/>
                <w:szCs w:val="18"/>
                <w:lang w:eastAsia="zh-CN"/>
              </w:rPr>
              <w:t>）</w:t>
            </w:r>
            <w:r>
              <w:rPr>
                <w:rFonts w:hint="eastAsia" w:ascii="Times New Roman" w:hAnsi="Times New Roman" w:eastAsia="仿宋" w:cs="Times New Roman"/>
                <w:kern w:val="0"/>
                <w:sz w:val="18"/>
                <w:szCs w:val="18"/>
              </w:rPr>
              <w:t>使用从来没有电厂设立的县作为样本，基准工具变量（发电机进口关税税率乘以1</w:t>
            </w:r>
            <w:r>
              <w:rPr>
                <w:rFonts w:ascii="Times New Roman" w:hAnsi="Times New Roman" w:eastAsia="仿宋" w:cs="Times New Roman"/>
                <w:kern w:val="0"/>
                <w:sz w:val="18"/>
                <w:szCs w:val="18"/>
              </w:rPr>
              <w:t>851</w:t>
            </w:r>
            <w:r>
              <w:rPr>
                <w:rFonts w:hint="eastAsia" w:ascii="Times New Roman" w:hAnsi="Times New Roman" w:eastAsia="仿宋" w:cs="Times New Roman"/>
                <w:kern w:val="0"/>
                <w:sz w:val="18"/>
                <w:szCs w:val="18"/>
              </w:rPr>
              <w:t>年人口）作为自变量进行安慰剂回归。</w:t>
            </w:r>
            <w:r>
              <w:rPr>
                <w:rFonts w:ascii="Times New Roman" w:hAnsi="Times New Roman" w:eastAsia="仿宋" w:cs="Times New Roman"/>
                <w:kern w:val="0"/>
                <w:sz w:val="18"/>
                <w:szCs w:val="18"/>
              </w:rPr>
              <w:t>括号内为异方差稳健标准误。***</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*分别代表在1%</w:t>
            </w:r>
            <w:r>
              <w:rPr>
                <w:rFonts w:hint="eastAsia" w:ascii="Times New Roman" w:hAnsi="Times New Roman" w:eastAsia="仿宋" w:cs="Times New Roman"/>
                <w:kern w:val="0"/>
                <w:sz w:val="18"/>
                <w:szCs w:val="18"/>
                <w:lang w:eastAsia="zh-CN"/>
              </w:rPr>
              <w:t>、</w:t>
            </w:r>
            <w:r>
              <w:rPr>
                <w:rFonts w:ascii="Times New Roman" w:hAnsi="Times New Roman" w:eastAsia="仿宋" w:cs="Times New Roman"/>
                <w:kern w:val="0"/>
                <w:sz w:val="18"/>
                <w:szCs w:val="18"/>
              </w:rPr>
              <w:t>5%和10%的显著性水平上显著。</w:t>
            </w:r>
          </w:p>
        </w:tc>
      </w:tr>
      <w:bookmarkEnd w:id="1"/>
    </w:tbl>
    <w:p>
      <w:pPr>
        <w:pStyle w:val="9"/>
        <w:spacing w:after="45"/>
        <w:ind w:left="420" w:firstLine="0" w:firstLineChars="0"/>
        <w:outlineLvl w:val="2"/>
        <w:rPr>
          <w:rFonts w:ascii="Times New Roman" w:hAnsi="Times New Roman" w:eastAsia="仿宋" w:cs="Times New Roman"/>
          <w:sz w:val="20"/>
          <w:szCs w:val="20"/>
        </w:rPr>
      </w:pPr>
    </w:p>
    <w:p>
      <w:pPr>
        <w:widowControl/>
        <w:jc w:val="left"/>
        <w:rPr>
          <w:rFonts w:ascii="Times New Roman" w:hAnsi="Times New Roman" w:eastAsia="仿宋" w:cs="Times New Roman"/>
        </w:rPr>
      </w:pPr>
      <w:r>
        <w:rPr>
          <w:rFonts w:ascii="Times New Roman" w:hAnsi="Times New Roman" w:eastAsia="仿宋" w:cs="Times New Roman"/>
        </w:rPr>
        <w:br w:type="page"/>
      </w:r>
    </w:p>
    <w:p>
      <w:pPr>
        <w:widowControl/>
        <w:jc w:val="left"/>
        <w:rPr>
          <w:rFonts w:ascii="Times New Roman" w:hAnsi="Times New Roman" w:eastAsia="仿宋" w:cs="Times New Roman"/>
        </w:rPr>
      </w:pPr>
    </w:p>
    <w:p>
      <w:pPr>
        <w:jc w:val="center"/>
        <w:rPr>
          <w:rFonts w:hint="eastAsia" w:ascii="宋体" w:hAnsi="宋体" w:eastAsia="宋体" w:cs="宋体"/>
          <w:b/>
          <w:bCs/>
          <w:sz w:val="20"/>
          <w:szCs w:val="21"/>
        </w:rPr>
      </w:pPr>
      <w:r>
        <w:rPr>
          <w:rFonts w:hint="eastAsia" w:ascii="宋体" w:hAnsi="宋体" w:eastAsia="宋体" w:cs="宋体"/>
          <w:b/>
          <w:bCs/>
          <w:sz w:val="20"/>
          <w:szCs w:val="21"/>
        </w:rPr>
        <w:t>表A3</w:t>
      </w:r>
      <w:r>
        <w:rPr>
          <w:rFonts w:hint="eastAsia" w:ascii="宋体" w:hAnsi="宋体" w:eastAsia="宋体" w:cs="宋体"/>
          <w:b/>
          <w:bCs/>
          <w:sz w:val="20"/>
          <w:szCs w:val="21"/>
          <w:lang w:val="en-US" w:eastAsia="zh-CN"/>
        </w:rPr>
        <w:t xml:space="preserve"> </w:t>
      </w:r>
      <w:r>
        <w:rPr>
          <w:rFonts w:hint="eastAsia" w:ascii="宋体" w:hAnsi="宋体" w:eastAsia="宋体" w:cs="宋体"/>
          <w:b/>
          <w:bCs/>
          <w:sz w:val="20"/>
          <w:szCs w:val="21"/>
        </w:rPr>
        <w:t>分行业的异质性回归结果</w:t>
      </w:r>
    </w:p>
    <w:tbl>
      <w:tblPr>
        <w:tblStyle w:val="6"/>
        <w:tblW w:w="8306" w:type="dxa"/>
        <w:tblInd w:w="0" w:type="dxa"/>
        <w:tblLayout w:type="autofit"/>
        <w:tblCellMar>
          <w:top w:w="0" w:type="dxa"/>
          <w:left w:w="108" w:type="dxa"/>
          <w:bottom w:w="0" w:type="dxa"/>
          <w:right w:w="108" w:type="dxa"/>
        </w:tblCellMar>
      </w:tblPr>
      <w:tblGrid>
        <w:gridCol w:w="3241"/>
        <w:gridCol w:w="1237"/>
        <w:gridCol w:w="1334"/>
        <w:gridCol w:w="1276"/>
        <w:gridCol w:w="1218"/>
      </w:tblGrid>
      <w:tr>
        <w:tblPrEx>
          <w:tblCellMar>
            <w:top w:w="0" w:type="dxa"/>
            <w:left w:w="108" w:type="dxa"/>
            <w:bottom w:w="0" w:type="dxa"/>
            <w:right w:w="108" w:type="dxa"/>
          </w:tblCellMar>
        </w:tblPrEx>
        <w:trPr>
          <w:trHeight w:val="263" w:hRule="atLeast"/>
        </w:trPr>
        <w:tc>
          <w:tcPr>
            <w:tcW w:w="3241" w:type="dxa"/>
            <w:tcBorders>
              <w:top w:val="single" w:color="000000" w:sz="4" w:space="0"/>
              <w:left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37" w:type="dxa"/>
            <w:tcBorders>
              <w:top w:val="single" w:color="000000" w:sz="4" w:space="0"/>
              <w:left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334" w:type="dxa"/>
            <w:tcBorders>
              <w:top w:val="single" w:color="000000" w:sz="4" w:space="0"/>
              <w:left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276" w:type="dxa"/>
            <w:tcBorders>
              <w:top w:val="single" w:color="000000" w:sz="4" w:space="0"/>
              <w:left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218" w:type="dxa"/>
            <w:tcBorders>
              <w:top w:val="single" w:color="000000" w:sz="4" w:space="0"/>
              <w:left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r>
      <w:tr>
        <w:tblPrEx>
          <w:tblCellMar>
            <w:top w:w="0" w:type="dxa"/>
            <w:left w:w="108" w:type="dxa"/>
            <w:bottom w:w="0" w:type="dxa"/>
            <w:right w:w="108" w:type="dxa"/>
          </w:tblCellMar>
        </w:tblPrEx>
        <w:trPr>
          <w:trHeight w:val="263" w:hRule="atLeast"/>
        </w:trPr>
        <w:tc>
          <w:tcPr>
            <w:tcW w:w="3241" w:type="dxa"/>
            <w:tcBorders>
              <w:top w:val="nil"/>
              <w:left w:val="nil"/>
              <w:bottom w:val="single" w:color="auto" w:sz="4" w:space="0"/>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变量</w:t>
            </w:r>
          </w:p>
        </w:tc>
        <w:tc>
          <w:tcPr>
            <w:tcW w:w="1237" w:type="dxa"/>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企业进入</w:t>
            </w:r>
          </w:p>
        </w:tc>
        <w:tc>
          <w:tcPr>
            <w:tcW w:w="1334" w:type="dxa"/>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企业进入</w:t>
            </w:r>
          </w:p>
        </w:tc>
        <w:tc>
          <w:tcPr>
            <w:tcW w:w="1276" w:type="dxa"/>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企业进入</w:t>
            </w:r>
          </w:p>
        </w:tc>
        <w:tc>
          <w:tcPr>
            <w:tcW w:w="1218" w:type="dxa"/>
            <w:tcBorders>
              <w:top w:val="nil"/>
              <w:left w:val="nil"/>
              <w:bottom w:val="single" w:color="auto" w:sz="4" w:space="0"/>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企业进入</w:t>
            </w:r>
          </w:p>
        </w:tc>
      </w:tr>
      <w:tr>
        <w:tblPrEx>
          <w:tblCellMar>
            <w:top w:w="0" w:type="dxa"/>
            <w:left w:w="108" w:type="dxa"/>
            <w:bottom w:w="0" w:type="dxa"/>
            <w:right w:w="108" w:type="dxa"/>
          </w:tblCellMar>
        </w:tblPrEx>
        <w:trPr>
          <w:trHeight w:val="263" w:hRule="atLeast"/>
        </w:trPr>
        <w:tc>
          <w:tcPr>
            <w:tcW w:w="3241" w:type="dxa"/>
            <w:tcBorders>
              <w:top w:val="single" w:color="auto" w:sz="4" w:space="0"/>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滞后一期的发电容量</w:t>
            </w:r>
          </w:p>
        </w:tc>
        <w:tc>
          <w:tcPr>
            <w:tcW w:w="1237" w:type="dxa"/>
            <w:tcBorders>
              <w:top w:val="single" w:color="auto" w:sz="4" w:space="0"/>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334" w:type="dxa"/>
            <w:tcBorders>
              <w:top w:val="single" w:color="auto" w:sz="4" w:space="0"/>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single" w:color="auto" w:sz="4" w:space="0"/>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0.011</w:t>
            </w:r>
          </w:p>
        </w:tc>
        <w:tc>
          <w:tcPr>
            <w:tcW w:w="1218" w:type="dxa"/>
            <w:tcBorders>
              <w:top w:val="single" w:color="auto" w:sz="4" w:space="0"/>
              <w:left w:val="nil"/>
              <w:bottom w:val="nil"/>
              <w:right w:val="nil"/>
            </w:tcBorders>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(0.008)</w:t>
            </w:r>
          </w:p>
        </w:tc>
        <w:tc>
          <w:tcPr>
            <w:tcW w:w="1218" w:type="dxa"/>
            <w:tcBorders>
              <w:top w:val="nil"/>
              <w:left w:val="nil"/>
              <w:bottom w:val="nil"/>
              <w:right w:val="nil"/>
            </w:tcBorders>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滞后一期的发电容量×资本劳动比</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0.007*</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滞后一期的发电容量×是否重工业</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0.050**</w:t>
            </w:r>
          </w:p>
        </w:tc>
        <w:tc>
          <w:tcPr>
            <w:tcW w:w="1218" w:type="dxa"/>
            <w:tcBorders>
              <w:top w:val="nil"/>
              <w:left w:val="nil"/>
              <w:bottom w:val="nil"/>
              <w:right w:val="nil"/>
            </w:tcBorders>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(0.024)</w:t>
            </w:r>
          </w:p>
        </w:tc>
        <w:tc>
          <w:tcPr>
            <w:tcW w:w="1218" w:type="dxa"/>
            <w:tcBorders>
              <w:top w:val="nil"/>
              <w:left w:val="nil"/>
              <w:bottom w:val="nil"/>
              <w:right w:val="nil"/>
            </w:tcBorders>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滞后一期的电厂设立</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(0.007)</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滞后一期的电厂设立×资本劳动比</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0.002</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滞后一期的电厂设立×是否重工业</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0.006**</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观察值个数</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38,247</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38,247</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46,909</w:t>
            </w: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46,909</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调整</w:t>
            </w:r>
            <w:r>
              <w:rPr>
                <w:rFonts w:hint="eastAsia" w:ascii="仿宋" w:hAnsi="仿宋" w:eastAsia="仿宋" w:cs="仿宋"/>
                <w:i/>
                <w:iCs/>
                <w:kern w:val="0"/>
                <w:sz w:val="18"/>
                <w:szCs w:val="18"/>
              </w:rPr>
              <w:t>R</w:t>
            </w:r>
            <w:r>
              <w:rPr>
                <w:rFonts w:hint="eastAsia" w:ascii="仿宋" w:hAnsi="仿宋" w:eastAsia="仿宋" w:cs="仿宋"/>
                <w:kern w:val="0"/>
                <w:sz w:val="18"/>
                <w:szCs w:val="18"/>
              </w:rPr>
              <w:t>平方</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0.133</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0.132</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0.117</w:t>
            </w: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0.115</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县级固定效应</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3" w:hRule="atLeast"/>
        </w:trPr>
        <w:tc>
          <w:tcPr>
            <w:tcW w:w="3241" w:type="dxa"/>
            <w:tcBorders>
              <w:top w:val="nil"/>
              <w:left w:val="nil"/>
              <w:bottom w:val="nil"/>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省×年度固定效应</w:t>
            </w:r>
          </w:p>
        </w:tc>
        <w:tc>
          <w:tcPr>
            <w:tcW w:w="1237"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334"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76" w:type="dxa"/>
            <w:tcBorders>
              <w:top w:val="nil"/>
              <w:left w:val="nil"/>
              <w:bottom w:val="nil"/>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18" w:type="dxa"/>
            <w:tcBorders>
              <w:top w:val="nil"/>
              <w:left w:val="nil"/>
              <w:bottom w:val="nil"/>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3" w:hRule="atLeast"/>
        </w:trPr>
        <w:tc>
          <w:tcPr>
            <w:tcW w:w="3241" w:type="dxa"/>
            <w:tcBorders>
              <w:top w:val="nil"/>
              <w:left w:val="nil"/>
              <w:bottom w:val="single" w:color="000000" w:sz="4" w:space="0"/>
              <w:right w:val="nil"/>
            </w:tcBorders>
            <w:shd w:val="clear" w:color="auto" w:fill="auto"/>
            <w:noWrap/>
            <w:vAlign w:val="bottom"/>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是否添加控制变量</w:t>
            </w:r>
          </w:p>
        </w:tc>
        <w:tc>
          <w:tcPr>
            <w:tcW w:w="1237" w:type="dxa"/>
            <w:tcBorders>
              <w:top w:val="nil"/>
              <w:left w:val="nil"/>
              <w:bottom w:val="single" w:color="000000" w:sz="4" w:space="0"/>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334" w:type="dxa"/>
            <w:tcBorders>
              <w:top w:val="nil"/>
              <w:left w:val="nil"/>
              <w:bottom w:val="single" w:color="000000" w:sz="4" w:space="0"/>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76" w:type="dxa"/>
            <w:tcBorders>
              <w:top w:val="nil"/>
              <w:left w:val="nil"/>
              <w:bottom w:val="single" w:color="000000" w:sz="4" w:space="0"/>
              <w:right w:val="nil"/>
            </w:tcBorders>
            <w:shd w:val="clear" w:color="auto" w:fill="auto"/>
            <w:noWrap/>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1218" w:type="dxa"/>
            <w:tcBorders>
              <w:top w:val="nil"/>
              <w:left w:val="nil"/>
              <w:bottom w:val="single" w:color="000000" w:sz="4" w:space="0"/>
              <w:right w:val="nil"/>
            </w:tcBorders>
            <w:vAlign w:val="bottom"/>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936" w:hRule="atLeast"/>
        </w:trPr>
        <w:tc>
          <w:tcPr>
            <w:tcW w:w="8306" w:type="dxa"/>
            <w:gridSpan w:val="5"/>
            <w:tcBorders>
              <w:top w:val="nil"/>
              <w:left w:val="nil"/>
              <w:right w:val="nil"/>
            </w:tcBorders>
            <w:shd w:val="clear" w:color="auto" w:fill="auto"/>
            <w:noWrap/>
            <w:vAlign w:val="bottom"/>
          </w:tcPr>
          <w:p>
            <w:pPr>
              <w:jc w:val="left"/>
              <w:rPr>
                <w:rFonts w:hint="eastAsia" w:ascii="仿宋" w:hAnsi="仿宋" w:eastAsia="仿宋" w:cs="仿宋"/>
                <w:kern w:val="0"/>
                <w:sz w:val="18"/>
                <w:szCs w:val="18"/>
              </w:rPr>
            </w:pPr>
            <w:bookmarkStart w:id="2" w:name="_Hlk102592789"/>
            <w:r>
              <w:rPr>
                <w:rFonts w:hint="eastAsia" w:ascii="仿宋" w:hAnsi="仿宋" w:eastAsia="仿宋" w:cs="仿宋"/>
                <w:kern w:val="0"/>
                <w:sz w:val="18"/>
                <w:szCs w:val="18"/>
              </w:rPr>
              <w:t>注：因变量是每年县×行业级别的新建企业数，加1后取对数。列</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1</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的关键自变量为该县发电容量的一期滞后值×该行业的资本-劳动比；列</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2</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的关键自变量为该县是否有发电厂的一期滞后值×该行业的资本-劳动比；列</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3</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的关键自变量为该县发电容量的一期滞后值×该行业是否为重工业；列</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4</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的关键自变量为该县是否有发电厂的一期滞后值×该行业是否为重工业。括号内为异方差稳健标准误。***</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*分别代表在1%</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5%和10%的显著性水平上显著。</w:t>
            </w:r>
          </w:p>
        </w:tc>
      </w:tr>
      <w:bookmarkEnd w:id="2"/>
    </w:tbl>
    <w:p>
      <w:pPr>
        <w:ind w:firstLine="360"/>
        <w:rPr>
          <w:rFonts w:hint="eastAsia" w:ascii="仿宋" w:hAnsi="仿宋" w:eastAsia="仿宋" w:cs="仿宋"/>
          <w:sz w:val="18"/>
          <w:szCs w:val="18"/>
        </w:rPr>
      </w:pPr>
    </w:p>
    <w:p>
      <w:pPr>
        <w:rPr>
          <w:rFonts w:ascii="Times New Roman" w:hAnsi="Times New Roman" w:eastAsia="仿宋" w:cs="Times New Roman"/>
        </w:rPr>
      </w:pPr>
    </w:p>
    <w:p>
      <w:pPr>
        <w:pStyle w:val="2"/>
        <w:rPr>
          <w:rFonts w:hint="eastAsia"/>
        </w:rPr>
      </w:pPr>
      <w:bookmarkStart w:id="3" w:name="_Toc155478221"/>
    </w:p>
    <w:p>
      <w:pPr>
        <w:pStyle w:val="2"/>
        <w:rPr>
          <w:rFonts w:hint="eastAsia"/>
        </w:rPr>
      </w:pPr>
    </w:p>
    <w:p>
      <w:pPr>
        <w:pStyle w:val="2"/>
        <w:rPr>
          <w:rFonts w:hint="eastAsia"/>
        </w:rPr>
      </w:pPr>
    </w:p>
    <w:p>
      <w:pPr>
        <w:bidi w:val="0"/>
        <w:rPr>
          <w:rFonts w:hint="eastAsia"/>
        </w:rPr>
      </w:pPr>
    </w:p>
    <w:p>
      <w:pPr>
        <w:bidi w:val="0"/>
        <w:rPr>
          <w:rFonts w:hint="eastAsia"/>
        </w:rPr>
      </w:pPr>
    </w:p>
    <w:p>
      <w:pPr>
        <w:bidi w:val="0"/>
        <w:rPr>
          <w:rFonts w:hint="eastAsia"/>
        </w:rPr>
      </w:pPr>
    </w:p>
    <w:p>
      <w:pPr>
        <w:bidi w:val="0"/>
        <w:jc w:val="center"/>
        <w:rPr>
          <w:rFonts w:hint="eastAsia" w:ascii="楷体" w:hAnsi="楷体" w:eastAsia="楷体" w:cs="楷体"/>
          <w:sz w:val="28"/>
          <w:szCs w:val="32"/>
        </w:rPr>
      </w:pPr>
      <w:r>
        <w:rPr>
          <w:rFonts w:hint="eastAsia" w:ascii="楷体" w:hAnsi="楷体" w:eastAsia="楷体" w:cs="楷体"/>
          <w:sz w:val="28"/>
          <w:szCs w:val="32"/>
        </w:rPr>
        <w:t>附录Ⅱ 关于交错双重差分方法的讨论</w:t>
      </w:r>
      <w:bookmarkEnd w:id="3"/>
    </w:p>
    <w:p>
      <w:pPr>
        <w:ind w:firstLine="420"/>
        <w:rPr>
          <w:rFonts w:hint="eastAsia" w:ascii="Times New Roman" w:hAnsi="Times New Roman" w:eastAsia="仿宋" w:cs="Times New Roman"/>
        </w:rPr>
      </w:pPr>
      <w:r>
        <w:rPr>
          <w:rFonts w:hint="eastAsia" w:ascii="Times New Roman" w:hAnsi="Times New Roman" w:eastAsia="仿宋" w:cs="Times New Roman"/>
        </w:rPr>
        <w:t>值得注意的是，</w:t>
      </w:r>
      <w:r>
        <w:rPr>
          <w:rFonts w:hint="eastAsia" w:ascii="仿宋" w:hAnsi="仿宋" w:eastAsia="仿宋"/>
        </w:rPr>
        <w:t>从正文图1可以看出，基准回归在不同时期的处理效应有所不同，这提示我们异质性处理效应的存在。由于</w:t>
      </w:r>
      <w:bookmarkStart w:id="4" w:name="_Hlk118583843"/>
      <w:r>
        <w:rPr>
          <w:rFonts w:hint="eastAsia" w:ascii="Times New Roman" w:hAnsi="Times New Roman" w:eastAsia="仿宋" w:cs="Times New Roman"/>
        </w:rPr>
        <w:t>我们的回归是一个标准的交错双重差分方法</w:t>
      </w:r>
      <w:bookmarkEnd w:id="4"/>
      <w:r>
        <w:rPr>
          <w:rFonts w:hint="eastAsia" w:ascii="Times New Roman" w:hAnsi="Times New Roman" w:eastAsia="仿宋" w:cs="Times New Roman"/>
        </w:rPr>
        <w:t>，异质性处理效应的存在可能使得入手检验我们的估计量产生偏误（G</w:t>
      </w:r>
      <w:r>
        <w:rPr>
          <w:rFonts w:ascii="Times New Roman" w:hAnsi="Times New Roman" w:eastAsia="仿宋" w:cs="Times New Roman"/>
        </w:rPr>
        <w:t>oodman-Bacon</w:t>
      </w:r>
      <w:r>
        <w:rPr>
          <w:rFonts w:hint="eastAsia" w:ascii="Times New Roman" w:hAnsi="Times New Roman" w:eastAsia="仿宋" w:cs="Times New Roman"/>
        </w:rPr>
        <w:t>，</w:t>
      </w:r>
      <w:r>
        <w:rPr>
          <w:rFonts w:ascii="Times New Roman" w:hAnsi="Times New Roman" w:eastAsia="仿宋" w:cs="Times New Roman"/>
        </w:rPr>
        <w:t>2021</w:t>
      </w:r>
      <w:r>
        <w:rPr>
          <w:rFonts w:hint="eastAsia" w:ascii="Times New Roman" w:hAnsi="Times New Roman" w:eastAsia="仿宋" w:cs="Times New Roman"/>
        </w:rPr>
        <w:t>）。</w:t>
      </w:r>
      <w:bookmarkStart w:id="5" w:name="_Hlk118583870"/>
      <w:r>
        <w:rPr>
          <w:rFonts w:hint="eastAsia" w:ascii="Times New Roman" w:hAnsi="Times New Roman" w:eastAsia="仿宋" w:cs="Times New Roman"/>
        </w:rPr>
        <w:t>G</w:t>
      </w:r>
      <w:r>
        <w:rPr>
          <w:rFonts w:ascii="Times New Roman" w:hAnsi="Times New Roman" w:eastAsia="仿宋" w:cs="Times New Roman"/>
        </w:rPr>
        <w:t>oodman-Bacon</w:t>
      </w:r>
      <w:r>
        <w:rPr>
          <w:rFonts w:hint="eastAsia" w:ascii="Times New Roman" w:hAnsi="Times New Roman" w:eastAsia="仿宋" w:cs="Times New Roman"/>
        </w:rPr>
        <w:t>（</w:t>
      </w:r>
      <w:r>
        <w:rPr>
          <w:rFonts w:ascii="Times New Roman" w:hAnsi="Times New Roman" w:eastAsia="仿宋" w:cs="Times New Roman"/>
        </w:rPr>
        <w:t>2021</w:t>
      </w:r>
      <w:r>
        <w:rPr>
          <w:rFonts w:hint="eastAsia" w:ascii="Times New Roman" w:hAnsi="Times New Roman" w:eastAsia="仿宋" w:cs="Times New Roman"/>
        </w:rPr>
        <w:t>）</w:t>
      </w:r>
      <w:bookmarkEnd w:id="5"/>
      <w:r>
        <w:rPr>
          <w:rFonts w:hint="eastAsia" w:ascii="Times New Roman" w:hAnsi="Times New Roman" w:eastAsia="仿宋" w:cs="Times New Roman"/>
        </w:rPr>
        <w:t>提出，交错双重差分方法的估计量可以分解为三组简单双重差分估计量的加权平均：</w:t>
      </w:r>
      <w:r>
        <w:rPr>
          <w:rFonts w:ascii="Times New Roman" w:hAnsi="Times New Roman" w:eastAsia="仿宋" w:cs="Times New Roman"/>
        </w:rPr>
        <w:t>（1）</w:t>
      </w:r>
      <w:r>
        <w:rPr>
          <w:rFonts w:hint="eastAsia" w:ascii="Times New Roman" w:hAnsi="Times New Roman" w:eastAsia="仿宋" w:cs="Times New Roman"/>
        </w:rPr>
        <w:t>处理组v</w:t>
      </w:r>
      <w:r>
        <w:rPr>
          <w:rFonts w:ascii="Times New Roman" w:hAnsi="Times New Roman" w:eastAsia="仿宋" w:cs="Times New Roman"/>
        </w:rPr>
        <w:t>s</w:t>
      </w:r>
      <w:r>
        <w:rPr>
          <w:rFonts w:hint="eastAsia" w:ascii="Times New Roman" w:hAnsi="Times New Roman" w:eastAsia="仿宋" w:cs="Times New Roman"/>
        </w:rPr>
        <w:t>从未处理组；（</w:t>
      </w:r>
      <w:r>
        <w:rPr>
          <w:rFonts w:ascii="Times New Roman" w:hAnsi="Times New Roman" w:eastAsia="仿宋" w:cs="Times New Roman"/>
        </w:rPr>
        <w:t>2）</w:t>
      </w:r>
      <w:r>
        <w:rPr>
          <w:rFonts w:hint="eastAsia" w:ascii="Times New Roman" w:hAnsi="Times New Roman" w:eastAsia="仿宋" w:cs="Times New Roman"/>
        </w:rPr>
        <w:t>早处理组v</w:t>
      </w:r>
      <w:r>
        <w:rPr>
          <w:rFonts w:ascii="Times New Roman" w:hAnsi="Times New Roman" w:eastAsia="仿宋" w:cs="Times New Roman"/>
        </w:rPr>
        <w:t>s</w:t>
      </w:r>
      <w:r>
        <w:rPr>
          <w:rFonts w:hint="eastAsia" w:ascii="Times New Roman" w:hAnsi="Times New Roman" w:eastAsia="仿宋" w:cs="Times New Roman"/>
        </w:rPr>
        <w:t>晚处理组；</w:t>
      </w:r>
      <w:r>
        <w:rPr>
          <w:rFonts w:ascii="Times New Roman" w:hAnsi="Times New Roman" w:eastAsia="仿宋" w:cs="Times New Roman"/>
        </w:rPr>
        <w:t>（3）</w:t>
      </w:r>
      <w:r>
        <w:rPr>
          <w:rFonts w:hint="eastAsia" w:ascii="Times New Roman" w:hAnsi="Times New Roman" w:eastAsia="仿宋" w:cs="Times New Roman"/>
        </w:rPr>
        <w:t>晚处理组v</w:t>
      </w:r>
      <w:r>
        <w:rPr>
          <w:rFonts w:ascii="Times New Roman" w:hAnsi="Times New Roman" w:eastAsia="仿宋" w:cs="Times New Roman"/>
        </w:rPr>
        <w:t>s</w:t>
      </w:r>
      <w:r>
        <w:rPr>
          <w:rFonts w:hint="eastAsia" w:ascii="Times New Roman" w:hAnsi="Times New Roman" w:eastAsia="仿宋" w:cs="Times New Roman"/>
        </w:rPr>
        <w:t>早处理组。而当异质性处理效应存在时，第</w:t>
      </w:r>
      <w:r>
        <w:rPr>
          <w:rFonts w:ascii="Times New Roman" w:hAnsi="Times New Roman" w:eastAsia="仿宋" w:cs="Times New Roman"/>
        </w:rPr>
        <w:t>（3）</w:t>
      </w:r>
      <w:r>
        <w:rPr>
          <w:rFonts w:hint="eastAsia" w:ascii="Times New Roman" w:hAnsi="Times New Roman" w:eastAsia="仿宋" w:cs="Times New Roman"/>
        </w:rPr>
        <w:t>组的对照组不是好的对照组，因为</w:t>
      </w:r>
      <w:r>
        <w:rPr>
          <w:rFonts w:ascii="Times New Roman" w:hAnsi="Times New Roman" w:eastAsia="仿宋" w:cs="Times New Roman"/>
        </w:rPr>
        <w:t>此时</w:t>
      </w:r>
      <w:r>
        <w:rPr>
          <w:rFonts w:hint="eastAsia" w:ascii="Times New Roman" w:hAnsi="Times New Roman" w:eastAsia="仿宋" w:cs="Times New Roman"/>
        </w:rPr>
        <w:t>早处理组的值已经受到了异质性处理效应的影响，从而导致整个交错双重差分估计量产生偏误。因此，我们进行了G</w:t>
      </w:r>
      <w:r>
        <w:rPr>
          <w:rFonts w:ascii="Times New Roman" w:hAnsi="Times New Roman" w:eastAsia="仿宋" w:cs="Times New Roman"/>
        </w:rPr>
        <w:t>oodman-Bacon（2021）</w:t>
      </w:r>
      <w:r>
        <w:rPr>
          <w:rFonts w:hint="eastAsia" w:ascii="Times New Roman" w:hAnsi="Times New Roman" w:eastAsia="仿宋" w:cs="Times New Roman"/>
        </w:rPr>
        <w:t>所建议的系数分解，</w:t>
      </w:r>
      <w:r>
        <w:rPr>
          <w:rFonts w:ascii="Times New Roman" w:hAnsi="Times New Roman" w:eastAsia="仿宋" w:cs="Times New Roman"/>
        </w:rPr>
        <w:t>从三组</w:t>
      </w:r>
      <w:r>
        <w:rPr>
          <w:rFonts w:hint="eastAsia" w:ascii="Times New Roman" w:hAnsi="Times New Roman" w:eastAsia="仿宋" w:cs="Times New Roman"/>
        </w:rPr>
        <w:t>双重差分估计量的权重判断可能偏误的大小。结果显示，我们的交错双重差分方法赋予第（</w:t>
      </w:r>
      <w:r>
        <w:rPr>
          <w:rFonts w:ascii="Times New Roman" w:hAnsi="Times New Roman" w:eastAsia="仿宋" w:cs="Times New Roman"/>
        </w:rPr>
        <w:t>1</w:t>
      </w:r>
      <w:r>
        <w:rPr>
          <w:rFonts w:hint="eastAsia" w:ascii="Times New Roman" w:hAnsi="Times New Roman" w:eastAsia="仿宋" w:cs="Times New Roman"/>
        </w:rPr>
        <w:t>）组的权重为0</w:t>
      </w:r>
      <w:r>
        <w:rPr>
          <w:rFonts w:ascii="Times New Roman" w:hAnsi="Times New Roman" w:eastAsia="仿宋" w:cs="Times New Roman"/>
        </w:rPr>
        <w:t>.9486</w:t>
      </w:r>
      <w:r>
        <w:rPr>
          <w:rFonts w:hint="eastAsia" w:ascii="Times New Roman" w:hAnsi="Times New Roman" w:eastAsia="仿宋" w:cs="Times New Roman"/>
        </w:rPr>
        <w:t>，赋予第（</w:t>
      </w:r>
      <w:r>
        <w:rPr>
          <w:rFonts w:ascii="Times New Roman" w:hAnsi="Times New Roman" w:eastAsia="仿宋" w:cs="Times New Roman"/>
        </w:rPr>
        <w:t>2）</w:t>
      </w:r>
      <w:r>
        <w:rPr>
          <w:rFonts w:hint="eastAsia" w:ascii="Times New Roman" w:hAnsi="Times New Roman" w:eastAsia="仿宋" w:cs="Times New Roman"/>
        </w:rPr>
        <w:t>组的权重为0</w:t>
      </w:r>
      <w:r>
        <w:rPr>
          <w:rFonts w:ascii="Times New Roman" w:hAnsi="Times New Roman" w:eastAsia="仿宋" w:cs="Times New Roman"/>
        </w:rPr>
        <w:t>.0384</w:t>
      </w:r>
      <w:r>
        <w:rPr>
          <w:rFonts w:hint="eastAsia" w:ascii="Times New Roman" w:hAnsi="Times New Roman" w:eastAsia="仿宋" w:cs="Times New Roman"/>
        </w:rPr>
        <w:t>，赋予第（</w:t>
      </w:r>
      <w:r>
        <w:rPr>
          <w:rFonts w:ascii="Times New Roman" w:hAnsi="Times New Roman" w:eastAsia="仿宋" w:cs="Times New Roman"/>
        </w:rPr>
        <w:t>3）</w:t>
      </w:r>
      <w:r>
        <w:rPr>
          <w:rFonts w:hint="eastAsia" w:ascii="Times New Roman" w:hAnsi="Times New Roman" w:eastAsia="仿宋" w:cs="Times New Roman"/>
        </w:rPr>
        <w:t>组的权重为0</w:t>
      </w:r>
      <w:r>
        <w:rPr>
          <w:rFonts w:ascii="Times New Roman" w:hAnsi="Times New Roman" w:eastAsia="仿宋" w:cs="Times New Roman"/>
        </w:rPr>
        <w:t>.0130</w:t>
      </w:r>
      <w:r>
        <w:rPr>
          <w:rFonts w:hint="eastAsia" w:ascii="Times New Roman" w:hAnsi="Times New Roman" w:eastAsia="仿宋" w:cs="Times New Roman"/>
        </w:rPr>
        <w:t>。由于可能存在问题的第（</w:t>
      </w:r>
      <w:r>
        <w:rPr>
          <w:rFonts w:ascii="Times New Roman" w:hAnsi="Times New Roman" w:eastAsia="仿宋" w:cs="Times New Roman"/>
        </w:rPr>
        <w:t>3）</w:t>
      </w:r>
      <w:r>
        <w:rPr>
          <w:rFonts w:hint="eastAsia" w:ascii="Times New Roman" w:hAnsi="Times New Roman" w:eastAsia="仿宋" w:cs="Times New Roman"/>
        </w:rPr>
        <w:t>组简单双重差分估计量在交错双重差分估计量中所占的权重极低（0</w:t>
      </w:r>
      <w:r>
        <w:rPr>
          <w:rFonts w:ascii="Times New Roman" w:hAnsi="Times New Roman" w:eastAsia="仿宋" w:cs="Times New Roman"/>
        </w:rPr>
        <w:t>.0130</w:t>
      </w:r>
      <w:r>
        <w:rPr>
          <w:rFonts w:hint="eastAsia" w:ascii="Times New Roman" w:hAnsi="Times New Roman" w:eastAsia="仿宋" w:cs="Times New Roman"/>
        </w:rPr>
        <w:t>），我们的交错双重差分估计量受到的影响不大，存在的偏误事实上非常小，总体依旧可信。我们认为，呈现这一结果的</w:t>
      </w:r>
      <w:r>
        <w:rPr>
          <w:rFonts w:ascii="Times New Roman" w:hAnsi="Times New Roman" w:eastAsia="仿宋" w:cs="Times New Roman"/>
        </w:rPr>
        <w:t>主要</w:t>
      </w:r>
      <w:r>
        <w:rPr>
          <w:rFonts w:hint="eastAsia" w:ascii="Times New Roman" w:hAnsi="Times New Roman" w:eastAsia="仿宋" w:cs="Times New Roman"/>
        </w:rPr>
        <w:t>原因是我们样本中一直没有电厂的县所占比例较高，因此交错双重差分估计量主要由有电厂的县和没有电厂的县的简单双重差分估计量（即权重高达0</w:t>
      </w:r>
      <w:r>
        <w:rPr>
          <w:rFonts w:ascii="Times New Roman" w:hAnsi="Times New Roman" w:eastAsia="仿宋" w:cs="Times New Roman"/>
        </w:rPr>
        <w:t>.9486</w:t>
      </w:r>
      <w:r>
        <w:rPr>
          <w:rFonts w:hint="eastAsia" w:ascii="Times New Roman" w:hAnsi="Times New Roman" w:eastAsia="仿宋" w:cs="Times New Roman"/>
        </w:rPr>
        <w:t>的第1组）所驱动。</w:t>
      </w:r>
    </w:p>
    <w:p>
      <w:pPr>
        <w:ind w:firstLine="420"/>
        <w:rPr>
          <w:rFonts w:hint="eastAsia" w:ascii="Times New Roman" w:hAnsi="Times New Roman" w:eastAsia="仿宋" w:cs="Times New Roman"/>
        </w:rPr>
      </w:pPr>
    </w:p>
    <w:p>
      <w:pPr>
        <w:ind w:firstLine="420"/>
        <w:rPr>
          <w:rFonts w:hint="eastAsia" w:ascii="Times New Roman" w:hAnsi="Times New Roman" w:eastAsia="仿宋" w:cs="Times New Roman"/>
        </w:rPr>
      </w:pPr>
    </w:p>
    <w:p>
      <w:pPr>
        <w:ind w:firstLine="420"/>
        <w:rPr>
          <w:rFonts w:hint="eastAsia" w:ascii="Times New Roman" w:hAnsi="Times New Roman" w:eastAsia="仿宋" w:cs="Times New Roman"/>
        </w:rPr>
      </w:pPr>
    </w:p>
    <w:p>
      <w:pPr>
        <w:ind w:firstLine="420"/>
        <w:rPr>
          <w:rFonts w:hint="eastAsia" w:ascii="Times New Roman" w:hAnsi="Times New Roman" w:eastAsia="仿宋" w:cs="Times New Roman"/>
        </w:rPr>
      </w:pPr>
      <w:bookmarkStart w:id="6" w:name="_GoBack"/>
      <w:bookmarkEnd w:id="6"/>
    </w:p>
    <w:p>
      <w:pPr>
        <w:ind w:firstLine="420"/>
        <w:rPr>
          <w:rFonts w:hint="eastAsia" w:ascii="Times New Roman" w:hAnsi="Times New Roman" w:eastAsia="仿宋" w:cs="Times New Roman"/>
        </w:rPr>
      </w:pPr>
    </w:p>
    <w:p>
      <w:pPr>
        <w:ind w:firstLine="420"/>
        <w:rPr>
          <w:rFonts w:hint="eastAsia" w:ascii="Times New Roman" w:hAnsi="Times New Roman" w:eastAsia="仿宋" w:cs="Times New Roman"/>
        </w:rPr>
      </w:pPr>
    </w:p>
    <w:p>
      <w:pPr>
        <w:ind w:firstLine="420"/>
        <w:rPr>
          <w:rFonts w:hint="eastAsia" w:ascii="Times New Roman" w:hAnsi="Times New Roman" w:eastAsia="仿宋" w:cs="Times New Roman"/>
        </w:rPr>
      </w:pPr>
    </w:p>
    <w:p>
      <w:pPr>
        <w:ind w:firstLine="420"/>
        <w:rPr>
          <w:rFonts w:hint="eastAsia" w:ascii="Times New Roman" w:hAnsi="Times New Roman" w:eastAsia="仿宋" w:cs="Times New Roman"/>
        </w:rPr>
      </w:pPr>
    </w:p>
    <w:p>
      <w:pPr>
        <w:rPr>
          <w:rFonts w:hint="eastAsia" w:ascii="宋体" w:hAnsi="宋体" w:eastAsia="宋体" w:cs="宋体"/>
          <w:b/>
          <w:bCs/>
          <w:sz w:val="21"/>
          <w:szCs w:val="18"/>
        </w:rPr>
      </w:pPr>
      <w:r>
        <w:rPr>
          <w:rFonts w:hint="eastAsia" w:ascii="宋体" w:hAnsi="宋体" w:eastAsia="宋体" w:cs="宋体"/>
          <w:b/>
          <w:sz w:val="21"/>
          <w:szCs w:val="20"/>
        </w:rPr>
        <w:t>注：该附录是期刊所发表论文的组成部分，同样视为作者公开发表的内容。如研究中使用该附录中的内容，</w:t>
      </w:r>
      <w:r>
        <w:rPr>
          <w:rFonts w:hint="eastAsia" w:ascii="宋体" w:hAnsi="宋体" w:eastAsia="宋体" w:cs="宋体"/>
          <w:b/>
          <w:bCs/>
          <w:sz w:val="21"/>
          <w:szCs w:val="18"/>
        </w:rPr>
        <w:t>请务必在研究成果上注明附录下载出处</w:t>
      </w:r>
      <w:r>
        <w:rPr>
          <w:rFonts w:hint="eastAsia" w:ascii="宋体" w:hAnsi="宋体" w:eastAsia="宋体" w:cs="宋体"/>
          <w:sz w:val="21"/>
          <w:szCs w:val="18"/>
        </w:rPr>
        <w:t>。</w:t>
      </w:r>
    </w:p>
    <w:p>
      <w:pPr>
        <w:ind w:firstLine="420"/>
        <w:rPr>
          <w:rFonts w:hint="eastAsia" w:ascii="Times New Roman" w:hAnsi="Times New Roman" w:eastAsia="仿宋" w:cs="Times New Roma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2C50F5"/>
    <w:rsid w:val="00015651"/>
    <w:rsid w:val="002C50F5"/>
    <w:rsid w:val="00320537"/>
    <w:rsid w:val="003C4A42"/>
    <w:rsid w:val="003D1179"/>
    <w:rsid w:val="00511E4B"/>
    <w:rsid w:val="005C0949"/>
    <w:rsid w:val="005F2CDF"/>
    <w:rsid w:val="00846CE6"/>
    <w:rsid w:val="009C7300"/>
    <w:rsid w:val="00BF74B6"/>
    <w:rsid w:val="00D64193"/>
    <w:rsid w:val="00F22BBF"/>
    <w:rsid w:val="00F51D56"/>
    <w:rsid w:val="04BC7E25"/>
    <w:rsid w:val="0C555F19"/>
    <w:rsid w:val="1E7554E1"/>
    <w:rsid w:val="3246182B"/>
    <w:rsid w:val="44103FAA"/>
    <w:rsid w:val="49135467"/>
    <w:rsid w:val="51CD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style>
  <w:style w:type="character" w:styleId="8">
    <w:name w:val="Hyperlink"/>
    <w:basedOn w:val="7"/>
    <w:unhideWhenUsed/>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标题 1 字符"/>
    <w:basedOn w:val="7"/>
    <w:link w:val="2"/>
    <w:uiPriority w:val="9"/>
    <w:rPr>
      <w:b/>
      <w:bCs/>
      <w:kern w:val="44"/>
      <w:sz w:val="44"/>
      <w:szCs w:val="44"/>
    </w:rPr>
  </w:style>
  <w:style w:type="paragraph" w:customStyle="1" w:styleId="1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50BB4-49AC-46E8-B382-BBFF9F8EECC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470</Words>
  <Characters>2681</Characters>
  <Lines>22</Lines>
  <Paragraphs>6</Paragraphs>
  <TotalTime>0</TotalTime>
  <ScaleCrop>false</ScaleCrop>
  <LinksUpToDate>false</LinksUpToDate>
  <CharactersWithSpaces>3145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2024-01-06T16:06:00Z</dcterms:created>
  <dc:creator>Shiyu Bo</dc:creator>
  <cp:lastModifiedBy>刘京</cp:lastModifiedBy>
  <dcterms:modified xsi:type="dcterms:W3CDTF">2024-01-09T00:45:20Z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2CCB8843BAC44D2DA39AC51C8878A5BC_12</vt:lpwstr>
  </property>
</Properties>
</file>