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未预期的环境污染：税收征管的跨部门溢出效应研究</w:t>
      </w:r>
    </w:p>
    <w:p>
      <w:pPr>
        <w:jc w:val="center"/>
        <w:rPr>
          <w:rFonts w:hint="eastAsia" w:ascii="Times New Roman" w:hAnsi="Times New Roman" w:eastAsia="宋体" w:cs="Times New Roman"/>
          <w:b/>
          <w:bCs/>
          <w:color w:val="auto"/>
          <w:kern w:val="0"/>
          <w:sz w:val="32"/>
          <w:szCs w:val="32"/>
          <w:lang w:val="en-US" w:eastAsia="zh-CN" w:bidi="ar"/>
        </w:rPr>
      </w:pPr>
    </w:p>
    <w:p>
      <w:pPr>
        <w:jc w:val="center"/>
        <w:rPr>
          <w:rFonts w:hint="eastAsia" w:ascii="楷体" w:hAnsi="楷体" w:eastAsia="楷体" w:cs="楷体"/>
          <w:b w:val="0"/>
          <w:bCs w:val="0"/>
          <w:color w:val="auto"/>
          <w:kern w:val="0"/>
          <w:sz w:val="28"/>
          <w:szCs w:val="28"/>
          <w:lang w:val="en-US" w:eastAsia="zh-CN" w:bidi="ar"/>
        </w:rPr>
      </w:pPr>
      <w:r>
        <w:rPr>
          <w:rFonts w:hint="eastAsia" w:ascii="楷体" w:hAnsi="楷体" w:eastAsia="楷体" w:cs="楷体"/>
          <w:b w:val="0"/>
          <w:bCs w:val="0"/>
          <w:color w:val="auto"/>
          <w:kern w:val="0"/>
          <w:sz w:val="28"/>
          <w:szCs w:val="28"/>
          <w:lang w:val="en-US" w:eastAsia="zh-CN" w:bidi="ar"/>
        </w:rPr>
        <w:t>罗宇 张明昂 林高怡</w:t>
      </w:r>
    </w:p>
    <w:p>
      <w:pPr>
        <w:jc w:val="center"/>
        <w:rPr>
          <w:rFonts w:hint="eastAsia" w:ascii="Times New Roman" w:hAnsi="Times New Roman" w:eastAsia="宋体" w:cs="Times New Roman"/>
          <w:b/>
          <w:bCs/>
          <w:color w:val="auto"/>
          <w:kern w:val="0"/>
          <w:sz w:val="21"/>
          <w:szCs w:val="21"/>
          <w:lang w:val="en-US" w:eastAsia="zh-CN" w:bidi="ar"/>
        </w:rPr>
      </w:pPr>
    </w:p>
    <w:p>
      <w:pPr>
        <w:jc w:val="both"/>
        <w:rPr>
          <w:rFonts w:hint="eastAsia" w:ascii="Times New Roman" w:hAnsi="Times New Roman" w:eastAsia="宋体" w:cs="Times New Roman"/>
          <w:b/>
          <w:bCs/>
          <w:color w:val="auto"/>
          <w:kern w:val="0"/>
          <w:sz w:val="21"/>
          <w:szCs w:val="21"/>
          <w:lang w:val="en-US" w:eastAsia="zh-CN" w:bidi="ar"/>
        </w:rPr>
      </w:pPr>
    </w:p>
    <w:sdt>
      <w:sdtPr>
        <w:rPr>
          <w:rFonts w:hint="default" w:ascii="Times New Roman" w:hAnsi="Times New Roman" w:eastAsia="宋体" w:cs="Times New Roman"/>
          <w:kern w:val="2"/>
          <w:sz w:val="28"/>
          <w:szCs w:val="28"/>
          <w:lang w:val="en-US" w:eastAsia="zh-CN" w:bidi="ar-SA"/>
        </w:rPr>
        <w:id w:val="147456834"/>
        <w15:color w:val="DBDBDB"/>
        <w:docPartObj>
          <w:docPartGallery w:val="Table of Contents"/>
          <w:docPartUnique/>
        </w:docPartObj>
      </w:sdtPr>
      <w:sdtEndPr>
        <w:rPr>
          <w:rFonts w:hint="eastAsia" w:ascii="宋体" w:hAnsi="宋体" w:eastAsia="宋体" w:cs="宋体"/>
          <w:bCs/>
          <w:color w:val="auto"/>
          <w:kern w:val="0"/>
          <w:sz w:val="21"/>
          <w:szCs w:val="21"/>
          <w:lang w:val="en-US" w:eastAsia="zh-CN" w:bidi="ar"/>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default" w:ascii="Times New Roman" w:hAnsi="Times New Roman" w:eastAsia="宋体" w:cs="Times New Roman"/>
              <w:b/>
              <w:bCs/>
              <w:sz w:val="28"/>
              <w:szCs w:val="28"/>
              <w:lang w:val="en-US"/>
            </w:rPr>
          </w:pPr>
          <w:r>
            <w:rPr>
              <w:rFonts w:hint="eastAsia" w:ascii="Times New Roman" w:hAnsi="Times New Roman" w:eastAsia="宋体" w:cs="Times New Roman"/>
              <w:b/>
              <w:bCs/>
              <w:kern w:val="2"/>
              <w:sz w:val="28"/>
              <w:szCs w:val="28"/>
              <w:lang w:val="en-US" w:eastAsia="zh-CN" w:bidi="ar-SA"/>
            </w:rPr>
            <w:t>目 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rPr>
          </w:pPr>
          <w:r>
            <w:rPr>
              <w:rFonts w:hint="default" w:ascii="Times New Roman" w:hAnsi="Times New Roman" w:eastAsia="宋体" w:cs="Times New Roman"/>
              <w:b/>
              <w:bCs/>
              <w:color w:val="auto"/>
              <w:kern w:val="0"/>
              <w:sz w:val="21"/>
              <w:szCs w:val="21"/>
              <w:lang w:val="en-US" w:eastAsia="zh-CN" w:bidi="ar"/>
            </w:rPr>
            <w:fldChar w:fldCharType="begin"/>
          </w:r>
          <w:r>
            <w:rPr>
              <w:rFonts w:hint="default" w:ascii="Times New Roman" w:hAnsi="Times New Roman" w:eastAsia="宋体" w:cs="Times New Roman"/>
              <w:b/>
              <w:bCs/>
              <w:color w:val="auto"/>
              <w:kern w:val="0"/>
              <w:sz w:val="21"/>
              <w:szCs w:val="21"/>
              <w:lang w:val="en-US" w:eastAsia="zh-CN" w:bidi="ar"/>
            </w:rPr>
            <w:instrText xml:space="preserve">TOC \o "1-1" \h \u </w:instrText>
          </w:r>
          <w:r>
            <w:rPr>
              <w:rFonts w:hint="default" w:ascii="Times New Roman" w:hAnsi="Times New Roman" w:eastAsia="宋体" w:cs="Times New Roman"/>
              <w:b/>
              <w:bCs/>
              <w:color w:val="auto"/>
              <w:kern w:val="0"/>
              <w:sz w:val="21"/>
              <w:szCs w:val="21"/>
              <w:lang w:val="en-US" w:eastAsia="zh-CN" w:bidi="ar"/>
            </w:rPr>
            <w:fldChar w:fldCharType="separate"/>
          </w:r>
          <w:r>
            <w:rPr>
              <w:rFonts w:hint="default" w:ascii="Times New Roman" w:hAnsi="Times New Roman" w:eastAsia="宋体" w:cs="Times New Roman"/>
              <w:bCs/>
              <w:color w:val="auto"/>
              <w:kern w:val="0"/>
              <w:szCs w:val="21"/>
              <w:lang w:val="en-US" w:eastAsia="zh-CN" w:bidi="ar"/>
            </w:rPr>
            <w:fldChar w:fldCharType="begin"/>
          </w:r>
          <w:r>
            <w:rPr>
              <w:rFonts w:hint="default" w:ascii="Times New Roman" w:hAnsi="Times New Roman" w:eastAsia="宋体" w:cs="Times New Roman"/>
              <w:bCs/>
              <w:kern w:val="0"/>
              <w:szCs w:val="21"/>
              <w:lang w:val="en-US" w:eastAsia="zh-CN" w:bidi="ar"/>
            </w:rPr>
            <w:instrText xml:space="preserve"> HYPERLINK \l _Toc7586 </w:instrText>
          </w:r>
          <w:r>
            <w:rPr>
              <w:rFonts w:hint="default" w:ascii="Times New Roman" w:hAnsi="Times New Roman" w:eastAsia="宋体" w:cs="Times New Roman"/>
              <w:bCs/>
              <w:kern w:val="0"/>
              <w:szCs w:val="21"/>
              <w:lang w:val="en-US" w:eastAsia="zh-CN" w:bidi="ar"/>
            </w:rPr>
            <w:fldChar w:fldCharType="separate"/>
          </w:r>
          <w:r>
            <w:rPr>
              <w:rFonts w:hint="default" w:ascii="Times New Roman" w:hAnsi="Times New Roman" w:eastAsia="宋体" w:cs="Times New Roman"/>
              <w:szCs w:val="21"/>
              <w:lang w:val="en-US" w:eastAsia="zh-CN"/>
            </w:rPr>
            <w:t>附录Ⅰ</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识别的有效性检验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_Toc7586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bCs/>
              <w:color w:val="auto"/>
              <w:kern w:val="0"/>
              <w:szCs w:val="21"/>
              <w:lang w:val="en-US" w:eastAsia="zh-CN" w:bidi="ar"/>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rPr>
          </w:pPr>
          <w:r>
            <w:rPr>
              <w:rFonts w:hint="default" w:ascii="Times New Roman" w:hAnsi="Times New Roman" w:eastAsia="宋体" w:cs="Times New Roman"/>
              <w:bCs/>
              <w:color w:val="auto"/>
              <w:kern w:val="0"/>
              <w:szCs w:val="21"/>
              <w:lang w:val="en-US" w:eastAsia="zh-CN" w:bidi="ar"/>
            </w:rPr>
            <w:fldChar w:fldCharType="begin"/>
          </w:r>
          <w:r>
            <w:rPr>
              <w:rFonts w:hint="default" w:ascii="Times New Roman" w:hAnsi="Times New Roman" w:eastAsia="宋体" w:cs="Times New Roman"/>
              <w:bCs/>
              <w:kern w:val="0"/>
              <w:szCs w:val="21"/>
              <w:lang w:val="en-US" w:eastAsia="zh-CN" w:bidi="ar"/>
            </w:rPr>
            <w:instrText xml:space="preserve"> HYPERLINK \l _Toc12946 </w:instrText>
          </w:r>
          <w:r>
            <w:rPr>
              <w:rFonts w:hint="default" w:ascii="Times New Roman" w:hAnsi="Times New Roman" w:eastAsia="宋体" w:cs="Times New Roman"/>
              <w:bCs/>
              <w:kern w:val="0"/>
              <w:szCs w:val="21"/>
              <w:lang w:val="en-US" w:eastAsia="zh-CN" w:bidi="ar"/>
            </w:rPr>
            <w:fldChar w:fldCharType="separate"/>
          </w:r>
          <w:r>
            <w:rPr>
              <w:rFonts w:hint="default" w:ascii="Times New Roman" w:hAnsi="Times New Roman" w:eastAsia="宋体" w:cs="Times New Roman"/>
              <w:bCs/>
              <w:kern w:val="0"/>
              <w:szCs w:val="21"/>
              <w:lang w:val="en-US" w:eastAsia="zh-CN" w:bidi="ar"/>
            </w:rPr>
            <w:t>附录Ⅱ</w:t>
          </w:r>
          <w:r>
            <w:rPr>
              <w:rFonts w:hint="eastAsia" w:ascii="Times New Roman" w:hAnsi="Times New Roman" w:eastAsia="宋体" w:cs="Times New Roman"/>
              <w:bCs/>
              <w:kern w:val="0"/>
              <w:szCs w:val="21"/>
              <w:lang w:val="en-US" w:eastAsia="zh-CN" w:bidi="ar"/>
            </w:rPr>
            <w:t xml:space="preserve">  </w:t>
          </w:r>
          <w:r>
            <w:rPr>
              <w:rFonts w:hint="default" w:ascii="Times New Roman" w:hAnsi="Times New Roman" w:eastAsia="宋体" w:cs="Times New Roman"/>
              <w:szCs w:val="21"/>
              <w:lang w:val="en-US" w:eastAsia="zh-CN"/>
            </w:rPr>
            <w:t>企业生产规模扩张和排放强度</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_Toc12946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bCs/>
              <w:color w:val="auto"/>
              <w:kern w:val="0"/>
              <w:szCs w:val="21"/>
              <w:lang w:val="en-US" w:eastAsia="zh-CN" w:bidi="ar"/>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rPr>
          </w:pPr>
          <w:r>
            <w:rPr>
              <w:rFonts w:hint="default" w:ascii="Times New Roman" w:hAnsi="Times New Roman" w:eastAsia="宋体" w:cs="Times New Roman"/>
              <w:bCs/>
              <w:color w:val="auto"/>
              <w:kern w:val="0"/>
              <w:szCs w:val="21"/>
              <w:lang w:val="en-US" w:eastAsia="zh-CN" w:bidi="ar"/>
            </w:rPr>
            <w:fldChar w:fldCharType="begin"/>
          </w:r>
          <w:r>
            <w:rPr>
              <w:rFonts w:hint="default" w:ascii="Times New Roman" w:hAnsi="Times New Roman" w:eastAsia="宋体" w:cs="Times New Roman"/>
              <w:bCs/>
              <w:kern w:val="0"/>
              <w:szCs w:val="21"/>
              <w:lang w:val="en-US" w:eastAsia="zh-CN" w:bidi="ar"/>
            </w:rPr>
            <w:instrText xml:space="preserve"> HYPERLINK \l _Toc13544 </w:instrText>
          </w:r>
          <w:r>
            <w:rPr>
              <w:rFonts w:hint="default" w:ascii="Times New Roman" w:hAnsi="Times New Roman" w:eastAsia="宋体" w:cs="Times New Roman"/>
              <w:bCs/>
              <w:kern w:val="0"/>
              <w:szCs w:val="21"/>
              <w:lang w:val="en-US" w:eastAsia="zh-CN" w:bidi="ar"/>
            </w:rPr>
            <w:fldChar w:fldCharType="separate"/>
          </w:r>
          <w:r>
            <w:rPr>
              <w:rFonts w:hint="default" w:ascii="Times New Roman" w:hAnsi="Times New Roman" w:eastAsia="宋体" w:cs="Times New Roman"/>
              <w:bCs/>
              <w:kern w:val="0"/>
              <w:szCs w:val="21"/>
              <w:lang w:val="en-US" w:eastAsia="zh-CN" w:bidi="ar"/>
            </w:rPr>
            <w:t>附录Ⅲ 稳健性检验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_Toc13544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bCs/>
              <w:color w:val="auto"/>
              <w:kern w:val="0"/>
              <w:szCs w:val="21"/>
              <w:lang w:val="en-US" w:eastAsia="zh-CN" w:bidi="ar"/>
            </w:rPr>
            <w:fldChar w:fldCharType="end"/>
          </w:r>
        </w:p>
        <w:p>
          <w:pPr>
            <w:pStyle w:val="7"/>
            <w:tabs>
              <w:tab w:val="right" w:leader="dot" w:pos="8306"/>
            </w:tabs>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1"/>
              <w:szCs w:val="21"/>
              <w:lang w:val="en-US" w:eastAsia="zh-CN" w:bidi="ar"/>
            </w:rPr>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bCs/>
              <w:color w:val="auto"/>
              <w:kern w:val="0"/>
              <w:szCs w:val="21"/>
              <w:lang w:val="en-US" w:eastAsia="zh-CN" w:bidi="ar"/>
            </w:rPr>
            <w:fldChar w:fldCharType="end"/>
          </w:r>
        </w:p>
      </w:sdtContent>
    </w:sdt>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sz w:val="28"/>
          <w:szCs w:val="28"/>
          <w:lang w:val="en-US" w:eastAsia="zh-CN"/>
        </w:rPr>
      </w:pPr>
      <w:bookmarkStart w:id="0" w:name="_Toc7586"/>
      <w:r>
        <w:rPr>
          <w:rFonts w:hint="eastAsia" w:ascii="楷体" w:hAnsi="楷体" w:eastAsia="楷体" w:cs="楷体"/>
          <w:b w:val="0"/>
          <w:bCs/>
          <w:sz w:val="28"/>
          <w:szCs w:val="28"/>
          <w:lang w:val="en-US" w:eastAsia="zh-CN"/>
        </w:rPr>
        <w:t>附录Ⅰ 识别的有效性检验</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为进一步检验样本的平衡性，借鉴He et al.（2020）的研究，</w:t>
      </w:r>
      <w:r>
        <w:rPr>
          <w:rFonts w:hint="eastAsia" w:ascii="仿宋" w:hAnsi="仿宋" w:eastAsia="仿宋" w:cs="仿宋"/>
          <w:color w:val="auto"/>
          <w:szCs w:val="21"/>
        </w:rPr>
        <w:t>我们选择200</w:t>
      </w:r>
      <w:r>
        <w:rPr>
          <w:rFonts w:hint="eastAsia" w:ascii="仿宋" w:hAnsi="仿宋" w:eastAsia="仿宋" w:cs="仿宋"/>
          <w:color w:val="auto"/>
          <w:szCs w:val="21"/>
          <w:lang w:val="en-US" w:eastAsia="zh-CN"/>
        </w:rPr>
        <w:t>8—</w:t>
      </w:r>
      <w:r>
        <w:rPr>
          <w:rFonts w:hint="eastAsia" w:ascii="仿宋" w:hAnsi="仿宋" w:eastAsia="仿宋" w:cs="仿宋"/>
          <w:color w:val="auto"/>
          <w:szCs w:val="21"/>
        </w:rPr>
        <w:t>20</w:t>
      </w:r>
      <w:r>
        <w:rPr>
          <w:rFonts w:hint="eastAsia" w:ascii="仿宋" w:hAnsi="仿宋" w:eastAsia="仿宋" w:cs="仿宋"/>
          <w:color w:val="auto"/>
          <w:szCs w:val="21"/>
          <w:lang w:val="en-US" w:eastAsia="zh-CN"/>
        </w:rPr>
        <w:t>11</w:t>
      </w:r>
      <w:r>
        <w:rPr>
          <w:rFonts w:hint="eastAsia" w:ascii="仿宋" w:hAnsi="仿宋" w:eastAsia="仿宋" w:cs="仿宋"/>
          <w:color w:val="auto"/>
          <w:szCs w:val="21"/>
        </w:rPr>
        <w:t>年企业是否为国有企业</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开业时间</w:t>
      </w:r>
      <w:r>
        <w:rPr>
          <w:rFonts w:hint="eastAsia" w:ascii="仿宋" w:hAnsi="仿宋" w:eastAsia="仿宋" w:cs="仿宋"/>
          <w:color w:val="auto"/>
          <w:szCs w:val="21"/>
        </w:rPr>
        <w:t>和是否处于重污染行业作为非时变变量</w:t>
      </w:r>
      <w:r>
        <w:rPr>
          <w:rStyle w:val="11"/>
          <w:rFonts w:hint="eastAsia" w:ascii="仿宋" w:hAnsi="仿宋" w:eastAsia="仿宋" w:cs="仿宋"/>
          <w:color w:val="auto"/>
          <w:szCs w:val="21"/>
        </w:rPr>
        <w:footnoteReference w:id="0"/>
      </w:r>
      <w:r>
        <w:rPr>
          <w:rFonts w:hint="eastAsia" w:ascii="仿宋" w:hAnsi="仿宋" w:eastAsia="仿宋" w:cs="仿宋"/>
          <w:color w:val="auto"/>
          <w:szCs w:val="21"/>
          <w:lang w:eastAsia="zh-CN"/>
        </w:rPr>
        <w:t>，</w:t>
      </w:r>
      <w:r>
        <w:rPr>
          <w:rFonts w:hint="eastAsia" w:ascii="仿宋" w:hAnsi="仿宋" w:eastAsia="仿宋" w:cs="仿宋"/>
          <w:color w:val="auto"/>
          <w:szCs w:val="21"/>
        </w:rPr>
        <w:t>进一步</w:t>
      </w:r>
      <w:r>
        <w:rPr>
          <w:rFonts w:hint="eastAsia" w:ascii="仿宋" w:hAnsi="仿宋" w:eastAsia="仿宋" w:cs="仿宋"/>
          <w:color w:val="auto"/>
          <w:szCs w:val="21"/>
          <w:lang w:val="en-US" w:eastAsia="zh-CN"/>
        </w:rPr>
        <w:t>证明</w:t>
      </w:r>
      <w:r>
        <w:rPr>
          <w:rFonts w:hint="eastAsia" w:ascii="仿宋" w:hAnsi="仿宋" w:eastAsia="仿宋" w:cs="仿宋"/>
          <w:color w:val="auto"/>
          <w:szCs w:val="21"/>
        </w:rPr>
        <w:t>这些前定特征在断点处</w:t>
      </w:r>
      <w:r>
        <w:rPr>
          <w:rFonts w:hint="eastAsia" w:ascii="仿宋" w:hAnsi="仿宋" w:eastAsia="仿宋" w:cs="仿宋"/>
          <w:color w:val="auto"/>
          <w:szCs w:val="21"/>
          <w:lang w:val="en-US" w:eastAsia="zh-CN"/>
        </w:rPr>
        <w:t>的变化</w:t>
      </w:r>
      <w:r>
        <w:rPr>
          <w:rFonts w:hint="eastAsia" w:ascii="仿宋" w:hAnsi="仿宋" w:eastAsia="仿宋" w:cs="仿宋"/>
          <w:color w:val="auto"/>
          <w:szCs w:val="21"/>
        </w:rPr>
        <w:t>是连续的</w:t>
      </w:r>
      <w:r>
        <w:rPr>
          <w:rFonts w:hint="eastAsia" w:ascii="仿宋" w:hAnsi="仿宋" w:eastAsia="仿宋" w:cs="仿宋"/>
          <w:color w:val="auto"/>
          <w:szCs w:val="21"/>
          <w:lang w:eastAsia="zh-CN"/>
        </w:rPr>
        <w:t>。</w:t>
      </w:r>
      <w:r>
        <w:rPr>
          <w:rFonts w:hint="eastAsia" w:ascii="仿宋" w:hAnsi="仿宋" w:eastAsia="仿宋" w:cs="仿宋"/>
          <w:color w:val="auto"/>
          <w:szCs w:val="21"/>
        </w:rPr>
        <w:t>结果</w:t>
      </w:r>
      <w:r>
        <w:rPr>
          <w:rFonts w:hint="eastAsia" w:ascii="仿宋" w:hAnsi="仿宋" w:eastAsia="仿宋" w:cs="仿宋"/>
          <w:color w:val="auto"/>
          <w:szCs w:val="21"/>
          <w:lang w:val="en-US" w:eastAsia="zh-CN"/>
        </w:rPr>
        <w:t>如图Ⅰ1和</w:t>
      </w:r>
      <w:r>
        <w:rPr>
          <w:rFonts w:hint="eastAsia" w:ascii="仿宋" w:hAnsi="仿宋" w:eastAsia="仿宋" w:cs="仿宋"/>
          <w:color w:val="auto"/>
          <w:szCs w:val="21"/>
        </w:rPr>
        <w:t>表</w:t>
      </w:r>
      <w:r>
        <w:rPr>
          <w:rFonts w:hint="eastAsia" w:ascii="仿宋" w:hAnsi="仿宋" w:eastAsia="仿宋" w:cs="仿宋"/>
          <w:color w:val="auto"/>
          <w:szCs w:val="21"/>
          <w:lang w:val="en-US" w:eastAsia="zh-CN"/>
        </w:rPr>
        <w:t>Ⅰ1</w:t>
      </w:r>
      <w:r>
        <w:rPr>
          <w:rFonts w:hint="eastAsia" w:ascii="仿宋" w:hAnsi="仿宋" w:eastAsia="仿宋" w:cs="仿宋"/>
          <w:color w:val="auto"/>
          <w:szCs w:val="21"/>
        </w:rPr>
        <w:t>中</w:t>
      </w:r>
      <w:r>
        <w:rPr>
          <w:rFonts w:hint="eastAsia" w:ascii="仿宋" w:hAnsi="仿宋" w:eastAsia="仿宋" w:cs="仿宋"/>
          <w:color w:val="auto"/>
          <w:szCs w:val="21"/>
          <w:lang w:val="en-US" w:eastAsia="zh-CN"/>
        </w:rPr>
        <w:t>第</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1）—（3）列</w:t>
      </w:r>
      <w:r>
        <w:rPr>
          <w:rFonts w:hint="eastAsia" w:ascii="仿宋" w:hAnsi="仿宋" w:eastAsia="仿宋" w:cs="仿宋"/>
          <w:color w:val="auto"/>
          <w:szCs w:val="21"/>
        </w:rPr>
        <w:t>所示，结果显示所有前定变量在断点处均未发生显著变化。</w:t>
      </w:r>
      <w:r>
        <w:rPr>
          <w:rFonts w:hint="eastAsia" w:ascii="仿宋" w:hAnsi="仿宋" w:eastAsia="仿宋" w:cs="仿宋"/>
          <w:color w:val="auto"/>
          <w:szCs w:val="21"/>
          <w:lang w:val="en-US" w:eastAsia="zh-CN"/>
        </w:rPr>
        <w:t>上述检验再次验证了本文使用的断点和政策满足识别假设。</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auto"/>
          </w:tcPr>
          <w:p>
            <w:pPr>
              <w:rPr>
                <w:color w:val="auto"/>
              </w:rPr>
            </w:pPr>
            <w:r>
              <w:rPr>
                <w:rFonts w:hint="eastAsia"/>
                <w:color w:val="auto"/>
              </w:rPr>
              <w:drawing>
                <wp:inline distT="0" distB="0" distL="114300" distR="114300">
                  <wp:extent cx="1730375" cy="1259840"/>
                  <wp:effectExtent l="0" t="0" r="6985" b="5080"/>
                  <wp:docPr id="36" name="图片 36" descr="s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soe"/>
                          <pic:cNvPicPr>
                            <a:picLocks noChangeAspect="1"/>
                          </pic:cNvPicPr>
                        </pic:nvPicPr>
                        <pic:blipFill>
                          <a:blip r:embed="rId8"/>
                          <a:stretch>
                            <a:fillRect/>
                          </a:stretch>
                        </pic:blipFill>
                        <pic:spPr>
                          <a:xfrm>
                            <a:off x="0" y="0"/>
                            <a:ext cx="1730375" cy="1259840"/>
                          </a:xfrm>
                          <a:prstGeom prst="rect">
                            <a:avLst/>
                          </a:prstGeom>
                        </pic:spPr>
                      </pic:pic>
                    </a:graphicData>
                  </a:graphic>
                </wp:inline>
              </w:drawing>
            </w:r>
          </w:p>
        </w:tc>
        <w:tc>
          <w:tcPr>
            <w:tcW w:w="2841" w:type="dxa"/>
            <w:tcBorders>
              <w:top w:val="nil"/>
              <w:left w:val="nil"/>
              <w:bottom w:val="nil"/>
              <w:right w:val="nil"/>
            </w:tcBorders>
            <w:shd w:val="clear" w:color="auto" w:fill="auto"/>
          </w:tcPr>
          <w:p>
            <w:pPr>
              <w:rPr>
                <w:color w:val="auto"/>
              </w:rPr>
            </w:pPr>
            <w:r>
              <w:rPr>
                <w:rFonts w:hint="eastAsia"/>
                <w:color w:val="auto"/>
              </w:rPr>
              <w:drawing>
                <wp:inline distT="0" distB="0" distL="114300" distR="114300">
                  <wp:extent cx="1731010" cy="1259840"/>
                  <wp:effectExtent l="0" t="0" r="6350" b="5080"/>
                  <wp:docPr id="37" name="图片 37" descr="l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lnage"/>
                          <pic:cNvPicPr>
                            <a:picLocks noChangeAspect="1"/>
                          </pic:cNvPicPr>
                        </pic:nvPicPr>
                        <pic:blipFill>
                          <a:blip r:embed="rId9"/>
                          <a:stretch>
                            <a:fillRect/>
                          </a:stretch>
                        </pic:blipFill>
                        <pic:spPr>
                          <a:xfrm>
                            <a:off x="0" y="0"/>
                            <a:ext cx="1731010" cy="1259840"/>
                          </a:xfrm>
                          <a:prstGeom prst="rect">
                            <a:avLst/>
                          </a:prstGeom>
                        </pic:spPr>
                      </pic:pic>
                    </a:graphicData>
                  </a:graphic>
                </wp:inline>
              </w:drawing>
            </w:r>
          </w:p>
        </w:tc>
        <w:tc>
          <w:tcPr>
            <w:tcW w:w="2841" w:type="dxa"/>
            <w:tcBorders>
              <w:top w:val="nil"/>
              <w:left w:val="nil"/>
              <w:bottom w:val="nil"/>
              <w:right w:val="nil"/>
            </w:tcBorders>
            <w:shd w:val="clear" w:color="auto" w:fill="auto"/>
          </w:tcPr>
          <w:p>
            <w:pPr>
              <w:rPr>
                <w:color w:val="auto"/>
              </w:rPr>
            </w:pPr>
            <w:r>
              <w:rPr>
                <w:rFonts w:hint="eastAsia"/>
                <w:color w:val="auto"/>
              </w:rPr>
              <w:drawing>
                <wp:inline distT="0" distB="0" distL="114300" distR="114300">
                  <wp:extent cx="1731010" cy="1259840"/>
                  <wp:effectExtent l="0" t="0" r="6350" b="5080"/>
                  <wp:docPr id="9" name="图片 9" descr="pol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ollution"/>
                          <pic:cNvPicPr>
                            <a:picLocks noChangeAspect="1"/>
                          </pic:cNvPicPr>
                        </pic:nvPicPr>
                        <pic:blipFill>
                          <a:blip r:embed="rId10"/>
                          <a:stretch>
                            <a:fillRect/>
                          </a:stretch>
                        </pic:blipFill>
                        <pic:spPr>
                          <a:xfrm>
                            <a:off x="0" y="0"/>
                            <a:ext cx="1731010" cy="12598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840" w:type="dxa"/>
            <w:tcBorders>
              <w:top w:val="nil"/>
              <w:left w:val="nil"/>
              <w:bottom w:val="nil"/>
              <w:right w:val="nil"/>
            </w:tcBorders>
            <w:shd w:val="clear" w:color="auto" w:fill="auto"/>
          </w:tcPr>
          <w:p>
            <w:pPr>
              <w:jc w:val="center"/>
              <w:rPr>
                <w:color w:val="auto"/>
              </w:rPr>
            </w:pPr>
            <w:r>
              <w:rPr>
                <w:rFonts w:ascii="Times New Roman" w:hAnsi="Times New Roman" w:eastAsia="宋体" w:cs="Times New Roman"/>
                <w:color w:val="auto"/>
                <w:kern w:val="0"/>
                <w:sz w:val="18"/>
                <w:szCs w:val="18"/>
                <w:lang w:bidi="ar"/>
              </w:rPr>
              <w:t>(a)</w:t>
            </w:r>
            <w:r>
              <w:rPr>
                <w:rFonts w:ascii="Times New Roman" w:hAnsi="Times New Roman" w:eastAsia="宋体" w:cs="Times New Roman"/>
                <w:i/>
                <w:iCs/>
                <w:color w:val="auto"/>
                <w:kern w:val="0"/>
                <w:sz w:val="18"/>
                <w:szCs w:val="18"/>
                <w:lang w:bidi="ar"/>
              </w:rPr>
              <w:t>Soe</w:t>
            </w:r>
          </w:p>
        </w:tc>
        <w:tc>
          <w:tcPr>
            <w:tcW w:w="2841" w:type="dxa"/>
            <w:tcBorders>
              <w:top w:val="nil"/>
              <w:left w:val="nil"/>
              <w:bottom w:val="nil"/>
              <w:right w:val="nil"/>
            </w:tcBorders>
            <w:shd w:val="clear" w:color="auto" w:fill="auto"/>
          </w:tcPr>
          <w:p>
            <w:pPr>
              <w:jc w:val="center"/>
              <w:rPr>
                <w:color w:val="auto"/>
              </w:rPr>
            </w:pPr>
            <w:r>
              <w:rPr>
                <w:rFonts w:ascii="Times New Roman" w:hAnsi="Times New Roman" w:eastAsia="宋体" w:cs="Times New Roman"/>
                <w:color w:val="auto"/>
                <w:kern w:val="0"/>
                <w:sz w:val="18"/>
                <w:szCs w:val="18"/>
                <w:lang w:bidi="ar"/>
              </w:rPr>
              <w:t>(</w:t>
            </w:r>
            <w:r>
              <w:rPr>
                <w:rFonts w:hint="eastAsia" w:ascii="Times New Roman" w:hAnsi="Times New Roman" w:eastAsia="宋体" w:cs="Times New Roman"/>
                <w:color w:val="auto"/>
                <w:kern w:val="0"/>
                <w:sz w:val="18"/>
                <w:szCs w:val="18"/>
                <w:lang w:bidi="ar"/>
              </w:rPr>
              <w:t>b</w:t>
            </w:r>
            <w:r>
              <w:rPr>
                <w:rFonts w:ascii="Times New Roman" w:hAnsi="Times New Roman" w:eastAsia="宋体" w:cs="Times New Roman"/>
                <w:color w:val="auto"/>
                <w:kern w:val="0"/>
                <w:sz w:val="18"/>
                <w:szCs w:val="18"/>
                <w:lang w:bidi="ar"/>
              </w:rPr>
              <w:t>)</w:t>
            </w:r>
            <w:r>
              <w:rPr>
                <w:rFonts w:ascii="Times New Roman" w:hAnsi="Times New Roman" w:eastAsia="宋体" w:cs="Times New Roman"/>
                <w:i/>
                <w:iCs/>
                <w:color w:val="auto"/>
                <w:kern w:val="0"/>
                <w:sz w:val="18"/>
                <w:szCs w:val="18"/>
                <w:lang w:bidi="ar"/>
              </w:rPr>
              <w:t>Age</w:t>
            </w:r>
            <w:r>
              <w:rPr>
                <w:rFonts w:ascii="Times New Roman" w:hAnsi="Times New Roman" w:eastAsia="宋体" w:cs="Times New Roman"/>
                <w:color w:val="auto"/>
                <w:kern w:val="0"/>
                <w:sz w:val="18"/>
                <w:szCs w:val="18"/>
                <w:lang w:bidi="ar"/>
              </w:rPr>
              <w:t>(log)</w:t>
            </w:r>
          </w:p>
        </w:tc>
        <w:tc>
          <w:tcPr>
            <w:tcW w:w="2841" w:type="dxa"/>
            <w:tcBorders>
              <w:top w:val="nil"/>
              <w:left w:val="nil"/>
              <w:bottom w:val="nil"/>
              <w:right w:val="nil"/>
            </w:tcBorders>
            <w:shd w:val="clear" w:color="auto" w:fill="auto"/>
          </w:tcPr>
          <w:p>
            <w:pPr>
              <w:jc w:val="center"/>
              <w:rPr>
                <w:color w:val="auto"/>
              </w:rPr>
            </w:pPr>
            <w:r>
              <w:rPr>
                <w:rFonts w:ascii="Times New Roman" w:hAnsi="Times New Roman" w:eastAsia="宋体" w:cs="Times New Roman"/>
                <w:color w:val="auto"/>
                <w:kern w:val="0"/>
                <w:sz w:val="18"/>
                <w:szCs w:val="18"/>
                <w:lang w:bidi="ar"/>
              </w:rPr>
              <w:t>(</w:t>
            </w:r>
            <w:r>
              <w:rPr>
                <w:rFonts w:hint="eastAsia" w:ascii="Times New Roman" w:hAnsi="Times New Roman" w:eastAsia="宋体" w:cs="Times New Roman"/>
                <w:color w:val="auto"/>
                <w:kern w:val="0"/>
                <w:sz w:val="18"/>
                <w:szCs w:val="18"/>
                <w:lang w:bidi="ar"/>
              </w:rPr>
              <w:t>c</w:t>
            </w:r>
            <w:r>
              <w:rPr>
                <w:rFonts w:ascii="Times New Roman" w:hAnsi="Times New Roman" w:eastAsia="宋体" w:cs="Times New Roman"/>
                <w:color w:val="auto"/>
                <w:kern w:val="0"/>
                <w:sz w:val="18"/>
                <w:szCs w:val="18"/>
                <w:lang w:bidi="ar"/>
              </w:rPr>
              <w:t>)</w:t>
            </w:r>
            <w:r>
              <w:rPr>
                <w:rFonts w:ascii="Times New Roman" w:hAnsi="Times New Roman" w:eastAsia="宋体" w:cs="Times New Roman"/>
                <w:i/>
                <w:iCs/>
                <w:color w:val="auto"/>
                <w:kern w:val="0"/>
                <w:sz w:val="18"/>
                <w:szCs w:val="18"/>
                <w:lang w:bidi="ar"/>
              </w:rPr>
              <w:t>Pollution</w:t>
            </w:r>
          </w:p>
        </w:tc>
      </w:tr>
    </w:tbl>
    <w:p>
      <w:pPr>
        <w:spacing w:after="120"/>
        <w:ind w:firstLine="402" w:firstLineChars="200"/>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图</w:t>
      </w:r>
      <w:r>
        <w:rPr>
          <w:rFonts w:hint="eastAsia" w:ascii="宋体" w:hAnsi="宋体" w:eastAsia="宋体" w:cs="宋体"/>
          <w:color w:val="auto"/>
          <w:sz w:val="20"/>
          <w:szCs w:val="20"/>
          <w:lang w:val="en-US" w:eastAsia="zh-CN"/>
        </w:rPr>
        <w:t>Ⅰ1</w:t>
      </w:r>
      <w:r>
        <w:rPr>
          <w:rFonts w:hint="eastAsia" w:ascii="宋体" w:hAnsi="宋体" w:eastAsia="宋体" w:cs="宋体"/>
          <w:b/>
          <w:color w:val="auto"/>
          <w:sz w:val="20"/>
          <w:szCs w:val="20"/>
        </w:rPr>
        <w:t xml:space="preserve"> 断点回归的有效性检验</w:t>
      </w:r>
    </w:p>
    <w:p>
      <w:pPr>
        <w:numPr>
          <w:ilvl w:val="255"/>
          <w:numId w:val="0"/>
        </w:numPr>
        <w:adjustRightInd w:val="0"/>
        <w:snapToGrid w:val="0"/>
        <w:spacing w:before="120" w:after="120"/>
        <w:jc w:val="left"/>
        <w:rPr>
          <w:rFonts w:hint="eastAsia" w:ascii="仿宋" w:hAnsi="仿宋" w:eastAsia="仿宋" w:cs="仿宋"/>
          <w:color w:val="auto"/>
        </w:rPr>
      </w:pPr>
      <w:r>
        <w:rPr>
          <w:rFonts w:hint="eastAsia" w:ascii="仿宋" w:hAnsi="仿宋" w:eastAsia="仿宋" w:cs="仿宋"/>
          <w:color w:val="auto"/>
          <w:sz w:val="18"/>
          <w:szCs w:val="18"/>
        </w:rPr>
        <w:t>注：图中圆点是原始数据分布，即在特定带宽内每个bin的均值。</w:t>
      </w:r>
      <w:r>
        <w:rPr>
          <w:rFonts w:hint="eastAsia" w:ascii="仿宋" w:hAnsi="仿宋" w:eastAsia="仿宋" w:cs="仿宋"/>
          <w:color w:val="auto"/>
          <w:sz w:val="18"/>
          <w:szCs w:val="18"/>
          <w:lang w:val="en-US" w:eastAsia="zh-CN"/>
        </w:rPr>
        <w:t>直</w:t>
      </w:r>
      <w:r>
        <w:rPr>
          <w:rFonts w:hint="eastAsia" w:ascii="仿宋" w:hAnsi="仿宋" w:eastAsia="仿宋" w:cs="仿宋"/>
          <w:color w:val="auto"/>
          <w:sz w:val="18"/>
          <w:szCs w:val="18"/>
        </w:rPr>
        <w:t>线</w:t>
      </w:r>
      <w:r>
        <w:rPr>
          <w:rFonts w:hint="eastAsia" w:ascii="仿宋" w:hAnsi="仿宋" w:eastAsia="仿宋" w:cs="仿宋"/>
          <w:color w:val="auto"/>
          <w:sz w:val="18"/>
          <w:szCs w:val="18"/>
          <w:lang w:val="en-US" w:eastAsia="zh-CN"/>
        </w:rPr>
        <w:t>和曲线</w:t>
      </w:r>
      <w:r>
        <w:rPr>
          <w:rFonts w:hint="eastAsia" w:ascii="仿宋" w:hAnsi="仿宋" w:eastAsia="仿宋" w:cs="仿宋"/>
          <w:color w:val="auto"/>
          <w:sz w:val="18"/>
          <w:szCs w:val="18"/>
        </w:rPr>
        <w:t>分别代表局部线性回归得到的拟合线和95%置信区间。下同。</w:t>
      </w:r>
    </w:p>
    <w:p>
      <w:pPr>
        <w:adjustRightInd w:val="0"/>
        <w:snapToGrid w:val="0"/>
        <w:spacing w:before="120" w:line="300" w:lineRule="atLeast"/>
        <w:jc w:val="center"/>
        <w:rPr>
          <w:rFonts w:hint="eastAsia" w:ascii="宋体" w:hAnsi="宋体" w:eastAsia="宋体" w:cs="宋体"/>
          <w:b/>
          <w:bCs w:val="0"/>
          <w:color w:val="auto"/>
          <w:sz w:val="20"/>
          <w:szCs w:val="20"/>
          <w:lang w:bidi="ar"/>
        </w:rPr>
      </w:pPr>
      <w:r>
        <w:rPr>
          <w:rFonts w:hint="eastAsia" w:ascii="宋体" w:hAnsi="宋体" w:eastAsia="宋体" w:cs="宋体"/>
          <w:b/>
          <w:bCs w:val="0"/>
          <w:color w:val="auto"/>
          <w:sz w:val="20"/>
          <w:szCs w:val="20"/>
          <w:lang w:bidi="ar"/>
        </w:rPr>
        <w:t>表</w:t>
      </w:r>
      <w:r>
        <w:rPr>
          <w:rFonts w:hint="eastAsia" w:ascii="宋体" w:hAnsi="宋体" w:eastAsia="宋体" w:cs="宋体"/>
          <w:b/>
          <w:bCs w:val="0"/>
          <w:color w:val="auto"/>
          <w:sz w:val="20"/>
          <w:szCs w:val="20"/>
          <w:lang w:val="en-US" w:eastAsia="zh-CN"/>
        </w:rPr>
        <w:t>Ⅰ1</w:t>
      </w:r>
      <w:r>
        <w:rPr>
          <w:rFonts w:hint="eastAsia" w:ascii="宋体" w:hAnsi="宋体" w:eastAsia="宋体" w:cs="宋体"/>
          <w:b/>
          <w:bCs w:val="0"/>
          <w:color w:val="auto"/>
          <w:sz w:val="20"/>
          <w:szCs w:val="20"/>
          <w:lang w:bidi="ar"/>
        </w:rPr>
        <w:t>识别的有效性检验</w:t>
      </w:r>
    </w:p>
    <w:tbl>
      <w:tblPr>
        <w:tblStyle w:val="8"/>
        <w:tblW w:w="4998" w:type="pct"/>
        <w:tblInd w:w="0" w:type="dxa"/>
        <w:tblLayout w:type="autofit"/>
        <w:tblCellMar>
          <w:top w:w="0" w:type="dxa"/>
          <w:left w:w="108" w:type="dxa"/>
          <w:bottom w:w="0" w:type="dxa"/>
          <w:right w:w="108" w:type="dxa"/>
        </w:tblCellMar>
      </w:tblPr>
      <w:tblGrid>
        <w:gridCol w:w="3187"/>
        <w:gridCol w:w="1861"/>
        <w:gridCol w:w="1861"/>
        <w:gridCol w:w="1610"/>
      </w:tblGrid>
      <w:tr>
        <w:tc>
          <w:tcPr>
            <w:tcW w:w="1870" w:type="pct"/>
            <w:vMerge w:val="restart"/>
            <w:tcBorders>
              <w:top w:val="single" w:color="auto" w:sz="4" w:space="0"/>
              <w:left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9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w:t>
            </w:r>
          </w:p>
        </w:tc>
        <w:tc>
          <w:tcPr>
            <w:tcW w:w="109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w:t>
            </w:r>
          </w:p>
        </w:tc>
        <w:tc>
          <w:tcPr>
            <w:tcW w:w="944"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(3)</w:t>
            </w:r>
          </w:p>
        </w:tc>
      </w:tr>
      <w:tr>
        <w:tblPrEx>
          <w:tblCellMar>
            <w:top w:w="0" w:type="dxa"/>
            <w:left w:w="108" w:type="dxa"/>
            <w:bottom w:w="0" w:type="dxa"/>
            <w:right w:w="108" w:type="dxa"/>
          </w:tblCellMar>
        </w:tblPrEx>
        <w:tc>
          <w:tcPr>
            <w:tcW w:w="1870" w:type="pct"/>
            <w:vMerge w:val="continue"/>
            <w:tcBorders>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9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Soe</w:t>
            </w:r>
          </w:p>
        </w:tc>
        <w:tc>
          <w:tcPr>
            <w:tcW w:w="109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Age</w:t>
            </w:r>
            <w:r>
              <w:rPr>
                <w:rFonts w:hint="eastAsia" w:ascii="仿宋" w:hAnsi="仿宋" w:eastAsia="仿宋" w:cs="仿宋"/>
                <w:color w:val="auto"/>
                <w:kern w:val="0"/>
                <w:sz w:val="18"/>
                <w:szCs w:val="18"/>
                <w:lang w:bidi="ar"/>
              </w:rPr>
              <w:t>(log)</w:t>
            </w:r>
          </w:p>
        </w:tc>
        <w:tc>
          <w:tcPr>
            <w:tcW w:w="944"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Pollution</w:t>
            </w:r>
          </w:p>
        </w:tc>
      </w:tr>
      <w:tr>
        <w:tblPrEx>
          <w:tblCellMar>
            <w:top w:w="0" w:type="dxa"/>
            <w:left w:w="108" w:type="dxa"/>
            <w:bottom w:w="0" w:type="dxa"/>
            <w:right w:w="108" w:type="dxa"/>
          </w:tblCellMar>
        </w:tblPrEx>
        <w:tc>
          <w:tcPr>
            <w:tcW w:w="1870" w:type="pct"/>
            <w:tcBorders>
              <w:top w:val="sing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TaxSource</w:t>
            </w:r>
          </w:p>
        </w:tc>
        <w:tc>
          <w:tcPr>
            <w:tcW w:w="109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-0.009</w:t>
            </w:r>
          </w:p>
        </w:tc>
        <w:tc>
          <w:tcPr>
            <w:tcW w:w="109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-0.045</w:t>
            </w:r>
          </w:p>
        </w:tc>
        <w:tc>
          <w:tcPr>
            <w:tcW w:w="944"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-0.000</w:t>
            </w:r>
          </w:p>
        </w:tc>
      </w:tr>
      <w:tr>
        <w:tblPrEx>
          <w:tblCellMar>
            <w:top w:w="0" w:type="dxa"/>
            <w:left w:w="108" w:type="dxa"/>
            <w:bottom w:w="0" w:type="dxa"/>
            <w:right w:w="108" w:type="dxa"/>
          </w:tblCellMar>
        </w:tblPrEx>
        <w:trPr>
          <w:trHeight w:val="90" w:hRule="atLeast"/>
        </w:trPr>
        <w:tc>
          <w:tcPr>
            <w:tcW w:w="1870" w:type="pct"/>
            <w:tcBorders>
              <w:top w:val="nil"/>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9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(0.031)</w:t>
            </w:r>
          </w:p>
        </w:tc>
        <w:tc>
          <w:tcPr>
            <w:tcW w:w="109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(0.028)</w:t>
            </w:r>
          </w:p>
        </w:tc>
        <w:tc>
          <w:tcPr>
            <w:tcW w:w="944"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(0.007)</w:t>
            </w:r>
          </w:p>
        </w:tc>
      </w:tr>
      <w:tr>
        <w:tblPrEx>
          <w:tblCellMar>
            <w:top w:w="0" w:type="dxa"/>
            <w:left w:w="108" w:type="dxa"/>
            <w:bottom w:w="0" w:type="dxa"/>
            <w:right w:w="108" w:type="dxa"/>
          </w:tblCellMar>
        </w:tblPrEx>
        <w:tc>
          <w:tcPr>
            <w:tcW w:w="1870" w:type="pct"/>
            <w:tcBorders>
              <w:top w:val="sing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个体固定效应</w:t>
            </w:r>
          </w:p>
        </w:tc>
        <w:tc>
          <w:tcPr>
            <w:tcW w:w="109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09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944"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1870" w:type="pct"/>
            <w:tcBorders>
              <w:top w:val="nil"/>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时间固定效应</w:t>
            </w:r>
          </w:p>
        </w:tc>
        <w:tc>
          <w:tcPr>
            <w:tcW w:w="1092" w:type="pct"/>
            <w:tcBorders>
              <w:top w:val="nil"/>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092" w:type="pct"/>
            <w:tcBorders>
              <w:top w:val="nil"/>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944" w:type="pct"/>
            <w:tcBorders>
              <w:top w:val="nil"/>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1870" w:type="pct"/>
            <w:tcBorders>
              <w:top w:val="nil"/>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驱动变量及其交互项</w:t>
            </w:r>
          </w:p>
        </w:tc>
        <w:tc>
          <w:tcPr>
            <w:tcW w:w="1092" w:type="pct"/>
            <w:tcBorders>
              <w:top w:val="nil"/>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092" w:type="pct"/>
            <w:tcBorders>
              <w:top w:val="nil"/>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944" w:type="pct"/>
            <w:tcBorders>
              <w:top w:val="nil"/>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1870" w:type="pct"/>
            <w:tcBorders>
              <w:top w:val="nil"/>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N</w:t>
            </w:r>
          </w:p>
        </w:tc>
        <w:tc>
          <w:tcPr>
            <w:tcW w:w="109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4709</w:t>
            </w:r>
          </w:p>
        </w:tc>
        <w:tc>
          <w:tcPr>
            <w:tcW w:w="109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4719</w:t>
            </w:r>
          </w:p>
        </w:tc>
        <w:tc>
          <w:tcPr>
            <w:tcW w:w="944"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4721</w:t>
            </w:r>
          </w:p>
        </w:tc>
      </w:tr>
    </w:tbl>
    <w:p>
      <w:pPr>
        <w:adjustRightInd w:val="0"/>
        <w:snapToGrid w:val="0"/>
        <w:spacing w:before="120" w:after="120"/>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注：*、**、***分别表示在 10%、5%和 1%的水平上显著性，括号内数值为在企业维度进行聚类处理的标准误，下同。</w:t>
      </w:r>
    </w:p>
    <w:p>
      <w:pPr>
        <w:rPr>
          <w:rFonts w:hint="eastAsia" w:ascii="Times New Roman" w:hAnsi="Times New Roman" w:cs="Times New Roman"/>
          <w:b/>
          <w:color w:val="auto"/>
        </w:rPr>
      </w:pPr>
      <w:r>
        <w:rPr>
          <w:rFonts w:hint="eastAsia" w:ascii="Times New Roman" w:hAnsi="Times New Roman" w:cs="Times New Roman"/>
          <w:b/>
          <w:color w:val="auto"/>
        </w:rPr>
        <w:br w:type="page"/>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8"/>
          <w:szCs w:val="28"/>
          <w:lang w:val="en-US" w:eastAsia="zh-CN"/>
        </w:rPr>
      </w:pPr>
      <w:bookmarkStart w:id="1" w:name="_Toc12946"/>
      <w:r>
        <w:rPr>
          <w:rFonts w:hint="eastAsia" w:ascii="楷体" w:hAnsi="楷体" w:eastAsia="楷体" w:cs="楷体"/>
          <w:b w:val="0"/>
          <w:bCs w:val="0"/>
          <w:color w:val="auto"/>
          <w:kern w:val="0"/>
          <w:sz w:val="28"/>
          <w:szCs w:val="28"/>
          <w:lang w:val="en-US" w:eastAsia="zh-CN" w:bidi="ar"/>
        </w:rPr>
        <w:t xml:space="preserve">附录Ⅱ </w:t>
      </w:r>
      <w:r>
        <w:rPr>
          <w:rFonts w:hint="eastAsia" w:ascii="楷体" w:hAnsi="楷体" w:eastAsia="楷体" w:cs="楷体"/>
          <w:b w:val="0"/>
          <w:bCs w:val="0"/>
          <w:sz w:val="28"/>
          <w:szCs w:val="28"/>
          <w:lang w:val="en-US" w:eastAsia="zh-CN"/>
        </w:rPr>
        <w:t>企业生产规模扩张和排放强度</w:t>
      </w:r>
      <w:bookmarkEnd w:id="1"/>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对于</w:t>
      </w:r>
      <w:r>
        <w:rPr>
          <w:rFonts w:hint="eastAsia" w:ascii="仿宋" w:hAnsi="仿宋" w:eastAsia="仿宋" w:cs="仿宋"/>
          <w:color w:val="auto"/>
          <w:szCs w:val="21"/>
          <w:lang w:val="en-US" w:eastAsia="zh-CN"/>
        </w:rPr>
        <w:t>基准</w:t>
      </w:r>
      <w:r>
        <w:rPr>
          <w:rFonts w:hint="eastAsia" w:ascii="仿宋" w:hAnsi="仿宋" w:eastAsia="仿宋" w:cs="仿宋"/>
          <w:color w:val="auto"/>
          <w:szCs w:val="21"/>
        </w:rPr>
        <w:t>结果的一个直接担忧是企业的总产值问题。在利润最大化动机下，重点税源企业既能通过提高产量的方式缓解税负成本上升带来的压力，也可以改变环保行为应对高强度的税收征管。参考</w:t>
      </w:r>
      <w:r>
        <w:rPr>
          <w:rFonts w:hint="eastAsia" w:ascii="仿宋" w:hAnsi="仿宋" w:eastAsia="仿宋" w:cs="仿宋"/>
          <w:color w:val="auto"/>
          <w:szCs w:val="21"/>
          <w:lang w:val="en-US" w:eastAsia="zh-CN"/>
        </w:rPr>
        <w:t>Chen</w:t>
      </w:r>
      <w:r>
        <w:rPr>
          <w:rFonts w:hint="eastAsia" w:ascii="仿宋" w:hAnsi="仿宋" w:eastAsia="仿宋" w:cs="仿宋"/>
          <w:color w:val="auto"/>
          <w:szCs w:val="21"/>
        </w:rPr>
        <w:t xml:space="preserve"> et al.（2021）的做法，工业污染排放可分解为：</w:t>
      </w:r>
    </w:p>
    <w:p>
      <w:pPr>
        <w:adjustRightInd w:val="0"/>
        <w:snapToGrid w:val="0"/>
        <w:spacing w:before="120" w:after="120"/>
        <w:ind w:firstLine="360" w:firstLineChars="200"/>
        <w:rPr>
          <w:rFonts w:hint="eastAsia" w:ascii="仿宋" w:hAnsi="仿宋" w:eastAsia="仿宋" w:cs="仿宋"/>
          <w:color w:val="auto"/>
          <w:szCs w:val="21"/>
        </w:rPr>
      </w:pPr>
      <w:r>
        <w:rPr>
          <w:rFonts w:hint="eastAsia" w:ascii="仿宋" w:hAnsi="仿宋" w:eastAsia="仿宋" w:cs="仿宋"/>
          <w:color w:val="auto"/>
          <w:position w:val="-28"/>
          <w:sz w:val="18"/>
          <w:szCs w:val="18"/>
        </w:rPr>
        <w:object>
          <v:shape id="_x0000_i1025" o:spt="75" type="#_x0000_t75" style="height:33.5pt;width:242.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仿宋" w:hAnsi="仿宋" w:eastAsia="仿宋" w:cs="仿宋"/>
          <w:color w:val="auto"/>
          <w:sz w:val="18"/>
          <w:szCs w:val="18"/>
        </w:rPr>
        <w:t xml:space="preserve">                              </w:t>
      </w:r>
      <w:r>
        <w:rPr>
          <w:rFonts w:hint="eastAsia" w:ascii="仿宋" w:hAnsi="仿宋" w:eastAsia="仿宋" w:cs="仿宋"/>
          <w:color w:val="auto"/>
          <w:szCs w:val="21"/>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rPr>
        <w:t>）</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其中</w:t>
      </w:r>
      <w:r>
        <w:rPr>
          <w:rFonts w:hint="eastAsia" w:ascii="仿宋" w:hAnsi="仿宋" w:eastAsia="仿宋" w:cs="仿宋"/>
          <w:color w:val="auto"/>
          <w:position w:val="-6"/>
          <w:szCs w:val="21"/>
        </w:rPr>
        <w:object>
          <v:shape id="_x0000_i1026" o:spt="75" type="#_x0000_t75" style="height:14pt;width:48.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ascii="仿宋" w:hAnsi="仿宋" w:eastAsia="仿宋" w:cs="仿宋"/>
          <w:color w:val="auto"/>
          <w:szCs w:val="21"/>
        </w:rPr>
        <w:t>是企业污染物（二氧化硫）的排放量，</w:t>
      </w:r>
      <w:r>
        <w:rPr>
          <w:rFonts w:hint="eastAsia" w:ascii="仿宋" w:hAnsi="仿宋" w:eastAsia="仿宋" w:cs="仿宋"/>
          <w:color w:val="auto"/>
          <w:position w:val="-10"/>
          <w:szCs w:val="21"/>
        </w:rPr>
        <w:object>
          <v:shape id="_x0000_i1027" o:spt="75" type="#_x0000_t75" style="height:15.5pt;width:36.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仿宋" w:hAnsi="仿宋" w:eastAsia="仿宋" w:cs="仿宋"/>
          <w:color w:val="auto"/>
          <w:szCs w:val="21"/>
        </w:rPr>
        <w:t>是企业工业总产值，</w:t>
      </w:r>
      <w:r>
        <w:rPr>
          <w:rFonts w:hint="eastAsia" w:ascii="仿宋" w:hAnsi="仿宋" w:eastAsia="仿宋" w:cs="仿宋"/>
          <w:color w:val="auto"/>
          <w:position w:val="-10"/>
          <w:szCs w:val="21"/>
        </w:rPr>
        <w:object>
          <v:shape id="_x0000_i1028" o:spt="75" type="#_x0000_t75" style="height:15.5pt;width:46pt;" o:ole="t" filled="f" o:preferrelative="t" stroked="f" coordsize="21600,21600">
            <v:path/>
            <v:fill on="f" focussize="0,0"/>
            <v:stroke on="f" joinstyle="miter"/>
            <v:imagedata r:id="rId18" o:title=""/>
            <o:lock v:ext="edit" aspectratio="f"/>
            <w10:wrap type="none"/>
            <w10:anchorlock/>
          </v:shape>
          <o:OLEObject Type="Embed" ProgID="Equation.DSMT4" ShapeID="_x0000_i1028" DrawAspect="Content" ObjectID="_1468075728" r:id="rId17">
            <o:LockedField>false</o:LockedField>
          </o:OLEObject>
        </w:object>
      </w:r>
      <w:r>
        <w:rPr>
          <w:rFonts w:hint="eastAsia" w:ascii="仿宋" w:hAnsi="仿宋" w:eastAsia="仿宋" w:cs="仿宋"/>
          <w:color w:val="auto"/>
          <w:szCs w:val="21"/>
        </w:rPr>
        <w:t>是企业污染物排放强度，即单位产值的工业污染物排放量。然后，排放量的变化可以进一步分解为：</w:t>
      </w:r>
    </w:p>
    <w:p>
      <w:pPr>
        <w:adjustRightInd w:val="0"/>
        <w:snapToGrid w:val="0"/>
        <w:spacing w:before="120" w:after="120"/>
        <w:ind w:firstLine="360" w:firstLineChars="200"/>
        <w:rPr>
          <w:rFonts w:hint="eastAsia" w:ascii="仿宋" w:hAnsi="仿宋" w:eastAsia="仿宋" w:cs="仿宋"/>
          <w:color w:val="auto"/>
          <w:szCs w:val="21"/>
        </w:rPr>
      </w:pPr>
      <w:r>
        <w:rPr>
          <w:rFonts w:hint="eastAsia" w:ascii="仿宋" w:hAnsi="仿宋" w:eastAsia="仿宋" w:cs="仿宋"/>
          <w:color w:val="auto"/>
          <w:position w:val="-28"/>
          <w:sz w:val="18"/>
          <w:szCs w:val="18"/>
        </w:rPr>
        <w:object>
          <v:shape id="_x0000_i1029" o:spt="75" type="#_x0000_t75" style="height:33.5pt;width:171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仿宋" w:hAnsi="仿宋" w:eastAsia="仿宋" w:cs="仿宋"/>
          <w:color w:val="auto"/>
          <w:sz w:val="18"/>
          <w:szCs w:val="18"/>
        </w:rPr>
        <w:t xml:space="preserve">                             </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2</w:t>
      </w:r>
      <w:r>
        <w:rPr>
          <w:rFonts w:hint="eastAsia" w:ascii="仿宋" w:hAnsi="仿宋" w:eastAsia="仿宋" w:cs="仿宋"/>
          <w:color w:val="auto"/>
          <w:szCs w:val="21"/>
        </w:rPr>
        <w:t>）</w:t>
      </w:r>
    </w:p>
    <w:p>
      <w:pPr>
        <w:adjustRightInd w:val="0"/>
        <w:snapToGrid w:val="0"/>
        <w:ind w:firstLine="420" w:firstLineChars="200"/>
        <w:rPr>
          <w:rFonts w:hint="eastAsia" w:ascii="仿宋" w:hAnsi="仿宋" w:eastAsia="仿宋" w:cs="仿宋"/>
          <w:color w:val="auto"/>
          <w:szCs w:val="21"/>
        </w:rPr>
      </w:pPr>
      <w:r>
        <w:rPr>
          <w:rFonts w:hint="eastAsia" w:ascii="仿宋" w:hAnsi="仿宋" w:eastAsia="仿宋" w:cs="仿宋"/>
          <w:color w:val="auto"/>
          <w:szCs w:val="21"/>
        </w:rPr>
        <w:t>根据式（</w:t>
      </w:r>
      <w:r>
        <w:rPr>
          <w:rFonts w:hint="eastAsia" w:ascii="仿宋" w:hAnsi="仿宋" w:eastAsia="仿宋" w:cs="仿宋"/>
          <w:color w:val="auto"/>
          <w:szCs w:val="21"/>
          <w:lang w:val="en-US" w:eastAsia="zh-CN"/>
        </w:rPr>
        <w:t>2</w:t>
      </w:r>
      <w:r>
        <w:rPr>
          <w:rFonts w:hint="eastAsia" w:ascii="仿宋" w:hAnsi="仿宋" w:eastAsia="仿宋" w:cs="仿宋"/>
          <w:color w:val="auto"/>
          <w:szCs w:val="21"/>
        </w:rPr>
        <w:t>）可知，企业污染物排放量的增加来自两个来源：工业总产值的扩张和单位排放强度的提高。如果重点税源企业的污染行为变化仅由于生产规模扩张</w:t>
      </w:r>
      <w:r>
        <w:rPr>
          <w:rFonts w:hint="eastAsia" w:ascii="仿宋" w:hAnsi="仿宋" w:eastAsia="仿宋" w:cs="仿宋"/>
          <w:color w:val="auto"/>
          <w:szCs w:val="21"/>
          <w:lang w:val="en-US" w:eastAsia="zh-CN"/>
        </w:rPr>
        <w:t>所</w:t>
      </w:r>
      <w:r>
        <w:rPr>
          <w:rFonts w:hint="eastAsia" w:ascii="仿宋" w:hAnsi="仿宋" w:eastAsia="仿宋" w:cs="仿宋"/>
          <w:color w:val="auto"/>
          <w:szCs w:val="21"/>
        </w:rPr>
        <w:t>导致，而非排放强度的提高，这意味着其可能并没有</w:t>
      </w:r>
      <w:r>
        <w:rPr>
          <w:rFonts w:hint="eastAsia" w:ascii="仿宋" w:hAnsi="仿宋" w:eastAsia="仿宋" w:cs="仿宋"/>
          <w:color w:val="auto"/>
          <w:szCs w:val="21"/>
          <w:lang w:val="en-US" w:eastAsia="zh-CN"/>
        </w:rPr>
        <w:t>改变环境治理行为</w:t>
      </w:r>
      <w:r>
        <w:rPr>
          <w:rFonts w:hint="eastAsia" w:ascii="仿宋" w:hAnsi="仿宋" w:eastAsia="仿宋" w:cs="仿宋"/>
          <w:color w:val="auto"/>
          <w:szCs w:val="21"/>
        </w:rPr>
        <w:t>。为了排除这一竞争性假说，我们使用企业工业产值的对数值和二氧化硫排放强度作为被解释变量，重复先前的RD回归。结果如</w:t>
      </w:r>
      <w:r>
        <w:rPr>
          <w:rFonts w:hint="eastAsia" w:ascii="仿宋" w:hAnsi="仿宋" w:eastAsia="仿宋" w:cs="仿宋"/>
          <w:color w:val="auto"/>
          <w:szCs w:val="21"/>
          <w:lang w:val="en-US" w:eastAsia="zh-CN"/>
        </w:rPr>
        <w:t>图</w:t>
      </w:r>
      <w:r>
        <w:rPr>
          <w:rFonts w:hint="eastAsia" w:ascii="仿宋" w:hAnsi="仿宋" w:eastAsia="仿宋" w:cs="仿宋"/>
          <w:color w:val="auto"/>
          <w:szCs w:val="21"/>
          <w:lang w:val="en-US" w:eastAsia="zh-CN"/>
        </w:rPr>
        <w:t>Ⅱ1</w:t>
      </w:r>
      <w:r>
        <w:rPr>
          <w:rFonts w:hint="eastAsia" w:ascii="仿宋" w:hAnsi="仿宋" w:eastAsia="仿宋" w:cs="仿宋"/>
          <w:color w:val="auto"/>
          <w:szCs w:val="21"/>
        </w:rPr>
        <w:t>所示，国税总局的重点监管行为不会影响企业的工业产值，但企业的二氧化硫排放强度显著提高。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pPr>
              <w:rPr>
                <w:color w:val="auto"/>
              </w:rPr>
            </w:pPr>
            <w:r>
              <w:rPr>
                <w:rFonts w:hint="eastAsia"/>
                <w:color w:val="auto"/>
              </w:rPr>
              <w:drawing>
                <wp:inline distT="0" distB="0" distL="114300" distR="114300">
                  <wp:extent cx="2473960" cy="1800225"/>
                  <wp:effectExtent l="0" t="0" r="10160" b="13335"/>
                  <wp:docPr id="38" name="图片 38" descr="总产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总产值"/>
                          <pic:cNvPicPr>
                            <a:picLocks noChangeAspect="1"/>
                          </pic:cNvPicPr>
                        </pic:nvPicPr>
                        <pic:blipFill>
                          <a:blip r:embed="rId21"/>
                          <a:stretch>
                            <a:fillRect/>
                          </a:stretch>
                        </pic:blipFill>
                        <pic:spPr>
                          <a:xfrm>
                            <a:off x="0" y="0"/>
                            <a:ext cx="2473960" cy="1800225"/>
                          </a:xfrm>
                          <a:prstGeom prst="rect">
                            <a:avLst/>
                          </a:prstGeom>
                        </pic:spPr>
                      </pic:pic>
                    </a:graphicData>
                  </a:graphic>
                </wp:inline>
              </w:drawing>
            </w:r>
          </w:p>
        </w:tc>
        <w:tc>
          <w:tcPr>
            <w:tcW w:w="4261" w:type="dxa"/>
            <w:tcBorders>
              <w:top w:val="nil"/>
              <w:left w:val="nil"/>
              <w:bottom w:val="nil"/>
              <w:right w:val="nil"/>
            </w:tcBorders>
            <w:shd w:val="clear" w:color="auto" w:fill="auto"/>
          </w:tcPr>
          <w:p>
            <w:pPr>
              <w:rPr>
                <w:color w:val="auto"/>
              </w:rPr>
            </w:pPr>
            <w:r>
              <w:rPr>
                <w:rFonts w:hint="eastAsia"/>
                <w:color w:val="auto"/>
              </w:rPr>
              <w:drawing>
                <wp:inline distT="0" distB="0" distL="114300" distR="114300">
                  <wp:extent cx="2473960" cy="1800225"/>
                  <wp:effectExtent l="0" t="0" r="10160" b="13335"/>
                  <wp:docPr id="39" name="图片 39" descr="排放强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排放强度"/>
                          <pic:cNvPicPr>
                            <a:picLocks noChangeAspect="1"/>
                          </pic:cNvPicPr>
                        </pic:nvPicPr>
                        <pic:blipFill>
                          <a:blip r:embed="rId22"/>
                          <a:stretch>
                            <a:fillRect/>
                          </a:stretch>
                        </pic:blipFill>
                        <pic:spPr>
                          <a:xfrm>
                            <a:off x="0" y="0"/>
                            <a:ext cx="2473960" cy="18002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pPr>
              <w:jc w:val="center"/>
              <w:rPr>
                <w:rFonts w:ascii="Times New Roman" w:hAnsi="Times New Roman" w:cs="Times New Roman"/>
                <w:color w:val="auto"/>
              </w:rPr>
            </w:pPr>
            <w:r>
              <w:rPr>
                <w:rFonts w:ascii="Times New Roman" w:hAnsi="Times New Roman" w:eastAsia="宋体" w:cs="Times New Roman"/>
                <w:color w:val="auto"/>
                <w:lang w:bidi="ar"/>
              </w:rPr>
              <w:t>(a)</w:t>
            </w:r>
            <w:r>
              <w:rPr>
                <w:rFonts w:ascii="Times New Roman" w:hAnsi="Times New Roman" w:cs="Times New Roman"/>
                <w:color w:val="auto"/>
                <w:kern w:val="0"/>
                <w:sz w:val="18"/>
                <w:szCs w:val="18"/>
              </w:rPr>
              <w:t>企业总产值</w:t>
            </w:r>
            <w:r>
              <w:rPr>
                <w:rFonts w:hint="eastAsia" w:ascii="Times New Roman" w:hAnsi="Times New Roman" w:cs="Times New Roman"/>
                <w:color w:val="auto"/>
                <w:kern w:val="0"/>
                <w:sz w:val="18"/>
                <w:szCs w:val="18"/>
              </w:rPr>
              <w:t>(log)</w:t>
            </w:r>
          </w:p>
        </w:tc>
        <w:tc>
          <w:tcPr>
            <w:tcW w:w="4261" w:type="dxa"/>
            <w:tcBorders>
              <w:top w:val="nil"/>
              <w:left w:val="nil"/>
              <w:bottom w:val="nil"/>
              <w:right w:val="nil"/>
            </w:tcBorders>
            <w:shd w:val="clear" w:color="auto" w:fill="auto"/>
          </w:tcPr>
          <w:p>
            <w:pPr>
              <w:autoSpaceDE w:val="0"/>
              <w:autoSpaceDN w:val="0"/>
              <w:adjustRightInd w:val="0"/>
              <w:snapToGrid w:val="0"/>
              <w:jc w:val="center"/>
              <w:rPr>
                <w:rFonts w:hint="default" w:ascii="Times New Roman" w:hAnsi="Times New Roman" w:cs="Times New Roman" w:eastAsiaTheme="minorEastAsia"/>
                <w:color w:val="auto"/>
                <w:kern w:val="0"/>
                <w:sz w:val="18"/>
                <w:szCs w:val="18"/>
                <w:lang w:val="en-US" w:eastAsia="zh-CN"/>
              </w:rPr>
            </w:pPr>
            <w:r>
              <w:rPr>
                <w:rFonts w:hint="eastAsia" w:ascii="Times New Roman" w:hAnsi="Times New Roman" w:cs="Times New Roman"/>
                <w:color w:val="auto"/>
                <w:kern w:val="0"/>
                <w:sz w:val="18"/>
                <w:szCs w:val="18"/>
              </w:rPr>
              <w:t>(b)</w:t>
            </w:r>
            <w:r>
              <w:rPr>
                <w:rFonts w:ascii="Times New Roman" w:hAnsi="Times New Roman" w:cs="Times New Roman"/>
                <w:color w:val="auto"/>
                <w:kern w:val="0"/>
                <w:sz w:val="18"/>
                <w:szCs w:val="18"/>
              </w:rPr>
              <w:t>二氧排放量/工业总产值</w:t>
            </w:r>
            <w:r>
              <w:rPr>
                <w:rFonts w:hint="eastAsia" w:ascii="Times New Roman" w:hAnsi="Times New Roman" w:cs="Times New Roman"/>
                <w:color w:val="auto"/>
                <w:kern w:val="0"/>
                <w:sz w:val="18"/>
                <w:szCs w:val="18"/>
              </w:rPr>
              <w:t>(</w:t>
            </w:r>
            <w:r>
              <w:rPr>
                <w:rFonts w:hint="eastAsia" w:ascii="Times New Roman" w:hAnsi="Times New Roman" w:cs="Times New Roman"/>
                <w:color w:val="auto"/>
                <w:kern w:val="0"/>
                <w:sz w:val="18"/>
                <w:szCs w:val="18"/>
                <w:lang w:val="en-US" w:eastAsia="zh-CN"/>
              </w:rPr>
              <w:t>log)</w:t>
            </w:r>
          </w:p>
        </w:tc>
      </w:tr>
    </w:tbl>
    <w:p>
      <w:pPr>
        <w:spacing w:after="120"/>
        <w:ind w:firstLine="402" w:firstLineChars="200"/>
        <w:jc w:val="center"/>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图</w:t>
      </w:r>
      <w:r>
        <w:rPr>
          <w:rFonts w:hint="eastAsia" w:ascii="宋体" w:hAnsi="宋体" w:eastAsia="宋体" w:cs="宋体"/>
          <w:b/>
          <w:bCs w:val="0"/>
          <w:color w:val="auto"/>
          <w:sz w:val="20"/>
          <w:szCs w:val="20"/>
          <w:lang w:val="en-US" w:eastAsia="zh-CN"/>
        </w:rPr>
        <w:t>Ⅱ1</w:t>
      </w:r>
      <w:r>
        <w:rPr>
          <w:rFonts w:hint="eastAsia" w:ascii="宋体" w:hAnsi="宋体" w:eastAsia="宋体" w:cs="宋体"/>
          <w:b/>
          <w:bCs w:val="0"/>
          <w:color w:val="auto"/>
          <w:sz w:val="20"/>
          <w:szCs w:val="20"/>
        </w:rPr>
        <w:t>企业工业总产值和污染排放强度</w:t>
      </w:r>
    </w:p>
    <w:p>
      <w:pPr>
        <w:rPr>
          <w:rFonts w:hint="eastAsia" w:ascii="Times New Roman" w:hAnsi="Times New Roman" w:cs="Times New Roman"/>
          <w:b/>
          <w:color w:val="auto"/>
        </w:rPr>
      </w:pPr>
      <w:r>
        <w:rPr>
          <w:rFonts w:hint="eastAsia" w:ascii="Times New Roman" w:hAnsi="Times New Roman" w:cs="Times New Roman"/>
          <w:b/>
          <w:color w:val="auto"/>
        </w:rPr>
        <w:br w:type="page"/>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auto"/>
          <w:kern w:val="0"/>
          <w:sz w:val="28"/>
          <w:szCs w:val="28"/>
          <w:lang w:val="en-US" w:eastAsia="zh-CN" w:bidi="ar"/>
        </w:rPr>
      </w:pPr>
      <w:bookmarkStart w:id="2" w:name="_Toc13544"/>
      <w:r>
        <w:rPr>
          <w:rFonts w:hint="eastAsia" w:ascii="楷体" w:hAnsi="楷体" w:eastAsia="楷体" w:cs="楷体"/>
          <w:b w:val="0"/>
          <w:bCs w:val="0"/>
          <w:color w:val="auto"/>
          <w:kern w:val="0"/>
          <w:sz w:val="28"/>
          <w:szCs w:val="28"/>
          <w:lang w:val="en-US" w:eastAsia="zh-CN" w:bidi="ar"/>
        </w:rPr>
        <w:t>附录Ⅲ 稳健性检验</w:t>
      </w:r>
      <w:bookmarkEnd w:id="2"/>
    </w:p>
    <w:p>
      <w:pPr>
        <w:pStyle w:val="3"/>
        <w:keepNext/>
        <w:keepLines/>
        <w:pageBreakBefore w:val="0"/>
        <w:widowControl w:val="0"/>
        <w:numPr>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rPr>
      </w:pPr>
      <w:bookmarkStart w:id="3" w:name="_Toc30010"/>
      <w:bookmarkStart w:id="4" w:name="_Toc5287"/>
      <w:r>
        <w:rPr>
          <w:rFonts w:hint="eastAsia" w:ascii="宋体" w:hAnsi="宋体" w:eastAsia="宋体" w:cs="宋体"/>
          <w:sz w:val="22"/>
          <w:szCs w:val="22"/>
          <w:lang w:val="en-US" w:eastAsia="zh-CN"/>
        </w:rPr>
        <w:t>1.</w:t>
      </w:r>
      <w:r>
        <w:rPr>
          <w:rFonts w:hint="eastAsia" w:ascii="宋体" w:hAnsi="宋体" w:eastAsia="宋体" w:cs="宋体"/>
          <w:sz w:val="22"/>
          <w:szCs w:val="22"/>
        </w:rPr>
        <w:t>带宽的敏感性检验</w:t>
      </w:r>
      <w:bookmarkEnd w:id="3"/>
      <w:bookmarkEnd w:id="4"/>
    </w:p>
    <w:p>
      <w:pPr>
        <w:ind w:firstLine="420" w:firstLineChars="200"/>
        <w:rPr>
          <w:rFonts w:hint="eastAsia" w:ascii="仿宋" w:hAnsi="仿宋" w:eastAsia="仿宋" w:cs="仿宋"/>
          <w:color w:val="auto"/>
        </w:rPr>
      </w:pPr>
      <w:r>
        <w:rPr>
          <w:rFonts w:hint="eastAsia" w:ascii="仿宋" w:hAnsi="仿宋" w:eastAsia="仿宋" w:cs="仿宋"/>
          <w:color w:val="auto"/>
        </w:rPr>
        <w:t>在局部线性设定下，RD估计结果的有效性易受带宽（bandwidth）选择的影响。带宽越小，断点两侧的影响因素越相近，遗漏变量对因变量的影响越小，因而可以更准确地估计断点处的处理效应，减轻内生性带来的估计偏误；但过小的带宽也会带来样本量的过度损失从而降低估计的有效性。为检验基准结果在不同带宽范围下的稳健性，我们选择190</w:t>
      </w:r>
      <w:r>
        <w:rPr>
          <w:rFonts w:hint="eastAsia" w:ascii="仿宋" w:hAnsi="仿宋" w:eastAsia="仿宋" w:cs="仿宋"/>
          <w:color w:val="auto"/>
          <w:lang w:val="en-US" w:eastAsia="zh-CN"/>
        </w:rPr>
        <w:t>万</w:t>
      </w:r>
      <w:r>
        <w:rPr>
          <w:rFonts w:hint="eastAsia" w:ascii="仿宋" w:hAnsi="仿宋" w:eastAsia="仿宋" w:cs="仿宋"/>
          <w:color w:val="auto"/>
          <w:lang w:eastAsia="zh-CN"/>
        </w:rPr>
        <w:t>—</w:t>
      </w:r>
      <w:r>
        <w:rPr>
          <w:rFonts w:hint="eastAsia" w:ascii="仿宋" w:hAnsi="仿宋" w:eastAsia="仿宋" w:cs="仿宋"/>
          <w:color w:val="auto"/>
        </w:rPr>
        <w:t>230万元之间的不同带宽（以每5万元为增量）对二氧化硫排放量重新进行回归。图</w:t>
      </w:r>
      <w:r>
        <w:rPr>
          <w:rFonts w:hint="eastAsia" w:ascii="仿宋" w:hAnsi="仿宋" w:eastAsia="仿宋" w:cs="仿宋"/>
          <w:color w:val="auto"/>
        </w:rPr>
        <w:t>Ⅲ</w:t>
      </w:r>
      <w:r>
        <w:rPr>
          <w:rFonts w:hint="eastAsia" w:ascii="仿宋" w:hAnsi="仿宋" w:eastAsia="仿宋" w:cs="仿宋"/>
          <w:color w:val="auto"/>
          <w:lang w:val="en-US" w:eastAsia="zh-CN"/>
        </w:rPr>
        <w:t>1</w:t>
      </w:r>
      <w:r>
        <w:rPr>
          <w:rFonts w:hint="eastAsia" w:ascii="仿宋" w:hAnsi="仿宋" w:eastAsia="仿宋" w:cs="仿宋"/>
          <w:color w:val="auto"/>
        </w:rPr>
        <w:t>显示了每个带宽下的估计系数与95%置信区间，可见回归系数的整体波动幅度较小且保持显著，表明基准结果不依赖于特定的带宽选择。</w:t>
      </w:r>
    </w:p>
    <w:p>
      <w:pPr>
        <w:ind w:firstLine="360" w:firstLineChars="200"/>
        <w:jc w:val="center"/>
        <w:rPr>
          <w:rFonts w:ascii="Times New Roman" w:hAnsi="Times New Roman" w:cs="Times New Roman"/>
          <w:color w:val="auto"/>
        </w:rPr>
      </w:pPr>
      <w:r>
        <w:rPr>
          <w:rFonts w:ascii="Times New Roman" w:hAnsi="Times New Roman" w:eastAsia="宋体" w:cs="Times New Roman"/>
          <w:color w:val="auto"/>
          <w:sz w:val="18"/>
          <w:szCs w:val="18"/>
          <w:lang w:bidi="ar"/>
        </w:rPr>
        <w:drawing>
          <wp:inline distT="0" distB="0" distL="114300" distR="114300">
            <wp:extent cx="2476500" cy="1798320"/>
            <wp:effectExtent l="0" t="0" r="7620" b="0"/>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23"/>
                    <a:stretch>
                      <a:fillRect/>
                    </a:stretch>
                  </pic:blipFill>
                  <pic:spPr>
                    <a:xfrm>
                      <a:off x="0" y="0"/>
                      <a:ext cx="2476500" cy="1798320"/>
                    </a:xfrm>
                    <a:prstGeom prst="rect">
                      <a:avLst/>
                    </a:prstGeom>
                    <a:noFill/>
                    <a:ln>
                      <a:noFill/>
                    </a:ln>
                  </pic:spPr>
                </pic:pic>
              </a:graphicData>
            </a:graphic>
          </wp:inline>
        </w:drawing>
      </w:r>
    </w:p>
    <w:p>
      <w:pPr>
        <w:spacing w:after="120"/>
        <w:ind w:firstLine="402" w:firstLineChars="200"/>
        <w:jc w:val="center"/>
        <w:rPr>
          <w:rFonts w:ascii="Times New Roman" w:hAnsi="Times New Roman" w:eastAsia="宋体"/>
          <w:b/>
          <w:color w:val="auto"/>
          <w:sz w:val="20"/>
          <w:szCs w:val="21"/>
        </w:rPr>
      </w:pPr>
      <w:r>
        <w:rPr>
          <w:rFonts w:hint="eastAsia" w:ascii="Times New Roman" w:hAnsi="Times New Roman" w:eastAsia="宋体"/>
          <w:b/>
          <w:color w:val="auto"/>
          <w:sz w:val="20"/>
          <w:szCs w:val="21"/>
        </w:rPr>
        <w:t>图</w:t>
      </w:r>
      <w:r>
        <w:rPr>
          <w:rFonts w:hint="eastAsia" w:ascii="仿宋" w:hAnsi="仿宋" w:eastAsia="仿宋" w:cs="仿宋"/>
          <w:color w:val="auto"/>
        </w:rPr>
        <w:t>Ⅲ</w:t>
      </w:r>
      <w:r>
        <w:rPr>
          <w:rFonts w:hint="eastAsia" w:ascii="Times New Roman" w:hAnsi="Times New Roman" w:eastAsia="仿宋" w:cs="Times New Roman"/>
          <w:color w:val="auto"/>
          <w:lang w:val="en-US" w:eastAsia="zh-CN"/>
        </w:rPr>
        <w:t>1</w:t>
      </w:r>
      <w:r>
        <w:rPr>
          <w:rFonts w:ascii="Times New Roman" w:hAnsi="Times New Roman" w:eastAsia="宋体"/>
          <w:b/>
          <w:color w:val="auto"/>
          <w:sz w:val="20"/>
          <w:szCs w:val="21"/>
        </w:rPr>
        <w:t>局部线性下不同带宽</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bookmarkStart w:id="5" w:name="_Toc4325"/>
      <w:bookmarkStart w:id="6" w:name="_Toc661"/>
      <w:r>
        <w:rPr>
          <w:rFonts w:hint="eastAsia" w:ascii="宋体" w:hAnsi="宋体" w:eastAsia="宋体" w:cs="宋体"/>
          <w:sz w:val="22"/>
          <w:szCs w:val="22"/>
          <w:lang w:val="en-US" w:eastAsia="zh-CN"/>
        </w:rPr>
        <w:t>2.全局多项式估计</w:t>
      </w:r>
      <w:bookmarkEnd w:id="5"/>
      <w:bookmarkEnd w:id="6"/>
    </w:p>
    <w:p>
      <w:pPr>
        <w:ind w:firstLine="420" w:firstLineChars="200"/>
        <w:rPr>
          <w:rFonts w:ascii="Times New Roman" w:hAnsi="Times New Roman" w:cs="Times New Roman"/>
          <w:color w:val="auto"/>
        </w:rPr>
      </w:pPr>
      <w:r>
        <w:rPr>
          <w:rFonts w:ascii="Times New Roman" w:hAnsi="Times New Roman" w:cs="Times New Roman"/>
          <w:color w:val="auto"/>
        </w:rPr>
        <w:t>为确保核心结论的可信性，我们利用全局</w:t>
      </w:r>
      <w:r>
        <w:rPr>
          <w:rFonts w:hint="eastAsia" w:ascii="Times New Roman" w:hAnsi="Times New Roman" w:cs="Times New Roman"/>
          <w:color w:val="auto"/>
        </w:rPr>
        <w:t>多项式</w:t>
      </w:r>
      <w:r>
        <w:rPr>
          <w:rFonts w:ascii="Times New Roman" w:hAnsi="Times New Roman" w:cs="Times New Roman"/>
          <w:color w:val="auto"/>
        </w:rPr>
        <w:t>估计重新进行回归</w:t>
      </w:r>
      <w:r>
        <w:rPr>
          <w:rFonts w:hint="eastAsia" w:ascii="Times New Roman" w:hAnsi="Times New Roman" w:cs="Times New Roman"/>
          <w:color w:val="auto"/>
        </w:rPr>
        <w:t>。表</w:t>
      </w:r>
      <w:r>
        <w:rPr>
          <w:rFonts w:hint="eastAsia" w:ascii="仿宋" w:hAnsi="仿宋" w:eastAsia="仿宋" w:cs="仿宋"/>
          <w:b/>
          <w:color w:val="auto"/>
          <w:sz w:val="20"/>
          <w:szCs w:val="21"/>
          <w:lang w:val="en-US" w:eastAsia="zh-CN" w:bidi="ar"/>
        </w:rPr>
        <w:t>Ⅲ</w:t>
      </w:r>
      <w:r>
        <w:rPr>
          <w:rFonts w:hint="eastAsia" w:ascii="Times New Roman" w:hAnsi="Times New Roman" w:eastAsia="宋体"/>
          <w:b/>
          <w:color w:val="auto"/>
          <w:sz w:val="20"/>
          <w:szCs w:val="21"/>
          <w:lang w:val="en-US" w:eastAsia="zh-CN" w:bidi="ar"/>
        </w:rPr>
        <w:t>1</w:t>
      </w:r>
      <w:r>
        <w:rPr>
          <w:rFonts w:ascii="Times New Roman" w:hAnsi="Times New Roman" w:cs="Times New Roman"/>
          <w:color w:val="auto"/>
        </w:rPr>
        <w:t>（1）</w:t>
      </w:r>
      <w:r>
        <w:rPr>
          <w:rFonts w:hint="eastAsia" w:ascii="Times New Roman" w:hAnsi="Times New Roman" w:cs="Times New Roman"/>
          <w:color w:val="auto"/>
          <w:lang w:eastAsia="zh-CN"/>
        </w:rPr>
        <w:t>—</w:t>
      </w:r>
      <w:r>
        <w:rPr>
          <w:rFonts w:ascii="Times New Roman" w:hAnsi="Times New Roman" w:cs="Times New Roman"/>
          <w:color w:val="auto"/>
        </w:rPr>
        <w:t>（</w:t>
      </w:r>
      <w:r>
        <w:rPr>
          <w:rFonts w:hint="eastAsia" w:ascii="Times New Roman" w:hAnsi="Times New Roman" w:cs="Times New Roman"/>
          <w:color w:val="auto"/>
        </w:rPr>
        <w:t>3</w:t>
      </w:r>
      <w:r>
        <w:rPr>
          <w:rFonts w:ascii="Times New Roman" w:hAnsi="Times New Roman" w:cs="Times New Roman"/>
          <w:color w:val="auto"/>
        </w:rPr>
        <w:t>）列分别报告了全局二阶设定下第一阶段、简约式和两阶段的估计结果。</w:t>
      </w:r>
      <w:r>
        <w:rPr>
          <w:rFonts w:hint="eastAsia" w:ascii="Times New Roman" w:hAnsi="Times New Roman" w:cs="Times New Roman"/>
          <w:color w:val="auto"/>
        </w:rPr>
        <w:t>结果表明在全局多项式估计下，重点税源企业的污染排放程度仍会显著提高，</w:t>
      </w:r>
      <w:r>
        <w:rPr>
          <w:rFonts w:ascii="Times New Roman" w:hAnsi="Times New Roman" w:cs="Times New Roman"/>
          <w:color w:val="auto"/>
        </w:rPr>
        <w:t>与基准结果对比可发现，两种方法估计的系数差别</w:t>
      </w:r>
      <w:r>
        <w:rPr>
          <w:rFonts w:hint="eastAsia" w:ascii="Times New Roman" w:hAnsi="Times New Roman" w:cs="Times New Roman"/>
          <w:color w:val="auto"/>
        </w:rPr>
        <w:t>不大</w:t>
      </w:r>
      <w:r>
        <w:rPr>
          <w:rFonts w:ascii="Times New Roman" w:hAnsi="Times New Roman" w:cs="Times New Roman"/>
          <w:color w:val="auto"/>
        </w:rPr>
        <w:t>，这意味着RD具体估计形式的选择不影响本文的核心结论。</w:t>
      </w:r>
      <w:r>
        <w:rPr>
          <w:rFonts w:hint="eastAsia" w:ascii="Times New Roman" w:hAnsi="Times New Roman" w:cs="Times New Roman"/>
          <w:color w:val="auto"/>
        </w:rPr>
        <w:t>同时，图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2</w:t>
      </w:r>
      <w:r>
        <w:rPr>
          <w:rFonts w:hint="eastAsia" w:ascii="Times New Roman" w:hAnsi="Times New Roman" w:cs="Times New Roman"/>
          <w:color w:val="auto"/>
        </w:rPr>
        <w:t>表明二氧化硫排放的确在断点处存在跳跃，这再次证明了本文核心结论的稳健性。</w:t>
      </w:r>
    </w:p>
    <w:p>
      <w:pPr>
        <w:adjustRightInd w:val="0"/>
        <w:snapToGrid w:val="0"/>
        <w:spacing w:before="120" w:line="300" w:lineRule="atLeast"/>
        <w:jc w:val="center"/>
        <w:rPr>
          <w:rFonts w:ascii="Times New Roman" w:hAnsi="Times New Roman" w:eastAsia="宋体"/>
          <w:b/>
          <w:color w:val="auto"/>
          <w:sz w:val="20"/>
          <w:szCs w:val="21"/>
          <w:lang w:bidi="ar"/>
        </w:rPr>
      </w:pPr>
      <w:r>
        <w:rPr>
          <w:rFonts w:hint="eastAsia" w:ascii="Times New Roman" w:hAnsi="Times New Roman" w:eastAsia="宋体"/>
          <w:b/>
          <w:color w:val="auto"/>
          <w:sz w:val="20"/>
          <w:szCs w:val="21"/>
          <w:lang w:bidi="ar"/>
        </w:rPr>
        <w:t>表</w:t>
      </w:r>
      <w:r>
        <w:rPr>
          <w:rFonts w:hint="eastAsia" w:ascii="仿宋" w:hAnsi="仿宋" w:eastAsia="仿宋" w:cs="仿宋"/>
          <w:b/>
          <w:color w:val="auto"/>
          <w:sz w:val="20"/>
          <w:szCs w:val="21"/>
          <w:lang w:val="en-US" w:eastAsia="zh-CN" w:bidi="ar"/>
        </w:rPr>
        <w:t>Ⅲ</w:t>
      </w:r>
      <w:r>
        <w:rPr>
          <w:rFonts w:hint="eastAsia" w:ascii="Times New Roman" w:hAnsi="Times New Roman" w:eastAsia="宋体"/>
          <w:b/>
          <w:color w:val="auto"/>
          <w:sz w:val="20"/>
          <w:szCs w:val="21"/>
          <w:lang w:val="en-US" w:eastAsia="zh-CN" w:bidi="ar"/>
        </w:rPr>
        <w:t>1</w:t>
      </w:r>
      <w:r>
        <w:rPr>
          <w:rFonts w:hint="eastAsia" w:ascii="Times New Roman" w:hAnsi="Times New Roman" w:eastAsia="宋体"/>
          <w:b/>
          <w:color w:val="auto"/>
          <w:sz w:val="20"/>
          <w:szCs w:val="21"/>
          <w:lang w:bidi="ar"/>
        </w:rPr>
        <w:t xml:space="preserve"> 稳健性检验：全局二阶多项式估计</w:t>
      </w:r>
    </w:p>
    <w:tbl>
      <w:tblPr>
        <w:tblStyle w:val="8"/>
        <w:tblW w:w="5000" w:type="pct"/>
        <w:tblInd w:w="0" w:type="dxa"/>
        <w:tblLayout w:type="autofit"/>
        <w:tblCellMar>
          <w:top w:w="0" w:type="dxa"/>
          <w:left w:w="108" w:type="dxa"/>
          <w:bottom w:w="0" w:type="dxa"/>
          <w:right w:w="108" w:type="dxa"/>
        </w:tblCellMar>
      </w:tblPr>
      <w:tblGrid>
        <w:gridCol w:w="2892"/>
        <w:gridCol w:w="1842"/>
        <w:gridCol w:w="2062"/>
        <w:gridCol w:w="1718"/>
        <w:gridCol w:w="8"/>
      </w:tblGrid>
      <w:tr>
        <w:tblPrEx>
          <w:tblCellMar>
            <w:top w:w="0" w:type="dxa"/>
            <w:left w:w="108" w:type="dxa"/>
            <w:bottom w:w="0" w:type="dxa"/>
            <w:right w:w="108" w:type="dxa"/>
          </w:tblCellMar>
        </w:tblPrEx>
        <w:trPr>
          <w:gridAfter w:val="1"/>
          <w:wAfter w:w="4" w:type="pct"/>
        </w:trPr>
        <w:tc>
          <w:tcPr>
            <w:tcW w:w="1697" w:type="pct"/>
            <w:vMerge w:val="restart"/>
            <w:tcBorders>
              <w:top w:val="doub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81" w:type="pct"/>
            <w:tcBorders>
              <w:top w:val="doub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w:t>
            </w:r>
          </w:p>
        </w:tc>
        <w:tc>
          <w:tcPr>
            <w:tcW w:w="1210" w:type="pct"/>
            <w:tcBorders>
              <w:top w:val="doub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w:t>
            </w:r>
          </w:p>
        </w:tc>
        <w:tc>
          <w:tcPr>
            <w:tcW w:w="1008" w:type="pct"/>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(3)</w:t>
            </w:r>
          </w:p>
        </w:tc>
      </w:tr>
      <w:tr>
        <w:tblPrEx>
          <w:tblCellMar>
            <w:top w:w="0" w:type="dxa"/>
            <w:left w:w="108" w:type="dxa"/>
            <w:bottom w:w="0" w:type="dxa"/>
            <w:right w:w="108" w:type="dxa"/>
          </w:tblCellMar>
        </w:tblPrEx>
        <w:trPr>
          <w:trHeight w:val="204" w:hRule="atLeast"/>
        </w:trPr>
        <w:tc>
          <w:tcPr>
            <w:tcW w:w="1697" w:type="pct"/>
            <w:vMerge w:val="continue"/>
            <w:tcBorders>
              <w:top w:val="double" w:color="auto" w:sz="4" w:space="0"/>
              <w:left w:val="nil"/>
              <w:bottom w:val="nil"/>
              <w:right w:val="single" w:color="auto" w:sz="4" w:space="0"/>
            </w:tcBorders>
            <w:shd w:val="clear" w:color="auto" w:fill="auto"/>
          </w:tcPr>
          <w:p>
            <w:pPr>
              <w:rPr>
                <w:rFonts w:hint="eastAsia" w:ascii="仿宋" w:hAnsi="仿宋" w:eastAsia="仿宋" w:cs="仿宋"/>
                <w:color w:val="auto"/>
                <w:sz w:val="18"/>
                <w:szCs w:val="18"/>
              </w:rPr>
            </w:pPr>
          </w:p>
        </w:tc>
        <w:tc>
          <w:tcPr>
            <w:tcW w:w="1081"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First Stage</w:t>
            </w:r>
          </w:p>
        </w:tc>
        <w:tc>
          <w:tcPr>
            <w:tcW w:w="121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Reduced Form</w:t>
            </w:r>
          </w:p>
        </w:tc>
        <w:tc>
          <w:tcPr>
            <w:tcW w:w="1012" w:type="pct"/>
            <w:gridSpan w:val="2"/>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2SLS</w:t>
            </w:r>
          </w:p>
        </w:tc>
      </w:tr>
      <w:tr>
        <w:tblPrEx>
          <w:tblCellMar>
            <w:top w:w="0" w:type="dxa"/>
            <w:left w:w="108" w:type="dxa"/>
            <w:bottom w:w="0" w:type="dxa"/>
            <w:right w:w="108" w:type="dxa"/>
          </w:tblCellMar>
        </w:tblPrEx>
        <w:trPr>
          <w:gridAfter w:val="1"/>
          <w:wAfter w:w="4" w:type="pct"/>
        </w:trPr>
        <w:tc>
          <w:tcPr>
            <w:tcW w:w="1697" w:type="pct"/>
            <w:vMerge w:val="continue"/>
            <w:tcBorders>
              <w:top w:val="double" w:color="auto" w:sz="4" w:space="0"/>
              <w:left w:val="nil"/>
              <w:bottom w:val="nil"/>
              <w:right w:val="single" w:color="auto" w:sz="4" w:space="0"/>
            </w:tcBorders>
            <w:shd w:val="clear" w:color="auto" w:fill="auto"/>
          </w:tcPr>
          <w:p>
            <w:pPr>
              <w:rPr>
                <w:rFonts w:hint="eastAsia" w:ascii="仿宋" w:hAnsi="仿宋" w:eastAsia="仿宋" w:cs="仿宋"/>
                <w:color w:val="auto"/>
                <w:sz w:val="18"/>
                <w:szCs w:val="18"/>
              </w:rPr>
            </w:pPr>
          </w:p>
        </w:tc>
        <w:tc>
          <w:tcPr>
            <w:tcW w:w="1081"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重点税源身份</w:t>
            </w:r>
          </w:p>
        </w:tc>
        <w:tc>
          <w:tcPr>
            <w:tcW w:w="121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sz w:val="18"/>
                <w:szCs w:val="18"/>
              </w:rPr>
              <w:t>二氧化硫排放量</w:t>
            </w:r>
          </w:p>
        </w:tc>
        <w:tc>
          <w:tcPr>
            <w:tcW w:w="1008"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r>
              <w:rPr>
                <w:rFonts w:hint="eastAsia" w:ascii="仿宋" w:hAnsi="仿宋" w:eastAsia="仿宋" w:cs="仿宋"/>
                <w:color w:val="auto"/>
                <w:sz w:val="18"/>
                <w:szCs w:val="18"/>
              </w:rPr>
              <w:t>二氧化硫排放量</w:t>
            </w: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rPr>
            </w:pPr>
            <w:r>
              <w:rPr>
                <w:rFonts w:hint="eastAsia" w:ascii="仿宋" w:hAnsi="仿宋" w:eastAsia="仿宋" w:cs="仿宋"/>
                <w:i/>
                <w:iCs/>
                <w:color w:val="auto"/>
                <w:kern w:val="0"/>
                <w:sz w:val="18"/>
                <w:szCs w:val="18"/>
                <w:lang w:bidi="ar"/>
              </w:rPr>
              <w:t>Eligib</w:t>
            </w:r>
            <w:r>
              <w:rPr>
                <w:rFonts w:hint="eastAsia" w:ascii="仿宋" w:hAnsi="仿宋" w:eastAsia="仿宋" w:cs="仿宋"/>
                <w:i/>
                <w:iCs/>
                <w:color w:val="auto"/>
                <w:kern w:val="0"/>
                <w:sz w:val="18"/>
                <w:szCs w:val="18"/>
                <w:lang w:val="en-US" w:eastAsia="zh-CN" w:bidi="ar"/>
              </w:rPr>
              <w:t>ility</w:t>
            </w:r>
          </w:p>
        </w:tc>
        <w:tc>
          <w:tcPr>
            <w:tcW w:w="1081"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r>
              <w:rPr>
                <w:rFonts w:hint="eastAsia" w:ascii="仿宋" w:hAnsi="仿宋" w:eastAsia="仿宋" w:cs="仿宋"/>
                <w:color w:val="auto"/>
                <w:kern w:val="0"/>
                <w:sz w:val="18"/>
                <w:szCs w:val="18"/>
                <w:lang w:bidi="ar"/>
              </w:rPr>
              <w:t>0.623***</w:t>
            </w:r>
          </w:p>
        </w:tc>
        <w:tc>
          <w:tcPr>
            <w:tcW w:w="1210"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0.216**</w:t>
            </w:r>
          </w:p>
        </w:tc>
        <w:tc>
          <w:tcPr>
            <w:tcW w:w="1008"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r>
      <w:tr>
        <w:tblPrEx>
          <w:tblCellMar>
            <w:top w:w="0" w:type="dxa"/>
            <w:left w:w="108" w:type="dxa"/>
            <w:bottom w:w="0" w:type="dxa"/>
            <w:right w:w="108" w:type="dxa"/>
          </w:tblCellMar>
        </w:tblPrEx>
        <w:trPr>
          <w:gridAfter w:val="1"/>
          <w:wAfter w:w="4" w:type="pct"/>
        </w:trPr>
        <w:tc>
          <w:tcPr>
            <w:tcW w:w="1697" w:type="pct"/>
            <w:tcBorders>
              <w:top w:val="nil"/>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81"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r>
              <w:rPr>
                <w:rFonts w:hint="eastAsia" w:ascii="仿宋" w:hAnsi="仿宋" w:eastAsia="仿宋" w:cs="仿宋"/>
                <w:color w:val="auto"/>
                <w:kern w:val="0"/>
                <w:sz w:val="18"/>
                <w:szCs w:val="18"/>
                <w:lang w:bidi="ar"/>
              </w:rPr>
              <w:t>(0.014)</w:t>
            </w:r>
          </w:p>
        </w:tc>
        <w:tc>
          <w:tcPr>
            <w:tcW w:w="1210"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(0.051)</w:t>
            </w:r>
          </w:p>
        </w:tc>
        <w:tc>
          <w:tcPr>
            <w:tcW w:w="1008"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TaxSource</w:t>
            </w:r>
          </w:p>
        </w:tc>
        <w:tc>
          <w:tcPr>
            <w:tcW w:w="1081"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p>
        </w:tc>
        <w:tc>
          <w:tcPr>
            <w:tcW w:w="1210"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08"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0.347**</w:t>
            </w:r>
          </w:p>
        </w:tc>
      </w:tr>
      <w:tr>
        <w:tblPrEx>
          <w:tblCellMar>
            <w:top w:w="0" w:type="dxa"/>
            <w:left w:w="108" w:type="dxa"/>
            <w:bottom w:w="0" w:type="dxa"/>
            <w:right w:w="108" w:type="dxa"/>
          </w:tblCellMar>
        </w:tblPrEx>
        <w:trPr>
          <w:gridAfter w:val="1"/>
          <w:wAfter w:w="4" w:type="pct"/>
        </w:trPr>
        <w:tc>
          <w:tcPr>
            <w:tcW w:w="1697" w:type="pct"/>
            <w:tcBorders>
              <w:top w:val="nil"/>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81"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p>
        </w:tc>
        <w:tc>
          <w:tcPr>
            <w:tcW w:w="1210"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08"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(0.173)</w:t>
            </w: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第一阶段F值</w:t>
            </w:r>
          </w:p>
        </w:tc>
        <w:tc>
          <w:tcPr>
            <w:tcW w:w="1081"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21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1008"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731.395</w:t>
            </w: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个体固定效应</w:t>
            </w:r>
          </w:p>
        </w:tc>
        <w:tc>
          <w:tcPr>
            <w:tcW w:w="1081"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21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008"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时间固定效应</w:t>
            </w:r>
          </w:p>
        </w:tc>
        <w:tc>
          <w:tcPr>
            <w:tcW w:w="1081"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21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008"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驱动变量及交互项</w:t>
            </w:r>
          </w:p>
        </w:tc>
        <w:tc>
          <w:tcPr>
            <w:tcW w:w="184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206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1718" w:type="dxa"/>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i/>
                <w:color w:val="auto"/>
                <w:kern w:val="0"/>
                <w:sz w:val="18"/>
                <w:szCs w:val="18"/>
                <w:lang w:bidi="ar"/>
              </w:rPr>
              <w:t>R</w:t>
            </w:r>
            <w:r>
              <w:rPr>
                <w:rFonts w:hint="eastAsia" w:ascii="仿宋" w:hAnsi="仿宋" w:eastAsia="仿宋" w:cs="仿宋"/>
                <w:color w:val="auto"/>
                <w:kern w:val="0"/>
                <w:sz w:val="18"/>
                <w:szCs w:val="18"/>
                <w:vertAlign w:val="superscript"/>
                <w:lang w:bidi="ar"/>
              </w:rPr>
              <w:t>2</w:t>
            </w:r>
          </w:p>
        </w:tc>
        <w:tc>
          <w:tcPr>
            <w:tcW w:w="1081"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0.472</w:t>
            </w:r>
          </w:p>
        </w:tc>
        <w:tc>
          <w:tcPr>
            <w:tcW w:w="121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0.834</w:t>
            </w:r>
          </w:p>
        </w:tc>
        <w:tc>
          <w:tcPr>
            <w:tcW w:w="1008"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p>
        </w:tc>
      </w:tr>
      <w:tr>
        <w:tblPrEx>
          <w:tblCellMar>
            <w:top w:w="0" w:type="dxa"/>
            <w:left w:w="108" w:type="dxa"/>
            <w:bottom w:w="0" w:type="dxa"/>
            <w:right w:w="108" w:type="dxa"/>
          </w:tblCellMar>
        </w:tblPrEx>
        <w:trPr>
          <w:gridAfter w:val="1"/>
          <w:wAfter w:w="4" w:type="pct"/>
        </w:trPr>
        <w:tc>
          <w:tcPr>
            <w:tcW w:w="1697" w:type="pct"/>
            <w:tcBorders>
              <w:top w:val="single" w:color="auto" w:sz="4" w:space="0"/>
              <w:left w:val="nil"/>
              <w:bottom w:val="doub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N</w:t>
            </w:r>
          </w:p>
        </w:tc>
        <w:tc>
          <w:tcPr>
            <w:tcW w:w="1081" w:type="pct"/>
            <w:tcBorders>
              <w:top w:val="single" w:color="auto" w:sz="4" w:space="0"/>
              <w:left w:val="single" w:color="auto" w:sz="4" w:space="0"/>
              <w:bottom w:val="doub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23833</w:t>
            </w:r>
          </w:p>
        </w:tc>
        <w:tc>
          <w:tcPr>
            <w:tcW w:w="1210" w:type="pct"/>
            <w:tcBorders>
              <w:top w:val="single" w:color="auto" w:sz="4" w:space="0"/>
              <w:left w:val="single" w:color="auto" w:sz="4" w:space="0"/>
              <w:bottom w:val="doub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23833</w:t>
            </w:r>
          </w:p>
        </w:tc>
        <w:tc>
          <w:tcPr>
            <w:tcW w:w="1008" w:type="pct"/>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23833</w:t>
            </w:r>
          </w:p>
        </w:tc>
      </w:tr>
    </w:tbl>
    <w:p>
      <w:pPr>
        <w:adjustRightInd w:val="0"/>
        <w:snapToGrid w:val="0"/>
        <w:spacing w:before="120" w:line="300" w:lineRule="atLeast"/>
        <w:jc w:val="center"/>
        <w:rPr>
          <w:rFonts w:ascii="Times New Roman" w:hAnsi="Times New Roman" w:eastAsia="宋体"/>
          <w:b/>
          <w:color w:val="auto"/>
          <w:sz w:val="20"/>
          <w:szCs w:val="21"/>
          <w:lang w:bidi="ar"/>
        </w:rPr>
      </w:pPr>
      <w:r>
        <w:rPr>
          <w:color w:val="auto"/>
        </w:rPr>
        <w:drawing>
          <wp:inline distT="0" distB="0" distL="114300" distR="114300">
            <wp:extent cx="2473325" cy="1800225"/>
            <wp:effectExtent l="0" t="0" r="10795"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4"/>
                    <a:stretch>
                      <a:fillRect/>
                    </a:stretch>
                  </pic:blipFill>
                  <pic:spPr>
                    <a:xfrm>
                      <a:off x="0" y="0"/>
                      <a:ext cx="2473325" cy="1800225"/>
                    </a:xfrm>
                    <a:prstGeom prst="rect">
                      <a:avLst/>
                    </a:prstGeom>
                    <a:noFill/>
                    <a:ln>
                      <a:noFill/>
                    </a:ln>
                  </pic:spPr>
                </pic:pic>
              </a:graphicData>
            </a:graphic>
          </wp:inline>
        </w:drawing>
      </w:r>
      <w:r>
        <w:rPr>
          <w:color w:val="auto"/>
        </w:rPr>
        <w:drawing>
          <wp:inline distT="0" distB="0" distL="114300" distR="114300">
            <wp:extent cx="2473325" cy="1800225"/>
            <wp:effectExtent l="0" t="0" r="10795" b="1333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5"/>
                    <a:stretch>
                      <a:fillRect/>
                    </a:stretch>
                  </pic:blipFill>
                  <pic:spPr>
                    <a:xfrm>
                      <a:off x="0" y="0"/>
                      <a:ext cx="2473325" cy="1800225"/>
                    </a:xfrm>
                    <a:prstGeom prst="rect">
                      <a:avLst/>
                    </a:prstGeom>
                    <a:noFill/>
                    <a:ln>
                      <a:noFill/>
                    </a:ln>
                  </pic:spPr>
                </pic:pic>
              </a:graphicData>
            </a:graphic>
          </wp:inline>
        </w:drawing>
      </w:r>
    </w:p>
    <w:p>
      <w:pPr>
        <w:spacing w:after="120"/>
        <w:ind w:firstLine="402" w:firstLineChars="200"/>
        <w:jc w:val="center"/>
        <w:rPr>
          <w:rFonts w:ascii="Times New Roman" w:hAnsi="Times New Roman" w:eastAsia="宋体"/>
          <w:b/>
          <w:color w:val="auto"/>
          <w:sz w:val="20"/>
          <w:szCs w:val="21"/>
        </w:rPr>
      </w:pPr>
      <w:r>
        <w:rPr>
          <w:rFonts w:hint="eastAsia" w:ascii="Times New Roman" w:hAnsi="Times New Roman" w:eastAsia="宋体"/>
          <w:b/>
          <w:color w:val="auto"/>
          <w:sz w:val="20"/>
          <w:szCs w:val="21"/>
        </w:rPr>
        <w:t>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2</w:t>
      </w:r>
      <w:r>
        <w:rPr>
          <w:rFonts w:hint="eastAsia" w:ascii="Times New Roman" w:hAnsi="Times New Roman" w:eastAsia="宋体"/>
          <w:b/>
          <w:color w:val="auto"/>
          <w:sz w:val="20"/>
          <w:szCs w:val="21"/>
        </w:rPr>
        <w:t xml:space="preserve"> 二氧化硫原始数据分布和全局二阶多项式拟合</w:t>
      </w:r>
    </w:p>
    <w:p>
      <w:pPr>
        <w:ind w:firstLine="360" w:firstLineChars="200"/>
        <w:rPr>
          <w:rFonts w:hint="eastAsia" w:ascii="仿宋" w:hAnsi="仿宋" w:eastAsia="仿宋" w:cs="仿宋"/>
          <w:color w:val="auto"/>
          <w:sz w:val="18"/>
          <w:szCs w:val="18"/>
        </w:rPr>
      </w:pPr>
      <w:r>
        <w:rPr>
          <w:rFonts w:hint="eastAsia" w:ascii="仿宋" w:hAnsi="仿宋" w:eastAsia="仿宋" w:cs="仿宋"/>
          <w:color w:val="auto"/>
          <w:sz w:val="18"/>
          <w:szCs w:val="18"/>
        </w:rPr>
        <w:t>注：为保持左右两侧范围相同，我们将样本限制在实际增值税额0-1000万元的范围以内。将断点两侧样本分成20个bin，圆点表示再各bin内被解释变量的均值。</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bookmarkStart w:id="7" w:name="_Toc3322"/>
      <w:bookmarkStart w:id="8" w:name="_Toc31869"/>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3.虚假的断点位置</w:t>
      </w:r>
      <w:bookmarkEnd w:id="7"/>
      <w:bookmarkEnd w:id="8"/>
    </w:p>
    <w:p>
      <w:pPr>
        <w:ind w:firstLine="420" w:firstLineChars="200"/>
        <w:rPr>
          <w:rFonts w:ascii="Times New Roman" w:hAnsi="Times New Roman" w:eastAsia="宋体" w:cs="宋体"/>
          <w:color w:val="auto"/>
          <w:szCs w:val="21"/>
          <w:lang w:bidi="ar"/>
        </w:rPr>
      </w:pPr>
      <w:r>
        <w:rPr>
          <w:rFonts w:hint="eastAsia" w:ascii="Times New Roman" w:hAnsi="Times New Roman" w:eastAsia="宋体" w:cs="宋体"/>
          <w:color w:val="auto"/>
          <w:szCs w:val="21"/>
          <w:lang w:bidi="ar"/>
        </w:rPr>
        <w:t>对于回归结果的一个直接担忧是，本文使用</w:t>
      </w:r>
      <w:r>
        <w:rPr>
          <w:rFonts w:ascii="Times New Roman" w:hAnsi="Times New Roman" w:eastAsia="宋体" w:cs="Times New Roman"/>
          <w:color w:val="auto"/>
          <w:szCs w:val="21"/>
          <w:lang w:bidi="ar"/>
        </w:rPr>
        <w:t>RD</w:t>
      </w:r>
      <w:r>
        <w:rPr>
          <w:rFonts w:hint="eastAsia" w:ascii="Times New Roman" w:hAnsi="Times New Roman" w:eastAsia="宋体" w:cs="宋体"/>
          <w:color w:val="auto"/>
          <w:szCs w:val="21"/>
          <w:lang w:bidi="ar"/>
        </w:rPr>
        <w:t>估计得到的平均处理效应可能仅仅是由于规模较大的企业更容易排放较多的污染物所导致的。为了排除这一问题，我们人为改变增值税重点税源的监控标准，构造了</w:t>
      </w:r>
      <w:r>
        <w:rPr>
          <w:rFonts w:ascii="Times New Roman" w:hAnsi="Times New Roman" w:eastAsia="宋体" w:cs="Times New Roman"/>
          <w:color w:val="auto"/>
          <w:szCs w:val="21"/>
          <w:lang w:bidi="ar"/>
        </w:rPr>
        <w:t>250</w:t>
      </w:r>
      <w:r>
        <w:rPr>
          <w:rFonts w:hint="eastAsia" w:ascii="Times New Roman" w:hAnsi="Times New Roman" w:eastAsia="宋体" w:cs="宋体"/>
          <w:color w:val="auto"/>
          <w:szCs w:val="21"/>
          <w:lang w:bidi="ar"/>
        </w:rPr>
        <w:t>万元和</w:t>
      </w:r>
      <w:r>
        <w:rPr>
          <w:rFonts w:ascii="Times New Roman" w:hAnsi="Times New Roman" w:eastAsia="宋体" w:cs="Times New Roman"/>
          <w:color w:val="auto"/>
          <w:szCs w:val="21"/>
          <w:lang w:bidi="ar"/>
        </w:rPr>
        <w:t>750</w:t>
      </w:r>
      <w:r>
        <w:rPr>
          <w:rFonts w:hint="eastAsia" w:ascii="Times New Roman" w:hAnsi="Times New Roman" w:eastAsia="宋体" w:cs="宋体"/>
          <w:color w:val="auto"/>
          <w:szCs w:val="21"/>
          <w:lang w:bidi="ar"/>
        </w:rPr>
        <w:t>万元两个虚假的断点进行安慰剂检验。估计结果如表</w:t>
      </w:r>
      <w:r>
        <w:rPr>
          <w:rFonts w:hint="eastAsia" w:ascii="仿宋" w:hAnsi="仿宋" w:eastAsia="仿宋" w:cs="仿宋"/>
          <w:color w:val="auto"/>
          <w:szCs w:val="21"/>
          <w:lang w:val="en-US" w:eastAsia="zh-CN" w:bidi="ar"/>
        </w:rPr>
        <w:t>Ⅲ</w:t>
      </w:r>
      <w:r>
        <w:rPr>
          <w:rFonts w:hint="eastAsia" w:ascii="Times New Roman" w:hAnsi="Times New Roman" w:eastAsia="宋体" w:cs="宋体"/>
          <w:color w:val="auto"/>
          <w:szCs w:val="21"/>
          <w:lang w:val="en-US" w:eastAsia="zh-CN" w:bidi="ar"/>
        </w:rPr>
        <w:t>2</w:t>
      </w:r>
      <w:r>
        <w:rPr>
          <w:rFonts w:hint="eastAsia" w:ascii="Times New Roman" w:hAnsi="Times New Roman" w:eastAsia="宋体" w:cs="宋体"/>
          <w:color w:val="auto"/>
          <w:szCs w:val="21"/>
          <w:lang w:bidi="ar"/>
        </w:rPr>
        <w:t>中</w:t>
      </w:r>
      <w:r>
        <w:rPr>
          <w:rFonts w:hint="eastAsia" w:ascii="Times New Roman" w:hAnsi="Times New Roman" w:eastAsia="宋体" w:cs="宋体"/>
          <w:color w:val="auto"/>
          <w:szCs w:val="21"/>
          <w:lang w:val="en-US" w:eastAsia="zh-CN" w:bidi="ar"/>
        </w:rPr>
        <w:t>第</w:t>
      </w:r>
      <w:r>
        <w:rPr>
          <w:rFonts w:hint="eastAsia" w:ascii="Times New Roman" w:hAnsi="Times New Roman" w:eastAsia="宋体" w:cs="宋体"/>
          <w:color w:val="auto"/>
          <w:szCs w:val="21"/>
          <w:lang w:bidi="ar"/>
        </w:rPr>
        <w:t>（</w:t>
      </w:r>
      <w:r>
        <w:rPr>
          <w:rFonts w:ascii="Times New Roman" w:hAnsi="Times New Roman" w:eastAsia="宋体" w:cs="Times New Roman"/>
          <w:color w:val="auto"/>
          <w:szCs w:val="21"/>
          <w:lang w:bidi="ar"/>
        </w:rPr>
        <w:t>1</w:t>
      </w:r>
      <w:r>
        <w:rPr>
          <w:rFonts w:hint="eastAsia" w:ascii="Times New Roman" w:hAnsi="Times New Roman" w:eastAsia="宋体" w:cs="宋体"/>
          <w:color w:val="auto"/>
          <w:szCs w:val="21"/>
          <w:lang w:bidi="ar"/>
        </w:rPr>
        <w:t>）、（2）列所示，由虚假断点得到的估计系数在统计意义并上不显著，这证实了本文所用断点的唯一性，并排除了企业污染物排放增多的其它可能解释，再次验证了基准回归的结论是高度稳健的。</w:t>
      </w:r>
    </w:p>
    <w:p>
      <w:pPr>
        <w:adjustRightInd w:val="0"/>
        <w:snapToGrid w:val="0"/>
        <w:spacing w:before="120" w:line="300" w:lineRule="atLeast"/>
        <w:jc w:val="center"/>
        <w:rPr>
          <w:rFonts w:ascii="Times New Roman" w:hAnsi="Times New Roman" w:eastAsia="宋体"/>
          <w:b/>
          <w:color w:val="auto"/>
          <w:sz w:val="20"/>
          <w:szCs w:val="21"/>
          <w:lang w:bidi="ar"/>
        </w:rPr>
      </w:pPr>
      <w:bookmarkStart w:id="9" w:name="_Toc15920"/>
      <w:bookmarkStart w:id="10" w:name="_Toc24731"/>
      <w:r>
        <w:rPr>
          <w:rFonts w:hint="eastAsia" w:ascii="Times New Roman" w:hAnsi="Times New Roman" w:eastAsia="宋体"/>
          <w:b/>
          <w:color w:val="auto"/>
          <w:sz w:val="20"/>
          <w:szCs w:val="21"/>
          <w:lang w:bidi="ar"/>
        </w:rPr>
        <w:t>表</w:t>
      </w:r>
      <w:r>
        <w:rPr>
          <w:rFonts w:hint="eastAsia" w:ascii="仿宋" w:hAnsi="仿宋" w:eastAsia="仿宋" w:cs="仿宋"/>
          <w:color w:val="auto"/>
          <w:szCs w:val="21"/>
          <w:lang w:val="en-US" w:eastAsia="zh-CN" w:bidi="ar"/>
        </w:rPr>
        <w:t>Ⅲ</w:t>
      </w:r>
      <w:r>
        <w:rPr>
          <w:rFonts w:hint="eastAsia" w:ascii="Times New Roman" w:hAnsi="Times New Roman" w:eastAsia="宋体" w:cs="宋体"/>
          <w:color w:val="auto"/>
          <w:szCs w:val="21"/>
          <w:lang w:val="en-US" w:eastAsia="zh-CN" w:bidi="ar"/>
        </w:rPr>
        <w:t>2</w:t>
      </w:r>
      <w:r>
        <w:rPr>
          <w:rFonts w:hint="eastAsia" w:ascii="Times New Roman" w:hAnsi="Times New Roman" w:eastAsia="宋体"/>
          <w:b/>
          <w:color w:val="auto"/>
          <w:sz w:val="20"/>
          <w:szCs w:val="21"/>
          <w:lang w:bidi="ar"/>
        </w:rPr>
        <w:t xml:space="preserve"> 企业二氧化硫排放稳健性检验</w:t>
      </w:r>
    </w:p>
    <w:tbl>
      <w:tblPr>
        <w:tblStyle w:val="8"/>
        <w:tblW w:w="0" w:type="auto"/>
        <w:tblInd w:w="0" w:type="dxa"/>
        <w:tblLayout w:type="autofit"/>
        <w:tblCellMar>
          <w:top w:w="0" w:type="dxa"/>
          <w:left w:w="108" w:type="dxa"/>
          <w:bottom w:w="0" w:type="dxa"/>
          <w:right w:w="108" w:type="dxa"/>
        </w:tblCellMar>
      </w:tblPr>
      <w:tblGrid>
        <w:gridCol w:w="1634"/>
        <w:gridCol w:w="1206"/>
        <w:gridCol w:w="1206"/>
        <w:gridCol w:w="921"/>
        <w:gridCol w:w="1165"/>
        <w:gridCol w:w="1408"/>
        <w:gridCol w:w="982"/>
      </w:tblGrid>
      <w:tr>
        <w:tblPrEx>
          <w:tblCellMar>
            <w:top w:w="0" w:type="dxa"/>
            <w:left w:w="108" w:type="dxa"/>
            <w:bottom w:w="0" w:type="dxa"/>
            <w:right w:w="108" w:type="dxa"/>
          </w:tblCellMar>
        </w:tblPrEx>
        <w:tc>
          <w:tcPr>
            <w:tcW w:w="0" w:type="auto"/>
            <w:tcBorders>
              <w:top w:val="doub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(3)</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w:t>
            </w:r>
            <w:r>
              <w:rPr>
                <w:rFonts w:hint="eastAsia" w:ascii="仿宋" w:hAnsi="仿宋" w:eastAsia="仿宋" w:cs="仿宋"/>
                <w:color w:val="auto"/>
                <w:kern w:val="0"/>
                <w:sz w:val="18"/>
                <w:szCs w:val="18"/>
                <w:lang w:val="en-US" w:eastAsia="zh-CN" w:bidi="ar"/>
              </w:rPr>
              <w:t>4</w:t>
            </w:r>
            <w:r>
              <w:rPr>
                <w:rFonts w:hint="eastAsia" w:ascii="仿宋" w:hAnsi="仿宋" w:eastAsia="仿宋" w:cs="仿宋"/>
                <w:color w:val="auto"/>
                <w:kern w:val="0"/>
                <w:sz w:val="18"/>
                <w:szCs w:val="18"/>
                <w:lang w:bidi="ar"/>
              </w:rPr>
              <w:t>)</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w:t>
            </w:r>
            <w:r>
              <w:rPr>
                <w:rFonts w:hint="eastAsia" w:ascii="仿宋" w:hAnsi="仿宋" w:eastAsia="仿宋" w:cs="仿宋"/>
                <w:color w:val="auto"/>
                <w:kern w:val="0"/>
                <w:sz w:val="18"/>
                <w:szCs w:val="18"/>
                <w:lang w:val="en-US" w:eastAsia="zh-CN" w:bidi="ar"/>
              </w:rPr>
              <w:t>5</w:t>
            </w:r>
            <w:r>
              <w:rPr>
                <w:rFonts w:hint="eastAsia" w:ascii="仿宋" w:hAnsi="仿宋" w:eastAsia="仿宋" w:cs="仿宋"/>
                <w:color w:val="auto"/>
                <w:kern w:val="0"/>
                <w:sz w:val="18"/>
                <w:szCs w:val="18"/>
                <w:lang w:bidi="ar"/>
              </w:rPr>
              <w:t>)</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w:t>
            </w:r>
            <w:r>
              <w:rPr>
                <w:rFonts w:hint="eastAsia" w:ascii="仿宋" w:hAnsi="仿宋" w:eastAsia="仿宋" w:cs="仿宋"/>
                <w:color w:val="auto"/>
                <w:kern w:val="0"/>
                <w:sz w:val="18"/>
                <w:szCs w:val="18"/>
                <w:lang w:val="en-US" w:eastAsia="zh-CN" w:bidi="ar"/>
              </w:rPr>
              <w:t>6</w:t>
            </w:r>
            <w:r>
              <w:rPr>
                <w:rFonts w:hint="eastAsia" w:ascii="仿宋" w:hAnsi="仿宋" w:eastAsia="仿宋" w:cs="仿宋"/>
                <w:color w:val="auto"/>
                <w:kern w:val="0"/>
                <w:sz w:val="18"/>
                <w:szCs w:val="18"/>
                <w:lang w:bidi="ar"/>
              </w:rPr>
              <w:t>)</w:t>
            </w:r>
          </w:p>
        </w:tc>
      </w:tr>
      <w:tr>
        <w:tblPrEx>
          <w:tblCellMar>
            <w:top w:w="0" w:type="dxa"/>
            <w:left w:w="108" w:type="dxa"/>
            <w:bottom w:w="0" w:type="dxa"/>
            <w:right w:w="108" w:type="dxa"/>
          </w:tblCellMar>
        </w:tblPrEx>
        <w:tc>
          <w:tcPr>
            <w:tcW w:w="0" w:type="auto"/>
            <w:tcBorders>
              <w:top w:val="sing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Cutoff×0.5</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Cutoff×1.5</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Donut RD</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检验驱动变量</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排除其他政策干扰</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更换聚类</w:t>
            </w:r>
          </w:p>
        </w:tc>
      </w:tr>
      <w:tr>
        <w:tblPrEx>
          <w:tblCellMar>
            <w:top w:w="0" w:type="dxa"/>
            <w:left w:w="108" w:type="dxa"/>
            <w:bottom w:w="0" w:type="dxa"/>
            <w:right w:w="108" w:type="dxa"/>
          </w:tblCellMar>
        </w:tblPrEx>
        <w:tc>
          <w:tcPr>
            <w:tcW w:w="0" w:type="auto"/>
            <w:tcBorders>
              <w:top w:val="sing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SO</w:t>
            </w:r>
            <w:r>
              <w:rPr>
                <w:rFonts w:hint="eastAsia" w:ascii="仿宋" w:hAnsi="仿宋" w:eastAsia="仿宋" w:cs="仿宋"/>
                <w:color w:val="auto"/>
                <w:kern w:val="0"/>
                <w:sz w:val="18"/>
                <w:szCs w:val="18"/>
                <w:vertAlign w:val="subscript"/>
                <w:lang w:bidi="ar"/>
              </w:rPr>
              <w:t>2</w:t>
            </w:r>
            <w:r>
              <w:rPr>
                <w:rFonts w:hint="eastAsia" w:ascii="仿宋" w:hAnsi="仿宋" w:eastAsia="仿宋" w:cs="仿宋"/>
                <w:color w:val="auto"/>
                <w:kern w:val="0"/>
                <w:sz w:val="18"/>
                <w:szCs w:val="18"/>
                <w:lang w:bidi="ar"/>
              </w:rPr>
              <w:t>(log)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SO</w:t>
            </w:r>
            <w:r>
              <w:rPr>
                <w:rFonts w:hint="eastAsia" w:ascii="仿宋" w:hAnsi="仿宋" w:eastAsia="仿宋" w:cs="仿宋"/>
                <w:color w:val="auto"/>
                <w:kern w:val="0"/>
                <w:sz w:val="18"/>
                <w:szCs w:val="18"/>
                <w:vertAlign w:val="subscript"/>
                <w:lang w:bidi="ar"/>
              </w:rPr>
              <w:t>2</w:t>
            </w:r>
            <w:r>
              <w:rPr>
                <w:rFonts w:hint="eastAsia" w:ascii="仿宋" w:hAnsi="仿宋" w:eastAsia="仿宋" w:cs="仿宋"/>
                <w:color w:val="auto"/>
                <w:kern w:val="0"/>
                <w:sz w:val="18"/>
                <w:szCs w:val="18"/>
                <w:lang w:bidi="ar"/>
              </w:rPr>
              <w:t>(log)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SO</w:t>
            </w:r>
            <w:r>
              <w:rPr>
                <w:rFonts w:hint="eastAsia" w:ascii="仿宋" w:hAnsi="仿宋" w:eastAsia="仿宋" w:cs="仿宋"/>
                <w:color w:val="auto"/>
                <w:kern w:val="0"/>
                <w:sz w:val="18"/>
                <w:szCs w:val="18"/>
                <w:vertAlign w:val="subscript"/>
                <w:lang w:bidi="ar"/>
              </w:rPr>
              <w:t>2</w:t>
            </w:r>
            <w:r>
              <w:rPr>
                <w:rFonts w:hint="eastAsia" w:ascii="仿宋" w:hAnsi="仿宋" w:eastAsia="仿宋" w:cs="仿宋"/>
                <w:color w:val="auto"/>
                <w:kern w:val="0"/>
                <w:sz w:val="18"/>
                <w:szCs w:val="18"/>
                <w:lang w:bidi="ar"/>
              </w:rPr>
              <w:t>(log)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SO</w:t>
            </w:r>
            <w:r>
              <w:rPr>
                <w:rFonts w:hint="eastAsia" w:ascii="仿宋" w:hAnsi="仿宋" w:eastAsia="仿宋" w:cs="仿宋"/>
                <w:color w:val="auto"/>
                <w:kern w:val="0"/>
                <w:sz w:val="18"/>
                <w:szCs w:val="18"/>
                <w:vertAlign w:val="subscript"/>
                <w:lang w:bidi="ar"/>
              </w:rPr>
              <w:t>2</w:t>
            </w:r>
            <w:r>
              <w:rPr>
                <w:rFonts w:hint="eastAsia" w:ascii="仿宋" w:hAnsi="仿宋" w:eastAsia="仿宋" w:cs="仿宋"/>
                <w:color w:val="auto"/>
                <w:kern w:val="0"/>
                <w:sz w:val="18"/>
                <w:szCs w:val="18"/>
                <w:lang w:bidi="ar"/>
              </w:rPr>
              <w:t>(log)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i/>
                <w:color w:val="auto"/>
                <w:kern w:val="0"/>
                <w:sz w:val="18"/>
                <w:szCs w:val="18"/>
                <w:lang w:val="en-US" w:eastAsia="zh-CN" w:bidi="ar-SA"/>
              </w:rPr>
            </w:pPr>
            <w:r>
              <w:rPr>
                <w:rFonts w:hint="eastAsia" w:ascii="仿宋" w:hAnsi="仿宋" w:eastAsia="仿宋" w:cs="仿宋"/>
                <w:color w:val="auto"/>
                <w:kern w:val="0"/>
                <w:sz w:val="18"/>
                <w:szCs w:val="18"/>
                <w:lang w:bidi="ar"/>
              </w:rPr>
              <w:t>SO</w:t>
            </w:r>
            <w:r>
              <w:rPr>
                <w:rFonts w:hint="eastAsia" w:ascii="仿宋" w:hAnsi="仿宋" w:eastAsia="仿宋" w:cs="仿宋"/>
                <w:color w:val="auto"/>
                <w:kern w:val="0"/>
                <w:sz w:val="18"/>
                <w:szCs w:val="18"/>
                <w:vertAlign w:val="subscript"/>
                <w:lang w:bidi="ar"/>
              </w:rPr>
              <w:t>2</w:t>
            </w:r>
            <w:r>
              <w:rPr>
                <w:rFonts w:hint="eastAsia" w:ascii="仿宋" w:hAnsi="仿宋" w:eastAsia="仿宋" w:cs="仿宋"/>
                <w:color w:val="auto"/>
                <w:kern w:val="0"/>
                <w:sz w:val="18"/>
                <w:szCs w:val="18"/>
                <w:lang w:bidi="ar"/>
              </w:rPr>
              <w:t>(log)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SO</w:t>
            </w:r>
            <w:r>
              <w:rPr>
                <w:rFonts w:hint="eastAsia" w:ascii="仿宋" w:hAnsi="仿宋" w:eastAsia="仿宋" w:cs="仿宋"/>
                <w:color w:val="auto"/>
                <w:kern w:val="0"/>
                <w:sz w:val="18"/>
                <w:szCs w:val="18"/>
                <w:vertAlign w:val="subscript"/>
                <w:lang w:bidi="ar"/>
              </w:rPr>
              <w:t>2</w:t>
            </w:r>
            <w:r>
              <w:rPr>
                <w:rFonts w:hint="eastAsia" w:ascii="仿宋" w:hAnsi="仿宋" w:eastAsia="仿宋" w:cs="仿宋"/>
                <w:color w:val="auto"/>
                <w:kern w:val="0"/>
                <w:sz w:val="18"/>
                <w:szCs w:val="18"/>
                <w:lang w:bidi="ar"/>
              </w:rPr>
              <w:t>(log)</w:t>
            </w:r>
          </w:p>
        </w:tc>
      </w:tr>
      <w:tr>
        <w:tblPrEx>
          <w:tblCellMar>
            <w:top w:w="0" w:type="dxa"/>
            <w:left w:w="108" w:type="dxa"/>
            <w:bottom w:w="0" w:type="dxa"/>
            <w:right w:w="108" w:type="dxa"/>
          </w:tblCellMar>
        </w:tblPrEx>
        <w:trPr>
          <w:trHeight w:val="90" w:hRule="atLeast"/>
        </w:trPr>
        <w:tc>
          <w:tcPr>
            <w:tcW w:w="0" w:type="auto"/>
            <w:tcBorders>
              <w:top w:val="sing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TaxSource</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5.105</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0.837</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0.298**</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0.315**</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0.292*</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0.272*</w:t>
            </w:r>
          </w:p>
        </w:tc>
      </w:tr>
      <w:tr>
        <w:tblPrEx>
          <w:tblCellMar>
            <w:top w:w="0" w:type="dxa"/>
            <w:left w:w="108" w:type="dxa"/>
            <w:bottom w:w="0" w:type="dxa"/>
            <w:right w:w="108" w:type="dxa"/>
          </w:tblCellMar>
        </w:tblPrEx>
        <w:tc>
          <w:tcPr>
            <w:tcW w:w="0" w:type="auto"/>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(117.046)</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(2.117)</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(0.140)</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(0.134)</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(0.159)</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(0.154)</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个体固定效应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时间固定效应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省份-时间固定效应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城市-行业固定效应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所有权-时间固定效应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驱动变量及交互项</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标准误聚类</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rPr>
              <w:t>城市-行业</w:t>
            </w:r>
          </w:p>
        </w:tc>
      </w:tr>
      <w:tr>
        <w:tblPrEx>
          <w:tblCellMar>
            <w:top w:w="0" w:type="dxa"/>
            <w:left w:w="108" w:type="dxa"/>
            <w:bottom w:w="0" w:type="dxa"/>
            <w:right w:w="108" w:type="dxa"/>
          </w:tblCellMar>
        </w:tblPrEx>
        <w:tc>
          <w:tcPr>
            <w:tcW w:w="0" w:type="auto"/>
            <w:tcBorders>
              <w:top w:val="single" w:color="auto" w:sz="4" w:space="0"/>
              <w:left w:val="nil"/>
              <w:bottom w:val="doub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N</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13844</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2171</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4489</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4016</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bidi="ar"/>
              </w:rPr>
              <w:t>4263</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4721</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4.圆环断点（Donut RD）估计</w:t>
      </w:r>
      <w:bookmarkEnd w:id="9"/>
      <w:bookmarkEnd w:id="10"/>
    </w:p>
    <w:p>
      <w:pPr>
        <w:ind w:firstLine="420" w:firstLineChars="200"/>
        <w:rPr>
          <w:rFonts w:ascii="Times New Roman" w:hAnsi="Times New Roman" w:cs="Times New Roman"/>
          <w:color w:val="auto"/>
        </w:rPr>
      </w:pPr>
      <w:r>
        <w:rPr>
          <w:rFonts w:hint="eastAsia" w:ascii="Times New Roman" w:hAnsi="Times New Roman" w:eastAsia="宋体" w:cs="Times New Roman"/>
          <w:color w:val="auto"/>
          <w:szCs w:val="21"/>
          <w:lang w:bidi="ar"/>
        </w:rPr>
        <w:t>断点回归常常面临着断点附近数据堆积的问题，导致估计结果出现偏误。这可能由于企业在填报污染物排放信息时倾向于向某个整数值近似，造成污染物排放量在断点附近堆积（尽管污染排放数据由当地环保部门负责审核以防止企业瞒报和误报，在较大程度上确保了填报信息的准确性，但也无法完全避免信息错填和漏填的问题）。为了排除上述可能，我们进行圆环断点（</w:t>
      </w:r>
      <w:r>
        <w:rPr>
          <w:rFonts w:ascii="Times New Roman" w:hAnsi="Times New Roman" w:eastAsia="宋体" w:cs="Times New Roman"/>
          <w:color w:val="auto"/>
          <w:szCs w:val="21"/>
          <w:lang w:bidi="ar"/>
        </w:rPr>
        <w:t>donut RD</w:t>
      </w:r>
      <w:r>
        <w:rPr>
          <w:rFonts w:hint="eastAsia" w:ascii="Times New Roman" w:hAnsi="Times New Roman" w:eastAsia="宋体" w:cs="Times New Roman"/>
          <w:color w:val="auto"/>
          <w:szCs w:val="21"/>
          <w:lang w:bidi="ar"/>
        </w:rPr>
        <w:t>）回归，借鉴</w:t>
      </w:r>
      <w:r>
        <w:rPr>
          <w:rFonts w:ascii="Times New Roman" w:hAnsi="Times New Roman" w:eastAsia="宋体" w:cs="Times New Roman"/>
          <w:color w:val="auto"/>
          <w:szCs w:val="21"/>
          <w:lang w:bidi="ar"/>
        </w:rPr>
        <w:t>Zhang</w:t>
      </w:r>
      <w:r>
        <w:rPr>
          <w:rFonts w:ascii="Times New Roman" w:hAnsi="Times New Roman" w:eastAsia="宋体" w:cs="Times New Roman"/>
          <w:i w:val="0"/>
          <w:iCs w:val="0"/>
          <w:color w:val="auto"/>
          <w:szCs w:val="21"/>
          <w:lang w:bidi="ar"/>
        </w:rPr>
        <w:t xml:space="preserve"> et al</w:t>
      </w:r>
      <w:r>
        <w:rPr>
          <w:rFonts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bidi="ar"/>
        </w:rPr>
        <w:t>（</w:t>
      </w:r>
      <w:r>
        <w:rPr>
          <w:rFonts w:ascii="Times New Roman" w:hAnsi="Times New Roman" w:eastAsia="宋体" w:cs="Times New Roman"/>
          <w:color w:val="auto"/>
          <w:szCs w:val="21"/>
          <w:lang w:bidi="ar"/>
        </w:rPr>
        <w:t>2018</w:t>
      </w:r>
      <w:r>
        <w:rPr>
          <w:rFonts w:hint="eastAsia" w:ascii="Times New Roman" w:hAnsi="Times New Roman" w:eastAsia="宋体" w:cs="Times New Roman"/>
          <w:color w:val="auto"/>
          <w:szCs w:val="21"/>
          <w:lang w:bidi="ar"/>
        </w:rPr>
        <w:t>）的研究，我们剔除了断点附近的</w:t>
      </w:r>
      <w:r>
        <w:rPr>
          <w:rFonts w:ascii="Times New Roman" w:hAnsi="Times New Roman" w:eastAsia="宋体" w:cs="Times New Roman"/>
          <w:color w:val="auto"/>
          <w:szCs w:val="21"/>
          <w:lang w:bidi="ar"/>
        </w:rPr>
        <w:t>179</w:t>
      </w:r>
      <w:r>
        <w:rPr>
          <w:rFonts w:hint="eastAsia" w:ascii="Times New Roman" w:hAnsi="Times New Roman" w:eastAsia="宋体" w:cs="Times New Roman"/>
          <w:color w:val="auto"/>
          <w:szCs w:val="21"/>
          <w:lang w:bidi="ar"/>
        </w:rPr>
        <w:t>家企业，重新按照基准回归的设定进行检验，</w:t>
      </w:r>
      <w:r>
        <w:rPr>
          <w:rFonts w:hint="eastAsia" w:ascii="Times New Roman" w:hAnsi="Times New Roman" w:eastAsia="宋体" w:cs="宋体"/>
          <w:color w:val="auto"/>
          <w:szCs w:val="21"/>
          <w:lang w:bidi="ar"/>
        </w:rPr>
        <w:t>表</w:t>
      </w:r>
      <w:r>
        <w:rPr>
          <w:rFonts w:hint="eastAsia" w:ascii="仿宋" w:hAnsi="仿宋" w:eastAsia="仿宋" w:cs="仿宋"/>
          <w:color w:val="auto"/>
          <w:szCs w:val="21"/>
          <w:lang w:val="en-US" w:eastAsia="zh-CN" w:bidi="ar"/>
        </w:rPr>
        <w:t>Ⅲ</w:t>
      </w:r>
      <w:r>
        <w:rPr>
          <w:rFonts w:hint="eastAsia" w:ascii="Times New Roman" w:hAnsi="Times New Roman" w:eastAsia="宋体" w:cs="宋体"/>
          <w:color w:val="auto"/>
          <w:szCs w:val="21"/>
          <w:lang w:val="en-US" w:eastAsia="zh-CN" w:bidi="ar"/>
        </w:rPr>
        <w:t>2</w:t>
      </w:r>
      <w:r>
        <w:rPr>
          <w:rFonts w:hint="eastAsia" w:ascii="Times New Roman" w:hAnsi="Times New Roman" w:eastAsia="宋体" w:cs="Times New Roman"/>
          <w:color w:val="auto"/>
          <w:szCs w:val="21"/>
          <w:lang w:bidi="ar"/>
        </w:rPr>
        <w:t>中</w:t>
      </w:r>
      <w:r>
        <w:rPr>
          <w:rFonts w:hint="eastAsia" w:ascii="Times New Roman" w:hAnsi="Times New Roman" w:eastAsia="宋体" w:cs="Times New Roman"/>
          <w:color w:val="auto"/>
          <w:szCs w:val="21"/>
          <w:lang w:val="en-US" w:eastAsia="zh-CN" w:bidi="ar"/>
        </w:rPr>
        <w:t>第</w:t>
      </w:r>
      <w:r>
        <w:rPr>
          <w:rFonts w:hint="eastAsia" w:ascii="Times New Roman" w:hAnsi="Times New Roman" w:eastAsia="宋体" w:cs="Times New Roman"/>
          <w:color w:val="auto"/>
          <w:szCs w:val="21"/>
          <w:lang w:bidi="ar"/>
        </w:rPr>
        <w:t>（3）列显示，核心解释变量的估计系数仍然保持高度稳健，这表明重点税源身份对企业污染排放的影响并非是由于断点附近的少数企业造成的。</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bookmarkStart w:id="11" w:name="_Toc22400"/>
      <w:bookmarkStart w:id="12" w:name="_Toc4752"/>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5.检验驱动变量</w:t>
      </w:r>
      <w:bookmarkEnd w:id="11"/>
      <w:bookmarkEnd w:id="12"/>
    </w:p>
    <w:p>
      <w:pPr>
        <w:ind w:firstLine="420" w:firstLineChars="200"/>
        <w:rPr>
          <w:rFonts w:ascii="Times New Roman" w:hAnsi="Times New Roman"/>
          <w:color w:val="auto"/>
          <w:szCs w:val="21"/>
        </w:rPr>
      </w:pPr>
      <w:r>
        <w:rPr>
          <w:rFonts w:ascii="Times New Roman" w:hAnsi="Times New Roman"/>
          <w:color w:val="auto"/>
          <w:szCs w:val="21"/>
        </w:rPr>
        <w:t>参照Zhang et al.（2018）的研究，我们进一步检验驱动变量的稳健性。在本文的分析中，我们将企业上年实际缴纳的增值税税额作为驱动变量</w:t>
      </w:r>
      <w:r>
        <w:rPr>
          <w:rFonts w:hint="eastAsia" w:ascii="Times New Roman" w:hAnsi="Times New Roman"/>
          <w:color w:val="auto"/>
          <w:szCs w:val="21"/>
        </w:rPr>
        <w:t>。</w:t>
      </w:r>
      <w:r>
        <w:rPr>
          <w:rFonts w:ascii="Times New Roman" w:hAnsi="Times New Roman"/>
          <w:color w:val="auto"/>
          <w:szCs w:val="21"/>
        </w:rPr>
        <w:t>然而如</w:t>
      </w:r>
      <w:r>
        <w:rPr>
          <w:rFonts w:hint="eastAsia" w:ascii="Times New Roman" w:hAnsi="Times New Roman"/>
          <w:color w:val="auto"/>
          <w:szCs w:val="21"/>
        </w:rPr>
        <w:t>前文</w:t>
      </w:r>
      <w:r>
        <w:rPr>
          <w:rFonts w:ascii="Times New Roman" w:hAnsi="Times New Roman"/>
          <w:color w:val="auto"/>
          <w:szCs w:val="21"/>
        </w:rPr>
        <w:t>所</w:t>
      </w:r>
      <w:r>
        <w:rPr>
          <w:rFonts w:hint="eastAsia" w:ascii="Times New Roman" w:hAnsi="Times New Roman"/>
          <w:color w:val="auto"/>
          <w:szCs w:val="21"/>
        </w:rPr>
        <w:t>指出的</w:t>
      </w:r>
      <w:r>
        <w:rPr>
          <w:rFonts w:ascii="Times New Roman" w:hAnsi="Times New Roman"/>
          <w:color w:val="auto"/>
          <w:szCs w:val="21"/>
        </w:rPr>
        <w:t>，企业所得税</w:t>
      </w:r>
      <w:r>
        <w:rPr>
          <w:rFonts w:hint="eastAsia" w:ascii="Times New Roman" w:hAnsi="Times New Roman"/>
          <w:color w:val="auto"/>
          <w:szCs w:val="21"/>
        </w:rPr>
        <w:t>的纳税规模同样是重点税源的划分标准之一，且监控标准同样是500万元。如果增值税缴纳税额断点与企业所得税缴纳税额断点在企业中的实际分布位置有所重叠，那么前文的估计结果可能并非由于增值税重点税源身份而是由于所得税重点税源身份造成的。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3</w:t>
      </w:r>
      <w:r>
        <w:rPr>
          <w:rFonts w:hint="eastAsia" w:ascii="Times New Roman" w:hAnsi="Times New Roman" w:eastAsia="宋体"/>
          <w:b/>
          <w:color w:val="auto"/>
          <w:sz w:val="20"/>
          <w:szCs w:val="21"/>
        </w:rPr>
        <w:t xml:space="preserve"> </w:t>
      </w:r>
      <w:r>
        <w:rPr>
          <w:rFonts w:hint="eastAsia" w:ascii="Times New Roman" w:hAnsi="Times New Roman"/>
          <w:color w:val="auto"/>
          <w:szCs w:val="21"/>
        </w:rPr>
        <w:t>展现了企业上期实际缴纳所得税额在增值税断点处的分布，可以发现增值税</w:t>
      </w:r>
      <w:r>
        <w:rPr>
          <w:rFonts w:ascii="Times New Roman" w:hAnsi="Times New Roman"/>
          <w:color w:val="auto"/>
          <w:szCs w:val="21"/>
        </w:rPr>
        <w:t>重点税源企业和非重点税源企业的所得税缴纳</w:t>
      </w:r>
      <w:r>
        <w:rPr>
          <w:rFonts w:hint="eastAsia" w:ascii="Times New Roman" w:hAnsi="Times New Roman"/>
          <w:color w:val="auto"/>
          <w:szCs w:val="21"/>
        </w:rPr>
        <w:t>额度</w:t>
      </w:r>
      <w:r>
        <w:rPr>
          <w:rFonts w:ascii="Times New Roman" w:hAnsi="Times New Roman"/>
          <w:color w:val="auto"/>
          <w:szCs w:val="21"/>
        </w:rPr>
        <w:t>并没有发生明显的跳跃变化</w:t>
      </w:r>
      <w:r>
        <w:rPr>
          <w:rFonts w:hint="eastAsia" w:ascii="Times New Roman" w:hAnsi="Times New Roman"/>
          <w:color w:val="auto"/>
          <w:szCs w:val="21"/>
        </w:rPr>
        <w:t>。为进一步解决</w:t>
      </w:r>
      <w:r>
        <w:rPr>
          <w:rFonts w:ascii="Times New Roman" w:hAnsi="Times New Roman"/>
          <w:color w:val="auto"/>
          <w:szCs w:val="21"/>
        </w:rPr>
        <w:t>可能存在潜在的选择性偏差，我们</w:t>
      </w:r>
      <w:r>
        <w:rPr>
          <w:rFonts w:hint="eastAsia" w:ascii="Times New Roman" w:hAnsi="Times New Roman"/>
          <w:color w:val="auto"/>
          <w:szCs w:val="21"/>
        </w:rPr>
        <w:t>根据企业所得税</w:t>
      </w:r>
      <w:r>
        <w:rPr>
          <w:rFonts w:ascii="Times New Roman" w:hAnsi="Times New Roman"/>
          <w:color w:val="auto"/>
          <w:szCs w:val="21"/>
        </w:rPr>
        <w:t>重点税源监控标准，剔除了所得税超过阈值标准的企业</w:t>
      </w:r>
      <w:r>
        <w:rPr>
          <w:rFonts w:hint="eastAsia" w:ascii="Times New Roman" w:hAnsi="Times New Roman"/>
          <w:color w:val="auto"/>
          <w:szCs w:val="21"/>
        </w:rPr>
        <w:t>样本</w:t>
      </w:r>
      <w:r>
        <w:rPr>
          <w:rFonts w:ascii="Times New Roman" w:hAnsi="Times New Roman"/>
          <w:color w:val="auto"/>
          <w:szCs w:val="21"/>
        </w:rPr>
        <w:t>，重新进行回归，结果如</w:t>
      </w:r>
      <w:r>
        <w:rPr>
          <w:rFonts w:hint="eastAsia" w:ascii="Times New Roman" w:hAnsi="Times New Roman" w:eastAsia="宋体" w:cs="宋体"/>
          <w:color w:val="auto"/>
          <w:szCs w:val="21"/>
          <w:lang w:bidi="ar"/>
        </w:rPr>
        <w:t>表</w:t>
      </w:r>
      <w:r>
        <w:rPr>
          <w:rFonts w:hint="eastAsia" w:ascii="仿宋" w:hAnsi="仿宋" w:eastAsia="仿宋" w:cs="仿宋"/>
          <w:color w:val="auto"/>
          <w:szCs w:val="21"/>
          <w:lang w:val="en-US" w:eastAsia="zh-CN" w:bidi="ar"/>
        </w:rPr>
        <w:t>Ⅲ</w:t>
      </w:r>
      <w:r>
        <w:rPr>
          <w:rFonts w:hint="eastAsia" w:ascii="Times New Roman" w:hAnsi="Times New Roman" w:eastAsia="宋体" w:cs="宋体"/>
          <w:color w:val="auto"/>
          <w:szCs w:val="21"/>
          <w:lang w:val="en-US" w:eastAsia="zh-CN" w:bidi="ar"/>
        </w:rPr>
        <w:t>2</w:t>
      </w:r>
      <w:r>
        <w:rPr>
          <w:rFonts w:hint="eastAsia" w:ascii="Times New Roman" w:hAnsi="Times New Roman" w:eastAsia="宋体" w:cs="Times New Roman"/>
          <w:color w:val="auto"/>
          <w:szCs w:val="21"/>
          <w:lang w:bidi="ar"/>
        </w:rPr>
        <w:t>中</w:t>
      </w:r>
      <w:r>
        <w:rPr>
          <w:rFonts w:ascii="Times New Roman" w:hAnsi="Times New Roman"/>
          <w:color w:val="auto"/>
          <w:szCs w:val="21"/>
        </w:rPr>
        <w:t>（</w:t>
      </w:r>
      <w:r>
        <w:rPr>
          <w:rFonts w:hint="eastAsia" w:ascii="Times New Roman" w:hAnsi="Times New Roman"/>
          <w:color w:val="auto"/>
          <w:szCs w:val="21"/>
          <w:lang w:val="en-US" w:eastAsia="zh-CN"/>
        </w:rPr>
        <w:t>4</w:t>
      </w:r>
      <w:r>
        <w:rPr>
          <w:rFonts w:ascii="Times New Roman" w:hAnsi="Times New Roman"/>
          <w:color w:val="auto"/>
          <w:szCs w:val="21"/>
        </w:rPr>
        <w:t>）列所示，纳入重点税源</w:t>
      </w:r>
      <w:r>
        <w:rPr>
          <w:rFonts w:hint="eastAsia" w:ascii="Times New Roman" w:hAnsi="Times New Roman"/>
          <w:color w:val="auto"/>
          <w:szCs w:val="21"/>
          <w:lang w:val="en-US" w:eastAsia="zh-CN"/>
        </w:rPr>
        <w:t>监管的</w:t>
      </w:r>
      <w:r>
        <w:rPr>
          <w:rFonts w:ascii="Times New Roman" w:hAnsi="Times New Roman"/>
          <w:color w:val="auto"/>
          <w:szCs w:val="21"/>
        </w:rPr>
        <w:t>企业污染排放会明显增多，本文的回归结果仍然稳健。</w:t>
      </w:r>
    </w:p>
    <w:p>
      <w:pPr>
        <w:jc w:val="center"/>
        <w:rPr>
          <w:rFonts w:ascii="Times New Roman" w:hAnsi="Times New Roman" w:eastAsia="宋体" w:cs="Times New Roman"/>
          <w:color w:val="auto"/>
          <w:szCs w:val="21"/>
          <w:lang w:bidi="ar"/>
        </w:rPr>
      </w:pPr>
      <w:bookmarkStart w:id="13" w:name="_Toc4568"/>
      <w:bookmarkStart w:id="14" w:name="_Toc320"/>
      <w:r>
        <w:rPr>
          <w:rFonts w:hint="eastAsia" w:ascii="Times New Roman" w:hAnsi="Times New Roman" w:eastAsia="宋体" w:cs="Times New Roman"/>
          <w:color w:val="auto"/>
          <w:szCs w:val="21"/>
          <w:lang w:bidi="ar"/>
        </w:rPr>
        <w:drawing>
          <wp:inline distT="0" distB="0" distL="114300" distR="114300">
            <wp:extent cx="2473325" cy="1800225"/>
            <wp:effectExtent l="0" t="0" r="3175" b="0"/>
            <wp:docPr id="40" name="图片 40" descr="C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IT"/>
                    <pic:cNvPicPr>
                      <a:picLocks noChangeAspect="1"/>
                    </pic:cNvPicPr>
                  </pic:nvPicPr>
                  <pic:blipFill>
                    <a:blip r:embed="rId26"/>
                    <a:stretch>
                      <a:fillRect/>
                    </a:stretch>
                  </pic:blipFill>
                  <pic:spPr>
                    <a:xfrm>
                      <a:off x="0" y="0"/>
                      <a:ext cx="2473325" cy="1800225"/>
                    </a:xfrm>
                    <a:prstGeom prst="rect">
                      <a:avLst/>
                    </a:prstGeom>
                  </pic:spPr>
                </pic:pic>
              </a:graphicData>
            </a:graphic>
          </wp:inline>
        </w:drawing>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Times New Roman" w:hAnsi="Times New Roman" w:eastAsia="宋体"/>
          <w:b/>
          <w:color w:val="auto"/>
          <w:sz w:val="20"/>
          <w:szCs w:val="21"/>
        </w:rPr>
      </w:pPr>
      <w:r>
        <w:rPr>
          <w:rFonts w:hint="eastAsia" w:ascii="Times New Roman" w:hAnsi="Times New Roman" w:eastAsia="宋体"/>
          <w:b/>
          <w:color w:val="auto"/>
          <w:sz w:val="20"/>
          <w:szCs w:val="21"/>
        </w:rPr>
        <w:t>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3</w:t>
      </w:r>
      <w:r>
        <w:rPr>
          <w:rFonts w:hint="eastAsia" w:ascii="Times New Roman" w:hAnsi="Times New Roman" w:eastAsia="宋体"/>
          <w:b/>
          <w:color w:val="auto"/>
          <w:sz w:val="20"/>
          <w:szCs w:val="21"/>
        </w:rPr>
        <w:t xml:space="preserve"> 企业所得税断点分布</w:t>
      </w:r>
    </w:p>
    <w:p>
      <w:pPr>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6.更换固定效应和标准误聚类方式</w:t>
      </w:r>
      <w:bookmarkEnd w:id="13"/>
      <w:bookmarkEnd w:id="14"/>
    </w:p>
    <w:p>
      <w:pPr>
        <w:ind w:firstLine="420" w:firstLineChars="200"/>
        <w:rPr>
          <w:rFonts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为了进一步排除样本期内混杂因素和其他税收政策对估计结果的可能干扰。参考刘行和赵晓阳（</w:t>
      </w:r>
      <w:r>
        <w:rPr>
          <w:rFonts w:ascii="Times New Roman" w:hAnsi="Times New Roman" w:eastAsia="宋体" w:cs="Times New Roman"/>
          <w:color w:val="auto"/>
          <w:szCs w:val="21"/>
          <w:lang w:bidi="ar"/>
        </w:rPr>
        <w:t>2019</w:t>
      </w:r>
      <w:r>
        <w:rPr>
          <w:rFonts w:hint="eastAsia" w:ascii="Times New Roman" w:hAnsi="Times New Roman" w:eastAsia="宋体" w:cs="Times New Roman"/>
          <w:color w:val="auto"/>
          <w:szCs w:val="21"/>
          <w:lang w:bidi="ar"/>
        </w:rPr>
        <w:t>）的研究，我们在基准模型基础上进一步控制省份</w:t>
      </w:r>
      <w:r>
        <w:rPr>
          <w:rFonts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bidi="ar"/>
        </w:rPr>
        <w:t>年度固定效应、城市</w:t>
      </w:r>
      <w:r>
        <w:rPr>
          <w:rFonts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bidi="ar"/>
        </w:rPr>
        <w:t>行业固定效应和所有权</w:t>
      </w:r>
      <w:r>
        <w:rPr>
          <w:rFonts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bidi="ar"/>
        </w:rPr>
        <w:t>年度固定效应来控制省份层面环境政策、城市行业政策、以及税收政策如内外资企业所得税的影响。</w:t>
      </w:r>
      <w:r>
        <w:rPr>
          <w:rFonts w:hint="eastAsia" w:ascii="Times New Roman" w:hAnsi="Times New Roman" w:eastAsia="宋体" w:cs="宋体"/>
          <w:color w:val="auto"/>
          <w:szCs w:val="21"/>
          <w:lang w:bidi="ar"/>
        </w:rPr>
        <w:t>表</w:t>
      </w:r>
      <w:r>
        <w:rPr>
          <w:rFonts w:hint="eastAsia" w:ascii="仿宋" w:hAnsi="仿宋" w:eastAsia="仿宋" w:cs="仿宋"/>
          <w:color w:val="auto"/>
          <w:szCs w:val="21"/>
          <w:lang w:val="en-US" w:eastAsia="zh-CN" w:bidi="ar"/>
        </w:rPr>
        <w:t>Ⅲ</w:t>
      </w:r>
      <w:r>
        <w:rPr>
          <w:rFonts w:hint="eastAsia" w:ascii="Times New Roman" w:hAnsi="Times New Roman" w:eastAsia="宋体" w:cs="宋体"/>
          <w:color w:val="auto"/>
          <w:szCs w:val="21"/>
          <w:lang w:val="en-US" w:eastAsia="zh-CN" w:bidi="ar"/>
        </w:rPr>
        <w:t>2</w:t>
      </w:r>
      <w:r>
        <w:rPr>
          <w:rFonts w:hint="eastAsia" w:ascii="Times New Roman" w:hAnsi="Times New Roman" w:eastAsia="宋体" w:cs="Times New Roman"/>
          <w:color w:val="auto"/>
          <w:szCs w:val="21"/>
          <w:lang w:bidi="ar"/>
        </w:rPr>
        <w:t>中</w:t>
      </w:r>
      <w:r>
        <w:rPr>
          <w:rFonts w:hint="eastAsia" w:ascii="Times New Roman" w:hAnsi="Times New Roman" w:eastAsia="宋体" w:cs="Times New Roman"/>
          <w:color w:val="auto"/>
          <w:szCs w:val="21"/>
          <w:lang w:val="en-US" w:eastAsia="zh-CN" w:bidi="ar"/>
        </w:rPr>
        <w:t>第</w:t>
      </w:r>
      <w:r>
        <w:rPr>
          <w:rFonts w:hint="eastAsia"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val="en-US" w:eastAsia="zh-CN" w:bidi="ar"/>
        </w:rPr>
        <w:t>5</w:t>
      </w:r>
      <w:r>
        <w:rPr>
          <w:rFonts w:hint="eastAsia" w:ascii="Times New Roman" w:hAnsi="Times New Roman" w:eastAsia="宋体" w:cs="Times New Roman"/>
          <w:color w:val="auto"/>
          <w:szCs w:val="21"/>
          <w:lang w:bidi="ar"/>
        </w:rPr>
        <w:t>）列结果显示，核心解释变量的系数大小和统计显著性仍然与基准结果保持高度一致，这进一步加强了本文基本研究发现的可靠性。</w:t>
      </w:r>
    </w:p>
    <w:p>
      <w:pPr>
        <w:ind w:firstLine="420" w:firstLineChars="200"/>
        <w:rPr>
          <w:rFonts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此外，</w:t>
      </w:r>
      <w:r>
        <w:rPr>
          <w:rFonts w:ascii="Times New Roman" w:hAnsi="Times New Roman" w:eastAsia="宋体" w:cs="Times New Roman"/>
          <w:color w:val="auto"/>
          <w:szCs w:val="21"/>
          <w:lang w:bidi="ar"/>
        </w:rPr>
        <w:t>为了检验标准误聚类方式对统计显著性的影响，依据Abadie et al.（20</w:t>
      </w:r>
      <w:r>
        <w:rPr>
          <w:rFonts w:hint="eastAsia" w:ascii="Times New Roman" w:hAnsi="Times New Roman" w:eastAsia="宋体" w:cs="Times New Roman"/>
          <w:color w:val="auto"/>
          <w:szCs w:val="21"/>
          <w:lang w:val="en-US" w:eastAsia="zh-CN" w:bidi="ar"/>
        </w:rPr>
        <w:t>22</w:t>
      </w:r>
      <w:r>
        <w:rPr>
          <w:rFonts w:ascii="Times New Roman" w:hAnsi="Times New Roman" w:eastAsia="宋体" w:cs="Times New Roman"/>
          <w:color w:val="auto"/>
          <w:szCs w:val="21"/>
          <w:lang w:bidi="ar"/>
        </w:rPr>
        <w:t>）的建议，我们对回归的标准误进行城市-行业层面的聚类处理，</w:t>
      </w:r>
      <w:r>
        <w:rPr>
          <w:rFonts w:hint="eastAsia" w:ascii="Times New Roman" w:hAnsi="Times New Roman" w:eastAsia="宋体" w:cs="Times New Roman"/>
          <w:color w:val="auto"/>
          <w:szCs w:val="21"/>
          <w:lang w:val="en-US" w:eastAsia="zh-CN" w:bidi="ar"/>
        </w:rPr>
        <w:t>第</w:t>
      </w:r>
      <w:r>
        <w:rPr>
          <w:rFonts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bidi="ar"/>
        </w:rPr>
        <w:t>6</w:t>
      </w:r>
      <w:r>
        <w:rPr>
          <w:rFonts w:ascii="Times New Roman" w:hAnsi="Times New Roman" w:eastAsia="宋体" w:cs="Times New Roman"/>
          <w:color w:val="auto"/>
          <w:szCs w:val="21"/>
          <w:lang w:bidi="ar"/>
        </w:rPr>
        <w:t>）</w:t>
      </w:r>
      <w:r>
        <w:rPr>
          <w:rFonts w:hint="eastAsia" w:ascii="Times New Roman" w:hAnsi="Times New Roman" w:eastAsia="宋体" w:cs="Times New Roman"/>
          <w:color w:val="auto"/>
          <w:szCs w:val="21"/>
          <w:lang w:val="en-US" w:eastAsia="zh-CN" w:bidi="ar"/>
        </w:rPr>
        <w:t>列</w:t>
      </w:r>
      <w:r>
        <w:rPr>
          <w:rFonts w:ascii="Times New Roman" w:hAnsi="Times New Roman" w:eastAsia="宋体" w:cs="Times New Roman"/>
          <w:color w:val="auto"/>
          <w:szCs w:val="21"/>
          <w:lang w:bidi="ar"/>
        </w:rPr>
        <w:t>的估计结果表明，企业进入重点税源垂直监管后会显著提高污染物排放，这进一步加强了本文基本研究发现的可靠性和稳健性。</w:t>
      </w:r>
    </w:p>
    <w:p>
      <w:pPr>
        <w:ind w:firstLine="420" w:firstLineChars="200"/>
        <w:rPr>
          <w:rFonts w:ascii="Times New Roman" w:hAnsi="Times New Roman" w:eastAsia="宋体" w:cs="Times New Roman"/>
          <w:color w:val="auto"/>
          <w:szCs w:val="21"/>
          <w:lang w:bidi="ar"/>
        </w:rPr>
      </w:pPr>
    </w:p>
    <w:p>
      <w:pPr>
        <w:jc w:val="center"/>
        <w:rPr>
          <w:rFonts w:hint="eastAsia" w:ascii="Times New Roman" w:hAnsi="Times New Roman" w:eastAsia="宋体" w:cs="Times New Roman"/>
          <w:color w:val="auto"/>
          <w:szCs w:val="21"/>
          <w:lang w:bidi="ar"/>
        </w:rPr>
      </w:pPr>
    </w:p>
    <w:p>
      <w:pPr>
        <w:spacing w:after="120"/>
        <w:ind w:firstLine="402" w:firstLineChars="200"/>
        <w:jc w:val="center"/>
        <w:rPr>
          <w:rFonts w:ascii="Times New Roman" w:hAnsi="Times New Roman" w:eastAsia="宋体"/>
          <w:b/>
          <w:color w:val="auto"/>
          <w:sz w:val="20"/>
          <w:szCs w:val="21"/>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0"/>
        <w:rPr>
          <w:rFonts w:hint="eastAsia" w:ascii="宋体" w:hAnsi="宋体" w:eastAsia="宋体" w:cs="宋体"/>
          <w:sz w:val="22"/>
          <w:szCs w:val="22"/>
          <w:lang w:val="en-US" w:eastAsia="zh-CN"/>
        </w:rPr>
      </w:pPr>
      <w:bookmarkStart w:id="15" w:name="_Toc16757"/>
      <w:bookmarkStart w:id="16" w:name="_Toc12324"/>
      <w:r>
        <w:rPr>
          <w:rFonts w:hint="eastAsia" w:ascii="宋体" w:hAnsi="宋体" w:eastAsia="宋体" w:cs="宋体"/>
          <w:sz w:val="22"/>
          <w:szCs w:val="22"/>
          <w:lang w:val="en-US" w:eastAsia="zh-CN"/>
        </w:rPr>
        <w:t>7.排除水污染物替代解释</w:t>
      </w:r>
      <w:bookmarkEnd w:id="15"/>
      <w:bookmarkEnd w:id="16"/>
    </w:p>
    <w:p>
      <w:pPr>
        <w:ind w:firstLine="420" w:firstLineChars="200"/>
        <w:rPr>
          <w:rFonts w:ascii="Times New Roman" w:hAnsi="Times New Roman" w:eastAsia="宋体"/>
          <w:color w:val="auto"/>
          <w:szCs w:val="21"/>
        </w:rPr>
      </w:pPr>
      <w:r>
        <w:rPr>
          <w:rFonts w:hint="eastAsia" w:ascii="Times New Roman" w:hAnsi="Times New Roman" w:eastAsia="宋体"/>
          <w:color w:val="auto"/>
          <w:szCs w:val="21"/>
        </w:rPr>
        <w:t>大量的研究表明，面对严格的规制政策，企业可能会通过增加其他方面的污染物排放来抵消监管领域排放成本（Zhang et al.，2018）。为了更加全面地考察重点税源企业的污染排放行为，确保</w:t>
      </w:r>
      <w:r>
        <w:rPr>
          <w:rFonts w:hint="eastAsia" w:ascii="Times New Roman" w:hAnsi="Times New Roman" w:cs="Times New Roman"/>
          <w:color w:val="auto"/>
        </w:rPr>
        <w:t>税收征管强度引致的污染效应并非仅仅由于企业污染物排放的选择性替代，</w:t>
      </w:r>
      <w:r>
        <w:rPr>
          <w:rFonts w:hint="eastAsia" w:ascii="Times New Roman" w:hAnsi="Times New Roman" w:eastAsia="宋体"/>
          <w:color w:val="auto"/>
          <w:szCs w:val="21"/>
        </w:rPr>
        <w:t>我们首先选取化学需氧量（COD）排放量的对数值作为水污染物衡量指标，检验重点税源监管对水污染物排放的影响，结果如图</w:t>
      </w:r>
      <w:r>
        <w:rPr>
          <w:rFonts w:hint="eastAsia" w:ascii="仿宋" w:hAnsi="仿宋" w:eastAsia="仿宋" w:cs="仿宋"/>
          <w:color w:val="auto"/>
          <w:szCs w:val="21"/>
        </w:rPr>
        <w:t>Ⅲ</w:t>
      </w:r>
      <w:r>
        <w:rPr>
          <w:rFonts w:hint="eastAsia" w:ascii="Times New Roman" w:hAnsi="Times New Roman" w:eastAsia="宋体"/>
          <w:color w:val="auto"/>
          <w:szCs w:val="21"/>
          <w:lang w:val="en-US" w:eastAsia="zh-CN"/>
        </w:rPr>
        <w:t>4</w:t>
      </w:r>
      <w:r>
        <w:rPr>
          <w:rFonts w:hint="eastAsia" w:ascii="Times New Roman" w:hAnsi="Times New Roman" w:eastAsia="宋体"/>
          <w:color w:val="auto"/>
          <w:szCs w:val="21"/>
        </w:rPr>
        <w:t>和表</w:t>
      </w:r>
      <w:r>
        <w:rPr>
          <w:rFonts w:hint="eastAsia" w:ascii="仿宋" w:hAnsi="仿宋" w:eastAsia="仿宋" w:cs="仿宋"/>
          <w:color w:val="auto"/>
          <w:szCs w:val="21"/>
          <w:lang w:val="en-US" w:eastAsia="zh-CN"/>
        </w:rPr>
        <w:t>Ⅲ</w:t>
      </w:r>
      <w:r>
        <w:rPr>
          <w:rFonts w:hint="eastAsia" w:ascii="Times New Roman" w:hAnsi="Times New Roman" w:eastAsia="宋体"/>
          <w:color w:val="auto"/>
          <w:szCs w:val="21"/>
          <w:lang w:val="en-US" w:eastAsia="zh-CN"/>
        </w:rPr>
        <w:t>3</w:t>
      </w:r>
      <w:r>
        <w:rPr>
          <w:rFonts w:hint="eastAsia" w:ascii="Times New Roman" w:hAnsi="Times New Roman" w:eastAsia="宋体"/>
          <w:color w:val="auto"/>
          <w:szCs w:val="21"/>
        </w:rPr>
        <w:t>所示，企业进入重点税源监察后，水污染物排放量也会明显提高。其次，进行了一系列稳健性检验，包括带宽的敏感性检验、构造虚假的断点位置、圆环断点回归（Donut RD）、检验驱动变量、更换固定效应和标准误聚类方式。回归结果如图</w:t>
      </w:r>
      <w:r>
        <w:rPr>
          <w:rFonts w:hint="eastAsia" w:ascii="仿宋" w:hAnsi="仿宋" w:eastAsia="仿宋" w:cs="仿宋"/>
          <w:color w:val="auto"/>
          <w:szCs w:val="21"/>
        </w:rPr>
        <w:t>Ⅲ</w:t>
      </w:r>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、图</w:t>
      </w:r>
      <w:r>
        <w:rPr>
          <w:rFonts w:hint="eastAsia" w:ascii="仿宋" w:hAnsi="仿宋" w:eastAsia="仿宋" w:cs="仿宋"/>
          <w:color w:val="auto"/>
          <w:szCs w:val="21"/>
        </w:rPr>
        <w:t>Ⅲ</w:t>
      </w:r>
      <w:r>
        <w:rPr>
          <w:rFonts w:hint="eastAsia" w:ascii="Times New Roman" w:hAnsi="Times New Roman" w:eastAsia="宋体"/>
          <w:color w:val="auto"/>
          <w:szCs w:val="21"/>
          <w:lang w:val="en-US" w:eastAsia="zh-CN"/>
        </w:rPr>
        <w:t>6</w:t>
      </w:r>
      <w:r>
        <w:rPr>
          <w:rFonts w:hint="eastAsia" w:ascii="Times New Roman" w:hAnsi="Times New Roman" w:eastAsia="宋体"/>
          <w:color w:val="auto"/>
          <w:szCs w:val="21"/>
        </w:rPr>
        <w:t>和表</w:t>
      </w:r>
      <w:r>
        <w:rPr>
          <w:rFonts w:hint="eastAsia" w:ascii="仿宋" w:hAnsi="仿宋" w:eastAsia="仿宋" w:cs="仿宋"/>
          <w:color w:val="auto"/>
          <w:szCs w:val="21"/>
          <w:lang w:val="en-US" w:eastAsia="zh-CN"/>
        </w:rPr>
        <w:t>Ⅲ</w:t>
      </w:r>
      <w:r>
        <w:rPr>
          <w:rFonts w:hint="eastAsia" w:ascii="Times New Roman" w:hAnsi="Times New Roman" w:eastAsia="宋体"/>
          <w:color w:val="auto"/>
          <w:szCs w:val="21"/>
          <w:lang w:val="en-US" w:eastAsia="zh-CN"/>
        </w:rPr>
        <w:t>4</w:t>
      </w:r>
      <w:r>
        <w:rPr>
          <w:rFonts w:hint="eastAsia" w:ascii="Times New Roman" w:hAnsi="Times New Roman" w:eastAsia="宋体"/>
          <w:color w:val="auto"/>
          <w:szCs w:val="21"/>
        </w:rPr>
        <w:t>所示，仍然保持高度稳健。这说明企业进入重点税源监管后，企业化学需氧量排放量也会明显提高，意味着重点税源征管将导致企业多个维度污染排放的增加。</w:t>
      </w:r>
    </w:p>
    <w:p>
      <w:pPr>
        <w:jc w:val="center"/>
        <w:rPr>
          <w:rFonts w:ascii="Times New Roman" w:hAnsi="Times New Roman" w:eastAsia="宋体" w:cs="Times New Roman"/>
          <w:color w:val="auto"/>
          <w:lang w:bidi="ar"/>
        </w:rPr>
      </w:pPr>
      <w:r>
        <w:rPr>
          <w:rFonts w:hint="eastAsia" w:ascii="Times New Roman" w:hAnsi="Times New Roman" w:eastAsia="宋体" w:cs="Times New Roman"/>
          <w:color w:val="auto"/>
          <w:lang w:bidi="ar"/>
        </w:rPr>
        <w:drawing>
          <wp:inline distT="0" distB="0" distL="114300" distR="114300">
            <wp:extent cx="2473325" cy="1800225"/>
            <wp:effectExtent l="0" t="0" r="10795" b="13335"/>
            <wp:docPr id="41" name="图片 41" descr="C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OD"/>
                    <pic:cNvPicPr>
                      <a:picLocks noChangeAspect="1"/>
                    </pic:cNvPicPr>
                  </pic:nvPicPr>
                  <pic:blipFill>
                    <a:blip r:embed="rId27"/>
                    <a:stretch>
                      <a:fillRect/>
                    </a:stretch>
                  </pic:blipFill>
                  <pic:spPr>
                    <a:xfrm>
                      <a:off x="0" y="0"/>
                      <a:ext cx="2473325" cy="1800225"/>
                    </a:xfrm>
                    <a:prstGeom prst="rect">
                      <a:avLst/>
                    </a:prstGeom>
                  </pic:spPr>
                </pic:pic>
              </a:graphicData>
            </a:graphic>
          </wp:inline>
        </w:drawing>
      </w:r>
    </w:p>
    <w:p>
      <w:pPr>
        <w:spacing w:after="120"/>
        <w:ind w:firstLine="402" w:firstLineChars="200"/>
        <w:jc w:val="center"/>
        <w:rPr>
          <w:rFonts w:ascii="Times New Roman" w:hAnsi="Times New Roman" w:eastAsia="宋体"/>
          <w:b/>
          <w:color w:val="auto"/>
          <w:sz w:val="20"/>
          <w:szCs w:val="21"/>
        </w:rPr>
      </w:pPr>
      <w:r>
        <w:rPr>
          <w:rFonts w:hint="eastAsia" w:ascii="Times New Roman" w:hAnsi="Times New Roman" w:eastAsia="宋体"/>
          <w:b/>
          <w:color w:val="auto"/>
          <w:sz w:val="20"/>
          <w:szCs w:val="21"/>
        </w:rPr>
        <w:t>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4</w:t>
      </w:r>
      <w:r>
        <w:rPr>
          <w:rFonts w:hint="eastAsia" w:ascii="Times New Roman" w:hAnsi="Times New Roman" w:eastAsia="宋体"/>
          <w:b/>
          <w:color w:val="auto"/>
          <w:sz w:val="20"/>
          <w:szCs w:val="21"/>
        </w:rPr>
        <w:t xml:space="preserve"> 化学需氧量排放</w:t>
      </w:r>
    </w:p>
    <w:p>
      <w:pPr>
        <w:adjustRightInd w:val="0"/>
        <w:snapToGrid w:val="0"/>
        <w:spacing w:before="120" w:line="300" w:lineRule="atLeast"/>
        <w:jc w:val="center"/>
        <w:rPr>
          <w:rFonts w:hint="eastAsia" w:ascii="Times New Roman" w:hAnsi="Times New Roman" w:eastAsia="宋体"/>
          <w:b/>
          <w:color w:val="auto"/>
          <w:sz w:val="20"/>
          <w:szCs w:val="21"/>
          <w:lang w:bidi="ar"/>
        </w:rPr>
      </w:pPr>
    </w:p>
    <w:p>
      <w:pPr>
        <w:adjustRightInd w:val="0"/>
        <w:snapToGrid w:val="0"/>
        <w:spacing w:before="120" w:line="300" w:lineRule="atLeast"/>
        <w:jc w:val="center"/>
        <w:rPr>
          <w:rFonts w:hint="eastAsia" w:ascii="Times New Roman" w:hAnsi="Times New Roman" w:eastAsia="宋体"/>
          <w:b/>
          <w:color w:val="auto"/>
          <w:sz w:val="20"/>
          <w:szCs w:val="21"/>
          <w:lang w:bidi="ar"/>
        </w:rPr>
      </w:pPr>
    </w:p>
    <w:p>
      <w:pPr>
        <w:adjustRightInd w:val="0"/>
        <w:snapToGrid w:val="0"/>
        <w:spacing w:before="120" w:line="300" w:lineRule="atLeast"/>
        <w:jc w:val="center"/>
        <w:rPr>
          <w:rFonts w:ascii="Times New Roman" w:hAnsi="Times New Roman" w:eastAsia="宋体"/>
          <w:b/>
          <w:color w:val="auto"/>
          <w:sz w:val="20"/>
          <w:szCs w:val="21"/>
          <w:lang w:bidi="ar"/>
        </w:rPr>
      </w:pPr>
      <w:r>
        <w:rPr>
          <w:rFonts w:hint="eastAsia" w:ascii="Times New Roman" w:hAnsi="Times New Roman" w:eastAsia="宋体"/>
          <w:b/>
          <w:color w:val="auto"/>
          <w:sz w:val="20"/>
          <w:szCs w:val="21"/>
          <w:lang w:bidi="ar"/>
        </w:rPr>
        <w:t>表</w:t>
      </w:r>
      <w:r>
        <w:rPr>
          <w:rFonts w:hint="eastAsia" w:ascii="仿宋" w:hAnsi="仿宋" w:eastAsia="仿宋" w:cs="仿宋"/>
          <w:b/>
          <w:color w:val="auto"/>
          <w:sz w:val="20"/>
          <w:szCs w:val="21"/>
          <w:lang w:val="en-US" w:eastAsia="zh-CN" w:bidi="ar"/>
        </w:rPr>
        <w:t>Ⅲ</w:t>
      </w:r>
      <w:r>
        <w:rPr>
          <w:rFonts w:hint="eastAsia" w:ascii="Times New Roman" w:hAnsi="Times New Roman" w:eastAsia="宋体"/>
          <w:b/>
          <w:color w:val="auto"/>
          <w:sz w:val="20"/>
          <w:szCs w:val="21"/>
          <w:lang w:val="en-US" w:eastAsia="zh-CN" w:bidi="ar"/>
        </w:rPr>
        <w:t>3</w:t>
      </w:r>
      <w:r>
        <w:rPr>
          <w:rFonts w:hint="eastAsia" w:ascii="Times New Roman" w:hAnsi="Times New Roman" w:eastAsia="宋体"/>
          <w:b/>
          <w:color w:val="auto"/>
          <w:sz w:val="20"/>
          <w:szCs w:val="21"/>
          <w:lang w:bidi="ar"/>
        </w:rPr>
        <w:t>企业化学需氧量排放</w:t>
      </w:r>
    </w:p>
    <w:tbl>
      <w:tblPr>
        <w:tblStyle w:val="8"/>
        <w:tblW w:w="4998" w:type="pct"/>
        <w:tblInd w:w="0" w:type="dxa"/>
        <w:tblLayout w:type="autofit"/>
        <w:tblCellMar>
          <w:top w:w="0" w:type="dxa"/>
          <w:left w:w="108" w:type="dxa"/>
          <w:bottom w:w="0" w:type="dxa"/>
          <w:right w:w="108" w:type="dxa"/>
        </w:tblCellMar>
      </w:tblPr>
      <w:tblGrid>
        <w:gridCol w:w="1798"/>
        <w:gridCol w:w="1145"/>
        <w:gridCol w:w="1285"/>
        <w:gridCol w:w="1072"/>
        <w:gridCol w:w="1072"/>
        <w:gridCol w:w="1072"/>
        <w:gridCol w:w="1075"/>
      </w:tblGrid>
      <w:tr>
        <w:tblPrEx>
          <w:tblCellMar>
            <w:top w:w="0" w:type="dxa"/>
            <w:left w:w="108" w:type="dxa"/>
            <w:bottom w:w="0" w:type="dxa"/>
            <w:right w:w="108" w:type="dxa"/>
          </w:tblCellMar>
        </w:tblPrEx>
        <w:tc>
          <w:tcPr>
            <w:tcW w:w="1055" w:type="pct"/>
            <w:vMerge w:val="restart"/>
            <w:tcBorders>
              <w:top w:val="doub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72" w:type="pct"/>
            <w:tcBorders>
              <w:top w:val="doub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w:t>
            </w:r>
          </w:p>
        </w:tc>
        <w:tc>
          <w:tcPr>
            <w:tcW w:w="754" w:type="pct"/>
            <w:tcBorders>
              <w:top w:val="doub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w:t>
            </w:r>
          </w:p>
        </w:tc>
        <w:tc>
          <w:tcPr>
            <w:tcW w:w="629" w:type="pct"/>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(3)</w:t>
            </w:r>
          </w:p>
        </w:tc>
        <w:tc>
          <w:tcPr>
            <w:tcW w:w="629" w:type="pct"/>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(4)</w:t>
            </w:r>
          </w:p>
        </w:tc>
        <w:tc>
          <w:tcPr>
            <w:tcW w:w="629" w:type="pct"/>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(5)</w:t>
            </w:r>
          </w:p>
        </w:tc>
        <w:tc>
          <w:tcPr>
            <w:tcW w:w="630" w:type="pct"/>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w:t>
            </w:r>
          </w:p>
        </w:tc>
      </w:tr>
      <w:tr>
        <w:tblPrEx>
          <w:tblCellMar>
            <w:top w:w="0" w:type="dxa"/>
            <w:left w:w="108" w:type="dxa"/>
            <w:bottom w:w="0" w:type="dxa"/>
            <w:right w:w="108" w:type="dxa"/>
          </w:tblCellMar>
        </w:tblPrEx>
        <w:tc>
          <w:tcPr>
            <w:tcW w:w="1055" w:type="pct"/>
            <w:vMerge w:val="continue"/>
            <w:tcBorders>
              <w:left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2055" w:type="pct"/>
            <w:gridSpan w:val="3"/>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局部线性估计</w:t>
            </w:r>
          </w:p>
        </w:tc>
        <w:tc>
          <w:tcPr>
            <w:tcW w:w="1889" w:type="pct"/>
            <w:gridSpan w:val="3"/>
            <w:tcBorders>
              <w:top w:val="doub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全局多项式估计</w:t>
            </w:r>
          </w:p>
        </w:tc>
      </w:tr>
      <w:tr>
        <w:tblPrEx>
          <w:tblCellMar>
            <w:top w:w="0" w:type="dxa"/>
            <w:left w:w="108" w:type="dxa"/>
            <w:bottom w:w="0" w:type="dxa"/>
            <w:right w:w="108" w:type="dxa"/>
          </w:tblCellMar>
        </w:tblPrEx>
        <w:trPr>
          <w:trHeight w:val="204" w:hRule="atLeast"/>
        </w:trPr>
        <w:tc>
          <w:tcPr>
            <w:tcW w:w="1055" w:type="pct"/>
            <w:vMerge w:val="continue"/>
            <w:tcBorders>
              <w:top w:val="double" w:color="auto" w:sz="4" w:space="0"/>
              <w:left w:val="nil"/>
              <w:bottom w:val="nil"/>
              <w:right w:val="single" w:color="auto" w:sz="4" w:space="0"/>
            </w:tcBorders>
            <w:shd w:val="clear" w:color="auto" w:fill="auto"/>
          </w:tcPr>
          <w:p>
            <w:pPr>
              <w:rPr>
                <w:rFonts w:hint="eastAsia" w:ascii="仿宋" w:hAnsi="仿宋" w:eastAsia="仿宋" w:cs="仿宋"/>
                <w:color w:val="auto"/>
                <w:sz w:val="18"/>
                <w:szCs w:val="18"/>
              </w:rPr>
            </w:pP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First Stage</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Reduced Form</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2SLS</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First Stage</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Reduced Form</w:t>
            </w: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2SLS</w:t>
            </w:r>
          </w:p>
        </w:tc>
      </w:tr>
      <w:tr>
        <w:tblPrEx>
          <w:tblCellMar>
            <w:top w:w="0" w:type="dxa"/>
            <w:left w:w="108" w:type="dxa"/>
            <w:bottom w:w="0" w:type="dxa"/>
            <w:right w:w="108" w:type="dxa"/>
          </w:tblCellMar>
        </w:tblPrEx>
        <w:tc>
          <w:tcPr>
            <w:tcW w:w="1055" w:type="pct"/>
            <w:vMerge w:val="continue"/>
            <w:tcBorders>
              <w:top w:val="double" w:color="auto" w:sz="4" w:space="0"/>
              <w:left w:val="nil"/>
              <w:bottom w:val="nil"/>
              <w:right w:val="single" w:color="auto" w:sz="4" w:space="0"/>
            </w:tcBorders>
            <w:shd w:val="clear" w:color="auto" w:fill="auto"/>
          </w:tcPr>
          <w:p>
            <w:pPr>
              <w:rPr>
                <w:rFonts w:hint="eastAsia" w:ascii="仿宋" w:hAnsi="仿宋" w:eastAsia="仿宋" w:cs="仿宋"/>
                <w:color w:val="auto"/>
                <w:sz w:val="18"/>
                <w:szCs w:val="18"/>
              </w:rPr>
            </w:pP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TaxSource</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COD(log)</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r>
              <w:rPr>
                <w:rFonts w:hint="eastAsia" w:ascii="仿宋" w:hAnsi="仿宋" w:eastAsia="仿宋" w:cs="仿宋"/>
                <w:color w:val="auto"/>
                <w:kern w:val="0"/>
                <w:sz w:val="18"/>
                <w:szCs w:val="18"/>
                <w:lang w:bidi="ar"/>
              </w:rPr>
              <w:t>COD(log)</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TaxSource</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COD(log)</w:t>
            </w: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COD(log)</w:t>
            </w:r>
          </w:p>
        </w:tc>
      </w:tr>
      <w:tr>
        <w:tblPrEx>
          <w:tblCellMar>
            <w:top w:w="0" w:type="dxa"/>
            <w:left w:w="108" w:type="dxa"/>
            <w:bottom w:w="0" w:type="dxa"/>
            <w:right w:w="108" w:type="dxa"/>
          </w:tblCellMar>
        </w:tblPrEx>
        <w:tc>
          <w:tcPr>
            <w:tcW w:w="1055" w:type="pct"/>
            <w:tcBorders>
              <w:top w:val="sing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eastAsia="zh-CN"/>
              </w:rPr>
            </w:pPr>
            <w:r>
              <w:rPr>
                <w:rFonts w:hint="eastAsia" w:ascii="仿宋" w:hAnsi="仿宋" w:eastAsia="仿宋" w:cs="仿宋"/>
                <w:i/>
                <w:iCs/>
                <w:color w:val="auto"/>
                <w:kern w:val="0"/>
                <w:sz w:val="18"/>
                <w:szCs w:val="18"/>
                <w:lang w:bidi="ar"/>
              </w:rPr>
              <w:t>Eligib</w:t>
            </w:r>
            <w:r>
              <w:rPr>
                <w:rFonts w:hint="eastAsia" w:ascii="仿宋" w:hAnsi="仿宋" w:eastAsia="仿宋" w:cs="仿宋"/>
                <w:i/>
                <w:iCs/>
                <w:color w:val="auto"/>
                <w:kern w:val="0"/>
                <w:sz w:val="18"/>
                <w:szCs w:val="18"/>
                <w:lang w:val="en-US" w:eastAsia="zh-CN" w:bidi="ar"/>
              </w:rPr>
              <w:t>ility</w:t>
            </w:r>
          </w:p>
        </w:tc>
        <w:tc>
          <w:tcPr>
            <w:tcW w:w="67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r>
              <w:rPr>
                <w:rFonts w:hint="eastAsia" w:ascii="仿宋" w:hAnsi="仿宋" w:eastAsia="仿宋" w:cs="仿宋"/>
                <w:color w:val="auto"/>
                <w:kern w:val="0"/>
                <w:sz w:val="18"/>
                <w:szCs w:val="18"/>
                <w:lang w:bidi="ar"/>
              </w:rPr>
              <w:t>0.680***</w:t>
            </w:r>
          </w:p>
        </w:tc>
        <w:tc>
          <w:tcPr>
            <w:tcW w:w="754"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0.221**</w:t>
            </w:r>
          </w:p>
        </w:tc>
        <w:tc>
          <w:tcPr>
            <w:tcW w:w="629"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0.620***</w:t>
            </w:r>
          </w:p>
        </w:tc>
        <w:tc>
          <w:tcPr>
            <w:tcW w:w="629"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0.126**</w:t>
            </w:r>
          </w:p>
        </w:tc>
        <w:tc>
          <w:tcPr>
            <w:tcW w:w="630"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p>
        </w:tc>
      </w:tr>
      <w:tr>
        <w:tblPrEx>
          <w:tblCellMar>
            <w:top w:w="0" w:type="dxa"/>
            <w:left w:w="108" w:type="dxa"/>
            <w:bottom w:w="0" w:type="dxa"/>
            <w:right w:w="108" w:type="dxa"/>
          </w:tblCellMar>
        </w:tblPrEx>
        <w:tc>
          <w:tcPr>
            <w:tcW w:w="1055" w:type="pct"/>
            <w:tcBorders>
              <w:top w:val="nil"/>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7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r>
              <w:rPr>
                <w:rFonts w:hint="eastAsia" w:ascii="仿宋" w:hAnsi="仿宋" w:eastAsia="仿宋" w:cs="仿宋"/>
                <w:color w:val="auto"/>
                <w:kern w:val="0"/>
                <w:sz w:val="18"/>
                <w:szCs w:val="18"/>
                <w:lang w:bidi="ar"/>
              </w:rPr>
              <w:t>(0.024)</w:t>
            </w:r>
          </w:p>
        </w:tc>
        <w:tc>
          <w:tcPr>
            <w:tcW w:w="754"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(0.108)</w:t>
            </w:r>
          </w:p>
        </w:tc>
        <w:tc>
          <w:tcPr>
            <w:tcW w:w="629"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(0.012)</w:t>
            </w:r>
          </w:p>
        </w:tc>
        <w:tc>
          <w:tcPr>
            <w:tcW w:w="629"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(0.061)</w:t>
            </w:r>
          </w:p>
        </w:tc>
        <w:tc>
          <w:tcPr>
            <w:tcW w:w="630"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r>
      <w:tr>
        <w:tblPrEx>
          <w:tblCellMar>
            <w:top w:w="0" w:type="dxa"/>
            <w:left w:w="108" w:type="dxa"/>
            <w:bottom w:w="0" w:type="dxa"/>
            <w:right w:w="108" w:type="dxa"/>
          </w:tblCellMar>
        </w:tblPrEx>
        <w:tc>
          <w:tcPr>
            <w:tcW w:w="1055" w:type="pct"/>
            <w:tcBorders>
              <w:top w:val="single" w:color="auto" w:sz="4" w:space="0"/>
              <w:left w:val="nil"/>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TaxSource</w:t>
            </w:r>
          </w:p>
        </w:tc>
        <w:tc>
          <w:tcPr>
            <w:tcW w:w="672"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p>
        </w:tc>
        <w:tc>
          <w:tcPr>
            <w:tcW w:w="754" w:type="pct"/>
            <w:tcBorders>
              <w:top w:val="single" w:color="auto" w:sz="4" w:space="0"/>
              <w:left w:val="single" w:color="auto" w:sz="4" w:space="0"/>
              <w:bottom w:val="nil"/>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0.325**</w:t>
            </w:r>
          </w:p>
        </w:tc>
        <w:tc>
          <w:tcPr>
            <w:tcW w:w="629"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30" w:type="pct"/>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0.203**</w:t>
            </w:r>
          </w:p>
        </w:tc>
      </w:tr>
      <w:tr>
        <w:tblPrEx>
          <w:tblCellMar>
            <w:top w:w="0" w:type="dxa"/>
            <w:left w:w="108" w:type="dxa"/>
            <w:bottom w:w="0" w:type="dxa"/>
            <w:right w:w="108" w:type="dxa"/>
          </w:tblCellMar>
        </w:tblPrEx>
        <w:tc>
          <w:tcPr>
            <w:tcW w:w="1055" w:type="pct"/>
            <w:tcBorders>
              <w:top w:val="nil"/>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72"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i/>
                <w:color w:val="auto"/>
                <w:kern w:val="0"/>
                <w:sz w:val="18"/>
                <w:szCs w:val="18"/>
              </w:rPr>
            </w:pPr>
          </w:p>
        </w:tc>
        <w:tc>
          <w:tcPr>
            <w:tcW w:w="754" w:type="pct"/>
            <w:tcBorders>
              <w:top w:val="nil"/>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(0.153)</w:t>
            </w:r>
          </w:p>
        </w:tc>
        <w:tc>
          <w:tcPr>
            <w:tcW w:w="629"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629"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630" w:type="pct"/>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(0.102)</w:t>
            </w:r>
          </w:p>
        </w:tc>
      </w:tr>
      <w:tr>
        <w:tblPrEx>
          <w:tblCellMar>
            <w:top w:w="0" w:type="dxa"/>
            <w:left w:w="108" w:type="dxa"/>
            <w:bottom w:w="0" w:type="dxa"/>
            <w:right w:w="108" w:type="dxa"/>
          </w:tblCellMar>
        </w:tblPrEx>
        <w:tc>
          <w:tcPr>
            <w:tcW w:w="1055"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第一阶段F值</w:t>
            </w: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412.891</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1126.569</w:t>
            </w:r>
          </w:p>
        </w:tc>
      </w:tr>
      <w:tr>
        <w:tblPrEx>
          <w:tblCellMar>
            <w:top w:w="0" w:type="dxa"/>
            <w:left w:w="108" w:type="dxa"/>
            <w:bottom w:w="0" w:type="dxa"/>
            <w:right w:w="108" w:type="dxa"/>
          </w:tblCellMar>
        </w:tblPrEx>
        <w:tc>
          <w:tcPr>
            <w:tcW w:w="1055"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个体固定效应</w:t>
            </w: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1055"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时间固定效应</w:t>
            </w: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1055"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驱动变量及交互项</w:t>
            </w: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1阶</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2阶</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2阶</w:t>
            </w: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2阶</w:t>
            </w:r>
          </w:p>
        </w:tc>
      </w:tr>
      <w:tr>
        <w:tblPrEx>
          <w:tblCellMar>
            <w:top w:w="0" w:type="dxa"/>
            <w:left w:w="108" w:type="dxa"/>
            <w:bottom w:w="0" w:type="dxa"/>
            <w:right w:w="108" w:type="dxa"/>
          </w:tblCellMar>
        </w:tblPrEx>
        <w:tc>
          <w:tcPr>
            <w:tcW w:w="1055" w:type="pct"/>
            <w:tcBorders>
              <w:top w:val="single" w:color="auto" w:sz="4" w:space="0"/>
              <w:left w:val="nil"/>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i/>
                <w:iCs/>
                <w:color w:val="auto"/>
                <w:kern w:val="0"/>
                <w:sz w:val="18"/>
                <w:szCs w:val="18"/>
                <w:lang w:bidi="ar"/>
              </w:rPr>
              <w:t>N</w:t>
            </w:r>
          </w:p>
        </w:tc>
        <w:tc>
          <w:tcPr>
            <w:tcW w:w="672"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3789</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3789</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3789</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22489</w:t>
            </w:r>
          </w:p>
        </w:tc>
        <w:tc>
          <w:tcPr>
            <w:tcW w:w="629"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22489</w:t>
            </w:r>
          </w:p>
        </w:tc>
        <w:tc>
          <w:tcPr>
            <w:tcW w:w="630" w:type="pct"/>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22489</w:t>
            </w:r>
          </w:p>
        </w:tc>
      </w:tr>
      <w:tr>
        <w:tblPrEx>
          <w:tblCellMar>
            <w:top w:w="0" w:type="dxa"/>
            <w:left w:w="108" w:type="dxa"/>
            <w:bottom w:w="0" w:type="dxa"/>
            <w:right w:w="108" w:type="dxa"/>
          </w:tblCellMar>
        </w:tblPrEx>
        <w:tc>
          <w:tcPr>
            <w:tcW w:w="1055" w:type="pct"/>
            <w:tcBorders>
              <w:top w:val="single" w:color="auto" w:sz="4" w:space="0"/>
              <w:left w:val="nil"/>
              <w:bottom w:val="doub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color w:val="auto"/>
                <w:kern w:val="0"/>
                <w:sz w:val="18"/>
                <w:szCs w:val="18"/>
                <w:lang w:bidi="ar"/>
              </w:rPr>
              <w:t>R</w:t>
            </w:r>
            <w:r>
              <w:rPr>
                <w:rFonts w:hint="eastAsia" w:ascii="仿宋" w:hAnsi="仿宋" w:eastAsia="仿宋" w:cs="仿宋"/>
                <w:color w:val="auto"/>
                <w:kern w:val="0"/>
                <w:sz w:val="18"/>
                <w:szCs w:val="18"/>
                <w:vertAlign w:val="superscript"/>
                <w:lang w:bidi="ar"/>
              </w:rPr>
              <w:t>2</w:t>
            </w:r>
          </w:p>
        </w:tc>
        <w:tc>
          <w:tcPr>
            <w:tcW w:w="672" w:type="pct"/>
            <w:tcBorders>
              <w:top w:val="single" w:color="auto" w:sz="4" w:space="0"/>
              <w:left w:val="single" w:color="auto" w:sz="4" w:space="0"/>
              <w:bottom w:val="doub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0.756</w:t>
            </w:r>
          </w:p>
        </w:tc>
        <w:tc>
          <w:tcPr>
            <w:tcW w:w="754" w:type="pct"/>
            <w:tcBorders>
              <w:top w:val="single" w:color="auto" w:sz="4" w:space="0"/>
              <w:left w:val="single" w:color="auto" w:sz="4" w:space="0"/>
              <w:bottom w:val="double" w:color="auto" w:sz="4" w:space="0"/>
              <w:right w:val="single" w:color="auto" w:sz="4" w:space="0"/>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0.517</w:t>
            </w:r>
          </w:p>
        </w:tc>
        <w:tc>
          <w:tcPr>
            <w:tcW w:w="629" w:type="pct"/>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c>
          <w:tcPr>
            <w:tcW w:w="629" w:type="pct"/>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0.466</w:t>
            </w:r>
          </w:p>
        </w:tc>
        <w:tc>
          <w:tcPr>
            <w:tcW w:w="629" w:type="pct"/>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0.421</w:t>
            </w:r>
          </w:p>
        </w:tc>
        <w:tc>
          <w:tcPr>
            <w:tcW w:w="630" w:type="pct"/>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p>
        </w:tc>
      </w:tr>
    </w:tbl>
    <w:p>
      <w:pPr>
        <w:ind w:firstLine="420" w:firstLineChars="200"/>
        <w:jc w:val="center"/>
        <w:rPr>
          <w:rFonts w:ascii="Times New Roman" w:hAnsi="Times New Roman" w:eastAsia="宋体" w:cs="Times New Roman"/>
          <w:color w:val="auto"/>
          <w:lang w:bidi="ar"/>
        </w:rPr>
      </w:pPr>
    </w:p>
    <w:p>
      <w:pPr>
        <w:ind w:firstLine="420" w:firstLineChars="200"/>
        <w:jc w:val="center"/>
        <w:rPr>
          <w:rFonts w:ascii="Times New Roman" w:hAnsi="Times New Roman" w:eastAsia="宋体" w:cs="Times New Roman"/>
          <w:color w:val="auto"/>
          <w:lang w:bidi="ar"/>
        </w:rPr>
      </w:pPr>
    </w:p>
    <w:p>
      <w:pPr>
        <w:ind w:firstLine="420" w:firstLineChars="200"/>
        <w:jc w:val="center"/>
        <w:rPr>
          <w:rFonts w:ascii="Times New Roman" w:hAnsi="Times New Roman" w:eastAsia="宋体" w:cs="Times New Roman"/>
          <w:color w:val="auto"/>
          <w:lang w:bidi="ar"/>
        </w:rPr>
      </w:pPr>
    </w:p>
    <w:p>
      <w:pPr>
        <w:ind w:firstLine="420" w:firstLineChars="200"/>
        <w:jc w:val="center"/>
        <w:rPr>
          <w:color w:val="auto"/>
        </w:rPr>
      </w:pPr>
      <w:r>
        <w:rPr>
          <w:rFonts w:ascii="Times New Roman" w:hAnsi="Times New Roman" w:eastAsia="宋体" w:cs="Times New Roman"/>
          <w:color w:val="auto"/>
          <w:lang w:bidi="ar"/>
        </w:rPr>
        <w:drawing>
          <wp:inline distT="0" distB="0" distL="114300" distR="114300">
            <wp:extent cx="2613660" cy="1905000"/>
            <wp:effectExtent l="0" t="0" r="7620" b="0"/>
            <wp:docPr id="4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3"/>
                    <pic:cNvPicPr>
                      <a:picLocks noChangeAspect="1"/>
                    </pic:cNvPicPr>
                  </pic:nvPicPr>
                  <pic:blipFill>
                    <a:blip r:embed="rId28"/>
                    <a:stretch>
                      <a:fillRect/>
                    </a:stretch>
                  </pic:blipFill>
                  <pic:spPr>
                    <a:xfrm>
                      <a:off x="0" y="0"/>
                      <a:ext cx="2613660" cy="1905000"/>
                    </a:xfrm>
                    <a:prstGeom prst="rect">
                      <a:avLst/>
                    </a:prstGeom>
                    <a:noFill/>
                    <a:ln>
                      <a:noFill/>
                    </a:ln>
                  </pic:spPr>
                </pic:pic>
              </a:graphicData>
            </a:graphic>
          </wp:inline>
        </w:drawing>
      </w:r>
    </w:p>
    <w:p>
      <w:pPr>
        <w:spacing w:after="120"/>
        <w:ind w:firstLine="402" w:firstLineChars="200"/>
        <w:jc w:val="center"/>
        <w:rPr>
          <w:rFonts w:ascii="Times New Roman" w:hAnsi="Times New Roman" w:eastAsia="宋体"/>
          <w:b/>
          <w:color w:val="auto"/>
          <w:sz w:val="20"/>
          <w:szCs w:val="21"/>
        </w:rPr>
      </w:pPr>
      <w:r>
        <w:rPr>
          <w:rFonts w:hint="eastAsia" w:ascii="Times New Roman" w:hAnsi="Times New Roman" w:eastAsia="宋体"/>
          <w:b/>
          <w:color w:val="auto"/>
          <w:sz w:val="20"/>
          <w:szCs w:val="21"/>
        </w:rPr>
        <w:t>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5</w:t>
      </w:r>
      <w:r>
        <w:rPr>
          <w:rFonts w:hint="eastAsia" w:ascii="Times New Roman" w:hAnsi="Times New Roman" w:eastAsia="宋体"/>
          <w:b/>
          <w:color w:val="auto"/>
          <w:sz w:val="20"/>
          <w:szCs w:val="21"/>
        </w:rPr>
        <w:t xml:space="preserve"> 局部线性估计更换不同带宽</w:t>
      </w:r>
    </w:p>
    <w:p>
      <w:pPr>
        <w:ind w:firstLine="420" w:firstLineChars="200"/>
        <w:jc w:val="center"/>
        <w:rPr>
          <w:color w:val="auto"/>
        </w:rPr>
      </w:pPr>
    </w:p>
    <w:p>
      <w:pPr>
        <w:ind w:firstLine="420" w:firstLineChars="200"/>
        <w:jc w:val="center"/>
        <w:rPr>
          <w:color w:val="auto"/>
        </w:rPr>
      </w:pPr>
      <w:r>
        <w:rPr>
          <w:color w:val="auto"/>
        </w:rPr>
        <w:drawing>
          <wp:inline distT="0" distB="0" distL="114300" distR="114300">
            <wp:extent cx="2473325" cy="1800225"/>
            <wp:effectExtent l="0" t="0" r="10795" b="13335"/>
            <wp:docPr id="4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0"/>
                    <pic:cNvPicPr>
                      <a:picLocks noChangeAspect="1"/>
                    </pic:cNvPicPr>
                  </pic:nvPicPr>
                  <pic:blipFill>
                    <a:blip r:embed="rId29"/>
                    <a:stretch>
                      <a:fillRect/>
                    </a:stretch>
                  </pic:blipFill>
                  <pic:spPr>
                    <a:xfrm>
                      <a:off x="0" y="0"/>
                      <a:ext cx="2473325" cy="1800225"/>
                    </a:xfrm>
                    <a:prstGeom prst="rect">
                      <a:avLst/>
                    </a:prstGeom>
                    <a:noFill/>
                    <a:ln>
                      <a:noFill/>
                    </a:ln>
                  </pic:spPr>
                </pic:pic>
              </a:graphicData>
            </a:graphic>
          </wp:inline>
        </w:drawing>
      </w:r>
    </w:p>
    <w:p>
      <w:pPr>
        <w:spacing w:after="120"/>
        <w:ind w:firstLine="402" w:firstLineChars="200"/>
        <w:jc w:val="center"/>
        <w:rPr>
          <w:rFonts w:ascii="Times New Roman" w:hAnsi="Times New Roman" w:eastAsia="宋体"/>
          <w:b/>
          <w:color w:val="auto"/>
          <w:sz w:val="20"/>
          <w:szCs w:val="21"/>
        </w:rPr>
      </w:pPr>
      <w:r>
        <w:rPr>
          <w:rFonts w:hint="eastAsia" w:ascii="Times New Roman" w:hAnsi="Times New Roman" w:eastAsia="宋体"/>
          <w:b/>
          <w:color w:val="auto"/>
          <w:sz w:val="20"/>
          <w:szCs w:val="21"/>
        </w:rPr>
        <w:t>图</w:t>
      </w:r>
      <w:r>
        <w:rPr>
          <w:rFonts w:hint="eastAsia" w:ascii="仿宋" w:hAnsi="仿宋" w:eastAsia="仿宋" w:cs="仿宋"/>
          <w:b/>
          <w:color w:val="auto"/>
          <w:sz w:val="20"/>
          <w:szCs w:val="21"/>
        </w:rPr>
        <w:t>Ⅲ</w:t>
      </w:r>
      <w:r>
        <w:rPr>
          <w:rFonts w:hint="eastAsia" w:ascii="Times New Roman" w:hAnsi="Times New Roman" w:eastAsia="宋体"/>
          <w:b/>
          <w:color w:val="auto"/>
          <w:sz w:val="20"/>
          <w:szCs w:val="21"/>
          <w:lang w:val="en-US" w:eastAsia="zh-CN"/>
        </w:rPr>
        <w:t xml:space="preserve">6 </w:t>
      </w:r>
      <w:r>
        <w:rPr>
          <w:rFonts w:hint="eastAsia" w:ascii="Times New Roman" w:hAnsi="Times New Roman" w:eastAsia="宋体"/>
          <w:b/>
          <w:color w:val="auto"/>
          <w:sz w:val="20"/>
          <w:szCs w:val="21"/>
        </w:rPr>
        <w:t>化学需氧量原始数据分布和全局</w:t>
      </w:r>
      <w:r>
        <w:rPr>
          <w:rFonts w:ascii="Times New Roman" w:hAnsi="Times New Roman" w:eastAsia="宋体"/>
          <w:b/>
          <w:color w:val="auto"/>
          <w:sz w:val="20"/>
          <w:szCs w:val="21"/>
        </w:rPr>
        <w:t>二阶多项式</w:t>
      </w:r>
      <w:r>
        <w:rPr>
          <w:rFonts w:hint="eastAsia" w:ascii="Times New Roman" w:hAnsi="Times New Roman" w:eastAsia="宋体"/>
          <w:b/>
          <w:color w:val="auto"/>
          <w:sz w:val="20"/>
          <w:szCs w:val="21"/>
        </w:rPr>
        <w:t>拟合</w:t>
      </w:r>
    </w:p>
    <w:p>
      <w:pPr>
        <w:adjustRightInd w:val="0"/>
        <w:snapToGrid w:val="0"/>
        <w:spacing w:before="120" w:line="300" w:lineRule="atLeast"/>
        <w:jc w:val="center"/>
        <w:rPr>
          <w:rFonts w:hint="eastAsia" w:ascii="Times New Roman" w:hAnsi="Times New Roman" w:eastAsia="宋体"/>
          <w:b/>
          <w:color w:val="auto"/>
          <w:sz w:val="20"/>
          <w:szCs w:val="21"/>
          <w:lang w:bidi="ar"/>
        </w:rPr>
      </w:pPr>
    </w:p>
    <w:p>
      <w:pPr>
        <w:adjustRightInd w:val="0"/>
        <w:snapToGrid w:val="0"/>
        <w:spacing w:before="120" w:line="300" w:lineRule="atLeast"/>
        <w:jc w:val="center"/>
        <w:rPr>
          <w:rFonts w:ascii="Times New Roman" w:hAnsi="Times New Roman" w:eastAsia="宋体"/>
          <w:b/>
          <w:color w:val="auto"/>
          <w:sz w:val="20"/>
          <w:szCs w:val="21"/>
          <w:lang w:bidi="ar"/>
        </w:rPr>
      </w:pPr>
      <w:r>
        <w:rPr>
          <w:rFonts w:hint="eastAsia" w:ascii="Times New Roman" w:hAnsi="Times New Roman" w:eastAsia="宋体"/>
          <w:b/>
          <w:color w:val="auto"/>
          <w:sz w:val="20"/>
          <w:szCs w:val="21"/>
          <w:lang w:bidi="ar"/>
        </w:rPr>
        <w:t>表</w:t>
      </w:r>
      <w:r>
        <w:rPr>
          <w:rFonts w:hint="eastAsia" w:ascii="仿宋" w:hAnsi="仿宋" w:eastAsia="仿宋" w:cs="仿宋"/>
          <w:b/>
          <w:color w:val="auto"/>
          <w:sz w:val="20"/>
          <w:szCs w:val="21"/>
          <w:lang w:val="en-US" w:eastAsia="zh-CN" w:bidi="ar"/>
        </w:rPr>
        <w:t>Ⅲ</w:t>
      </w:r>
      <w:r>
        <w:rPr>
          <w:rFonts w:hint="eastAsia" w:ascii="Times New Roman" w:hAnsi="Times New Roman" w:eastAsia="宋体"/>
          <w:b/>
          <w:color w:val="auto"/>
          <w:sz w:val="20"/>
          <w:szCs w:val="21"/>
          <w:lang w:val="en-US" w:eastAsia="zh-CN" w:bidi="ar"/>
        </w:rPr>
        <w:t>4</w:t>
      </w:r>
      <w:r>
        <w:rPr>
          <w:rFonts w:hint="eastAsia" w:ascii="Times New Roman" w:hAnsi="Times New Roman" w:eastAsia="宋体"/>
          <w:b/>
          <w:color w:val="auto"/>
          <w:sz w:val="20"/>
          <w:szCs w:val="21"/>
          <w:lang w:bidi="ar"/>
        </w:rPr>
        <w:t xml:space="preserve"> 化学需氧量稳健性检验</w:t>
      </w:r>
    </w:p>
    <w:tbl>
      <w:tblPr>
        <w:tblStyle w:val="8"/>
        <w:tblW w:w="0" w:type="auto"/>
        <w:tblInd w:w="0" w:type="dxa"/>
        <w:tblLayout w:type="autofit"/>
        <w:tblCellMar>
          <w:top w:w="0" w:type="dxa"/>
          <w:left w:w="108" w:type="dxa"/>
          <w:bottom w:w="0" w:type="dxa"/>
          <w:right w:w="108" w:type="dxa"/>
        </w:tblCellMar>
      </w:tblPr>
      <w:tblGrid>
        <w:gridCol w:w="1609"/>
        <w:gridCol w:w="1206"/>
        <w:gridCol w:w="1206"/>
        <w:gridCol w:w="936"/>
        <w:gridCol w:w="1169"/>
        <w:gridCol w:w="1402"/>
        <w:gridCol w:w="994"/>
      </w:tblGrid>
      <w:tr>
        <w:tblPrEx>
          <w:tblCellMar>
            <w:top w:w="0" w:type="dxa"/>
            <w:left w:w="108" w:type="dxa"/>
            <w:bottom w:w="0" w:type="dxa"/>
            <w:right w:w="108" w:type="dxa"/>
          </w:tblCellMar>
        </w:tblPrEx>
        <w:tc>
          <w:tcPr>
            <w:tcW w:w="0" w:type="auto"/>
            <w:tcBorders>
              <w:top w:val="doub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(3)</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(5)</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(4)</w:t>
            </w:r>
          </w:p>
        </w:tc>
        <w:tc>
          <w:tcPr>
            <w:tcW w:w="0" w:type="auto"/>
            <w:tcBorders>
              <w:top w:val="doub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w:t>
            </w:r>
          </w:p>
        </w:tc>
      </w:tr>
      <w:tr>
        <w:tblPrEx>
          <w:tblCellMar>
            <w:top w:w="0" w:type="dxa"/>
            <w:left w:w="108" w:type="dxa"/>
            <w:bottom w:w="0" w:type="dxa"/>
            <w:right w:w="108" w:type="dxa"/>
          </w:tblCellMar>
        </w:tblPrEx>
        <w:tc>
          <w:tcPr>
            <w:tcW w:w="0" w:type="auto"/>
            <w:tcBorders>
              <w:top w:val="sing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Cutoff×0.5</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Cutoff×1.5</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Donut RD</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检验驱动变量</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排除其他政策干扰</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更换聚类</w:t>
            </w:r>
          </w:p>
        </w:tc>
      </w:tr>
      <w:tr>
        <w:tblPrEx>
          <w:tblCellMar>
            <w:top w:w="0" w:type="dxa"/>
            <w:left w:w="108" w:type="dxa"/>
            <w:bottom w:w="0" w:type="dxa"/>
            <w:right w:w="108" w:type="dxa"/>
          </w:tblCellMar>
        </w:tblPrEx>
        <w:tc>
          <w:tcPr>
            <w:tcW w:w="0" w:type="auto"/>
            <w:tcBorders>
              <w:top w:val="sing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COD(log)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COD(log)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COD(log)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COD(log)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COD(log)</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COD(log)</w:t>
            </w:r>
          </w:p>
        </w:tc>
      </w:tr>
      <w:tr>
        <w:tblPrEx>
          <w:tblCellMar>
            <w:top w:w="0" w:type="dxa"/>
            <w:left w:w="108" w:type="dxa"/>
            <w:bottom w:w="0" w:type="dxa"/>
            <w:right w:w="108" w:type="dxa"/>
          </w:tblCellMar>
        </w:tblPrEx>
        <w:trPr>
          <w:trHeight w:val="90" w:hRule="atLeast"/>
        </w:trPr>
        <w:tc>
          <w:tcPr>
            <w:tcW w:w="0" w:type="auto"/>
            <w:tcBorders>
              <w:top w:val="single" w:color="auto" w:sz="4" w:space="0"/>
              <w:left w:val="nil"/>
              <w:bottom w:val="nil"/>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TaxSource</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-30.822</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10.200</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0.338**</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0.311**</w:t>
            </w:r>
          </w:p>
        </w:tc>
        <w:tc>
          <w:tcPr>
            <w:tcW w:w="0" w:type="auto"/>
            <w:tcBorders>
              <w:top w:val="single" w:color="auto" w:sz="4" w:space="0"/>
              <w:left w:val="single" w:color="auto" w:sz="4" w:space="0"/>
              <w:bottom w:val="nil"/>
              <w:right w:val="nil"/>
            </w:tcBorders>
            <w:shd w:val="clear" w:color="auto" w:fill="auto"/>
            <w:vAlign w:val="top"/>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0.271*</w:t>
            </w:r>
          </w:p>
        </w:tc>
        <w:tc>
          <w:tcPr>
            <w:tcW w:w="0" w:type="auto"/>
            <w:tcBorders>
              <w:top w:val="single" w:color="auto" w:sz="4" w:space="0"/>
              <w:left w:val="single" w:color="auto" w:sz="4" w:space="0"/>
              <w:bottom w:val="nil"/>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0.325*</w:t>
            </w:r>
          </w:p>
        </w:tc>
      </w:tr>
      <w:tr>
        <w:tblPrEx>
          <w:tblCellMar>
            <w:top w:w="0" w:type="dxa"/>
            <w:left w:w="108" w:type="dxa"/>
            <w:bottom w:w="0" w:type="dxa"/>
            <w:right w:w="108" w:type="dxa"/>
          </w:tblCellMar>
        </w:tblPrEx>
        <w:tc>
          <w:tcPr>
            <w:tcW w:w="0" w:type="auto"/>
            <w:tcBorders>
              <w:top w:val="nil"/>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(206.667)</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(16.422)</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(0.162)</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(0.145)</w:t>
            </w:r>
          </w:p>
        </w:tc>
        <w:tc>
          <w:tcPr>
            <w:tcW w:w="0" w:type="auto"/>
            <w:tcBorders>
              <w:top w:val="nil"/>
              <w:left w:val="single" w:color="auto" w:sz="4" w:space="0"/>
              <w:bottom w:val="single" w:color="auto" w:sz="4" w:space="0"/>
              <w:right w:val="nil"/>
            </w:tcBorders>
            <w:shd w:val="clear" w:color="auto" w:fill="auto"/>
            <w:vAlign w:val="top"/>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(0.143)</w:t>
            </w:r>
          </w:p>
        </w:tc>
        <w:tc>
          <w:tcPr>
            <w:tcW w:w="0" w:type="auto"/>
            <w:tcBorders>
              <w:top w:val="nil"/>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(0.192)</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个体固定效应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时间固定效应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省份-时间固定效应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城市-行业固定效应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所有权-时间固定效应</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驱动变量及交互项</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c>
          <w:tcPr>
            <w:tcW w:w="0" w:type="auto"/>
            <w:tcBorders>
              <w:top w:val="single" w:color="auto" w:sz="4" w:space="0"/>
              <w:left w:val="single" w:color="auto" w:sz="4" w:space="0"/>
              <w:bottom w:val="single" w:color="auto" w:sz="4" w:space="0"/>
              <w:right w:val="nil"/>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控制</w:t>
            </w:r>
          </w:p>
        </w:tc>
      </w:tr>
      <w:tr>
        <w:tblPrEx>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标准误聚类</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vAlign w:val="top"/>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企业</w:t>
            </w:r>
          </w:p>
        </w:tc>
        <w:tc>
          <w:tcPr>
            <w:tcW w:w="0" w:type="auto"/>
            <w:tcBorders>
              <w:top w:val="single" w:color="auto" w:sz="4" w:space="0"/>
              <w:left w:val="single" w:color="auto" w:sz="4" w:space="0"/>
              <w:bottom w:val="sing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城市-行业</w:t>
            </w:r>
          </w:p>
        </w:tc>
      </w:tr>
      <w:tr>
        <w:tblPrEx>
          <w:tblCellMar>
            <w:top w:w="0" w:type="dxa"/>
            <w:left w:w="108" w:type="dxa"/>
            <w:bottom w:w="0" w:type="dxa"/>
            <w:right w:w="108" w:type="dxa"/>
          </w:tblCellMar>
        </w:tblPrEx>
        <w:tc>
          <w:tcPr>
            <w:tcW w:w="0" w:type="auto"/>
            <w:tcBorders>
              <w:top w:val="single" w:color="auto" w:sz="4" w:space="0"/>
              <w:left w:val="nil"/>
              <w:bottom w:val="double" w:color="auto" w:sz="4" w:space="0"/>
              <w:right w:val="single" w:color="auto" w:sz="4" w:space="0"/>
            </w:tcBorders>
            <w:shd w:val="clear" w:color="auto" w:fill="auto"/>
            <w:vAlign w:val="center"/>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i/>
                <w:iCs/>
                <w:color w:val="auto"/>
                <w:kern w:val="0"/>
                <w:sz w:val="18"/>
                <w:szCs w:val="18"/>
                <w:lang w:bidi="ar"/>
              </w:rPr>
              <w:t>N</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15495</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2642</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3429</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3529</w:t>
            </w:r>
          </w:p>
        </w:tc>
        <w:tc>
          <w:tcPr>
            <w:tcW w:w="0" w:type="auto"/>
            <w:tcBorders>
              <w:top w:val="single" w:color="auto" w:sz="4" w:space="0"/>
              <w:left w:val="single" w:color="auto" w:sz="4" w:space="0"/>
              <w:bottom w:val="double" w:color="auto" w:sz="4" w:space="0"/>
              <w:right w:val="nil"/>
            </w:tcBorders>
            <w:shd w:val="clear" w:color="auto" w:fill="auto"/>
            <w:vAlign w:val="top"/>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rPr>
              <w:t>3401</w:t>
            </w:r>
          </w:p>
        </w:tc>
        <w:tc>
          <w:tcPr>
            <w:tcW w:w="0" w:type="auto"/>
            <w:tcBorders>
              <w:top w:val="single" w:color="auto" w:sz="4" w:space="0"/>
              <w:left w:val="single" w:color="auto" w:sz="4" w:space="0"/>
              <w:bottom w:val="double" w:color="auto" w:sz="4" w:space="0"/>
              <w:right w:val="nil"/>
            </w:tcBorders>
            <w:shd w:val="clear" w:color="auto" w:fill="auto"/>
          </w:tcPr>
          <w:p>
            <w:pPr>
              <w:autoSpaceDE w:val="0"/>
              <w:autoSpaceDN w:val="0"/>
              <w:adjustRightInd w:val="0"/>
              <w:snapToGrid w:val="0"/>
              <w:jc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3789</w:t>
            </w:r>
          </w:p>
        </w:tc>
      </w:tr>
    </w:tbl>
    <w:p>
      <w:pPr>
        <w:jc w:val="both"/>
        <w:rPr>
          <w:rFonts w:hint="default"/>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参考文献</w:t>
      </w:r>
    </w:p>
    <w:p>
      <w:pPr>
        <w:numPr>
          <w:ilvl w:val="0"/>
          <w:numId w:val="1"/>
        </w:numPr>
        <w:ind w:left="425" w:leftChars="0" w:hanging="425" w:firstLineChars="0"/>
        <w:jc w:val="both"/>
        <w:rPr>
          <w:rFonts w:hint="default" w:ascii="Times New Roman" w:hAnsi="Times New Roman" w:eastAsia="宋体" w:cs="Times New Roman"/>
          <w:color w:val="auto"/>
          <w:sz w:val="20"/>
          <w:szCs w:val="20"/>
          <w:lang w:val="en-US" w:eastAsia="zh-CN" w:bidi="ar"/>
        </w:rPr>
      </w:pPr>
      <w:r>
        <w:rPr>
          <w:rFonts w:hint="default" w:ascii="Times New Roman" w:hAnsi="Times New Roman" w:eastAsia="宋体" w:cs="Times New Roman"/>
          <w:color w:val="auto"/>
          <w:sz w:val="20"/>
          <w:szCs w:val="20"/>
          <w:lang w:val="en-US" w:eastAsia="zh-CN" w:bidi="ar"/>
        </w:rPr>
        <w:t>Abadie, A., S.</w:t>
      </w:r>
      <w:r>
        <w:rPr>
          <w:rFonts w:hint="eastAsia" w:ascii="Times New Roman" w:hAnsi="Times New Roman" w:eastAsia="宋体" w:cs="Times New Roman"/>
          <w:color w:val="auto"/>
          <w:sz w:val="20"/>
          <w:szCs w:val="20"/>
          <w:lang w:val="en-US" w:eastAsia="zh-CN" w:bidi="ar"/>
        </w:rPr>
        <w:t xml:space="preserve"> </w:t>
      </w:r>
      <w:r>
        <w:rPr>
          <w:rFonts w:hint="default" w:ascii="Times New Roman" w:hAnsi="Times New Roman" w:eastAsia="宋体" w:cs="Times New Roman"/>
          <w:color w:val="auto"/>
          <w:sz w:val="20"/>
          <w:szCs w:val="20"/>
          <w:lang w:val="en-US" w:eastAsia="zh-CN" w:bidi="ar"/>
        </w:rPr>
        <w:t>Athey, G.</w:t>
      </w:r>
      <w:r>
        <w:rPr>
          <w:rFonts w:hint="eastAsia" w:ascii="Times New Roman" w:hAnsi="Times New Roman" w:eastAsia="宋体" w:cs="Times New Roman"/>
          <w:color w:val="auto"/>
          <w:sz w:val="20"/>
          <w:szCs w:val="20"/>
          <w:lang w:val="en-US" w:eastAsia="zh-CN" w:bidi="ar"/>
        </w:rPr>
        <w:t xml:space="preserve"> </w:t>
      </w:r>
      <w:r>
        <w:rPr>
          <w:rFonts w:hint="default" w:ascii="Times New Roman" w:hAnsi="Times New Roman" w:eastAsia="宋体" w:cs="Times New Roman"/>
          <w:color w:val="auto"/>
          <w:sz w:val="20"/>
          <w:szCs w:val="20"/>
          <w:lang w:val="en-US" w:eastAsia="zh-CN" w:bidi="ar"/>
        </w:rPr>
        <w:t xml:space="preserve">Imbens, </w:t>
      </w:r>
      <w:r>
        <w:rPr>
          <w:rFonts w:hint="eastAsia" w:ascii="Times New Roman" w:hAnsi="Times New Roman" w:eastAsia="宋体" w:cs="Times New Roman"/>
          <w:color w:val="auto"/>
          <w:sz w:val="20"/>
          <w:szCs w:val="20"/>
          <w:lang w:val="en-US" w:eastAsia="zh-CN" w:bidi="ar"/>
        </w:rPr>
        <w:t>and</w:t>
      </w:r>
      <w:r>
        <w:rPr>
          <w:rFonts w:hint="default" w:ascii="Times New Roman" w:hAnsi="Times New Roman" w:eastAsia="宋体" w:cs="Times New Roman"/>
          <w:color w:val="auto"/>
          <w:sz w:val="20"/>
          <w:szCs w:val="20"/>
          <w:lang w:val="en-US" w:eastAsia="zh-CN" w:bidi="ar"/>
        </w:rPr>
        <w:t xml:space="preserve"> </w:t>
      </w:r>
      <w:r>
        <w:rPr>
          <w:rFonts w:hint="eastAsia" w:ascii="Times New Roman" w:hAnsi="Times New Roman" w:eastAsia="宋体" w:cs="Times New Roman"/>
          <w:color w:val="auto"/>
          <w:sz w:val="20"/>
          <w:szCs w:val="20"/>
          <w:lang w:val="en-US" w:eastAsia="zh-CN" w:bidi="ar"/>
        </w:rPr>
        <w:t xml:space="preserve">J. </w:t>
      </w:r>
      <w:r>
        <w:rPr>
          <w:rFonts w:hint="default" w:ascii="Times New Roman" w:hAnsi="Times New Roman" w:eastAsia="宋体" w:cs="Times New Roman"/>
          <w:color w:val="auto"/>
          <w:sz w:val="20"/>
          <w:szCs w:val="20"/>
          <w:lang w:val="en-US" w:eastAsia="zh-CN" w:bidi="ar"/>
        </w:rPr>
        <w:t xml:space="preserve">Wooldridge, “When </w:t>
      </w:r>
      <w:r>
        <w:rPr>
          <w:rFonts w:hint="eastAsia" w:ascii="Times New Roman" w:hAnsi="Times New Roman" w:eastAsia="宋体" w:cs="Times New Roman"/>
          <w:color w:val="auto"/>
          <w:sz w:val="20"/>
          <w:szCs w:val="20"/>
          <w:lang w:val="en-US" w:eastAsia="zh-CN" w:bidi="ar"/>
        </w:rPr>
        <w:t>S</w:t>
      </w:r>
      <w:r>
        <w:rPr>
          <w:rFonts w:hint="default" w:ascii="Times New Roman" w:hAnsi="Times New Roman" w:eastAsia="宋体" w:cs="Times New Roman"/>
          <w:color w:val="auto"/>
          <w:sz w:val="20"/>
          <w:szCs w:val="20"/>
          <w:lang w:val="en-US" w:eastAsia="zh-CN" w:bidi="ar"/>
        </w:rPr>
        <w:t xml:space="preserve">hould </w:t>
      </w:r>
      <w:r>
        <w:rPr>
          <w:rFonts w:hint="eastAsia" w:ascii="Times New Roman" w:hAnsi="Times New Roman" w:eastAsia="宋体" w:cs="Times New Roman"/>
          <w:color w:val="auto"/>
          <w:sz w:val="20"/>
          <w:szCs w:val="20"/>
          <w:lang w:val="en-US" w:eastAsia="zh-CN" w:bidi="ar"/>
        </w:rPr>
        <w:t>Y</w:t>
      </w:r>
      <w:r>
        <w:rPr>
          <w:rFonts w:hint="default" w:ascii="Times New Roman" w:hAnsi="Times New Roman" w:eastAsia="宋体" w:cs="Times New Roman"/>
          <w:color w:val="auto"/>
          <w:sz w:val="20"/>
          <w:szCs w:val="20"/>
          <w:lang w:val="en-US" w:eastAsia="zh-CN" w:bidi="ar"/>
        </w:rPr>
        <w:t xml:space="preserve">ou </w:t>
      </w:r>
      <w:r>
        <w:rPr>
          <w:rFonts w:hint="eastAsia" w:ascii="Times New Roman" w:hAnsi="Times New Roman" w:eastAsia="宋体" w:cs="Times New Roman"/>
          <w:color w:val="auto"/>
          <w:sz w:val="20"/>
          <w:szCs w:val="20"/>
          <w:lang w:val="en-US" w:eastAsia="zh-CN" w:bidi="ar"/>
        </w:rPr>
        <w:t>A</w:t>
      </w:r>
      <w:r>
        <w:rPr>
          <w:rFonts w:hint="default" w:ascii="Times New Roman" w:hAnsi="Times New Roman" w:eastAsia="宋体" w:cs="Times New Roman"/>
          <w:color w:val="auto"/>
          <w:sz w:val="20"/>
          <w:szCs w:val="20"/>
          <w:lang w:val="en-US" w:eastAsia="zh-CN" w:bidi="ar"/>
        </w:rPr>
        <w:t xml:space="preserve">djust </w:t>
      </w:r>
      <w:r>
        <w:rPr>
          <w:rFonts w:hint="eastAsia" w:ascii="Times New Roman" w:hAnsi="Times New Roman" w:eastAsia="宋体" w:cs="Times New Roman"/>
          <w:color w:val="auto"/>
          <w:sz w:val="20"/>
          <w:szCs w:val="20"/>
          <w:lang w:val="en-US" w:eastAsia="zh-CN" w:bidi="ar"/>
        </w:rPr>
        <w:t>S</w:t>
      </w:r>
      <w:r>
        <w:rPr>
          <w:rFonts w:hint="default" w:ascii="Times New Roman" w:hAnsi="Times New Roman" w:eastAsia="宋体" w:cs="Times New Roman"/>
          <w:color w:val="auto"/>
          <w:sz w:val="20"/>
          <w:szCs w:val="20"/>
          <w:lang w:val="en-US" w:eastAsia="zh-CN" w:bidi="ar"/>
        </w:rPr>
        <w:t xml:space="preserve">tandard </w:t>
      </w:r>
      <w:r>
        <w:rPr>
          <w:rFonts w:hint="eastAsia" w:ascii="Times New Roman" w:hAnsi="Times New Roman" w:eastAsia="宋体" w:cs="Times New Roman"/>
          <w:color w:val="auto"/>
          <w:sz w:val="20"/>
          <w:szCs w:val="20"/>
          <w:lang w:val="en-US" w:eastAsia="zh-CN" w:bidi="ar"/>
        </w:rPr>
        <w:t>E</w:t>
      </w:r>
      <w:r>
        <w:rPr>
          <w:rFonts w:hint="default" w:ascii="Times New Roman" w:hAnsi="Times New Roman" w:eastAsia="宋体" w:cs="Times New Roman"/>
          <w:color w:val="auto"/>
          <w:sz w:val="20"/>
          <w:szCs w:val="20"/>
          <w:lang w:val="en-US" w:eastAsia="zh-CN" w:bidi="ar"/>
        </w:rPr>
        <w:t xml:space="preserve">rrors for </w:t>
      </w:r>
      <w:r>
        <w:rPr>
          <w:rFonts w:hint="eastAsia" w:ascii="Times New Roman" w:hAnsi="Times New Roman" w:eastAsia="宋体" w:cs="Times New Roman"/>
          <w:color w:val="auto"/>
          <w:sz w:val="20"/>
          <w:szCs w:val="20"/>
          <w:lang w:val="en-US" w:eastAsia="zh-CN" w:bidi="ar"/>
        </w:rPr>
        <w:t>C</w:t>
      </w:r>
      <w:r>
        <w:rPr>
          <w:rFonts w:hint="default" w:ascii="Times New Roman" w:hAnsi="Times New Roman" w:eastAsia="宋体" w:cs="Times New Roman"/>
          <w:color w:val="auto"/>
          <w:sz w:val="20"/>
          <w:szCs w:val="20"/>
          <w:lang w:val="en-US" w:eastAsia="zh-CN" w:bidi="ar"/>
        </w:rPr>
        <w:t>lustering?”</w:t>
      </w:r>
      <w:r>
        <w:rPr>
          <w:rFonts w:hint="eastAsia" w:ascii="Times New Roman" w:hAnsi="Times New Roman" w:eastAsia="宋体" w:cs="Times New Roman"/>
          <w:color w:val="auto"/>
          <w:sz w:val="20"/>
          <w:szCs w:val="20"/>
          <w:lang w:val="en-US" w:eastAsia="zh-CN" w:bidi="ar"/>
        </w:rPr>
        <w:t>,</w:t>
      </w:r>
      <w:r>
        <w:rPr>
          <w:rFonts w:hint="default" w:ascii="Times New Roman" w:hAnsi="Times New Roman" w:eastAsia="宋体" w:cs="Times New Roman"/>
          <w:color w:val="auto"/>
          <w:sz w:val="20"/>
          <w:szCs w:val="20"/>
          <w:lang w:val="en-US" w:eastAsia="zh-CN" w:bidi="ar"/>
        </w:rPr>
        <w:t> </w:t>
      </w:r>
      <w:r>
        <w:rPr>
          <w:rFonts w:hint="default" w:ascii="Times New Roman" w:hAnsi="Times New Roman" w:eastAsia="宋体" w:cs="Times New Roman"/>
          <w:i/>
          <w:iCs/>
          <w:color w:val="auto"/>
          <w:sz w:val="20"/>
          <w:szCs w:val="20"/>
          <w:lang w:val="en-US" w:eastAsia="zh-CN" w:bidi="ar"/>
        </w:rPr>
        <w:t>The Quarterly Journal of Economics</w:t>
      </w:r>
      <w:r>
        <w:rPr>
          <w:rFonts w:hint="eastAsia" w:ascii="Times New Roman" w:hAnsi="Times New Roman" w:eastAsia="宋体" w:cs="Times New Roman"/>
          <w:color w:val="auto"/>
          <w:sz w:val="20"/>
          <w:szCs w:val="20"/>
          <w:lang w:val="en-US" w:eastAsia="zh-CN" w:bidi="ar"/>
        </w:rPr>
        <w:t>, 2023</w:t>
      </w:r>
      <w:r>
        <w:rPr>
          <w:rFonts w:hint="default" w:ascii="Times New Roman" w:hAnsi="Times New Roman" w:eastAsia="宋体" w:cs="Times New Roman"/>
          <w:color w:val="auto"/>
          <w:sz w:val="20"/>
          <w:szCs w:val="20"/>
          <w:lang w:val="en-US" w:eastAsia="zh-CN" w:bidi="ar"/>
        </w:rPr>
        <w:t>, 138(1), 1-35.</w:t>
      </w:r>
    </w:p>
    <w:p>
      <w:pPr>
        <w:numPr>
          <w:ilvl w:val="0"/>
          <w:numId w:val="1"/>
        </w:numPr>
        <w:ind w:left="425" w:leftChars="0" w:hanging="425" w:firstLineChars="0"/>
        <w:jc w:val="both"/>
        <w:rPr>
          <w:rFonts w:hint="default" w:ascii="Times New Roman" w:hAnsi="Times New Roman" w:eastAsia="宋体" w:cs="Times New Roman"/>
          <w:color w:val="auto"/>
          <w:sz w:val="20"/>
          <w:szCs w:val="20"/>
          <w:lang w:val="en-US" w:eastAsia="zh-CN" w:bidi="ar"/>
        </w:rPr>
      </w:pPr>
      <w:r>
        <w:rPr>
          <w:rFonts w:ascii="Times New Roman" w:hAnsi="Times New Roman" w:eastAsia="宋体" w:cs="Times New Roman"/>
          <w:color w:val="auto"/>
          <w:sz w:val="20"/>
          <w:szCs w:val="20"/>
          <w:lang w:bidi="ar"/>
        </w:rPr>
        <w:t xml:space="preserve">Chen, S., </w:t>
      </w:r>
      <w:r>
        <w:rPr>
          <w:rFonts w:hint="eastAsia" w:ascii="Times New Roman" w:hAnsi="Times New Roman" w:eastAsia="宋体" w:cs="Times New Roman"/>
          <w:color w:val="auto"/>
          <w:sz w:val="20"/>
          <w:szCs w:val="20"/>
          <w:lang w:val="en-US" w:eastAsia="zh-CN" w:bidi="ar"/>
        </w:rPr>
        <w:t xml:space="preserve">H. </w:t>
      </w:r>
      <w:r>
        <w:rPr>
          <w:rFonts w:ascii="Times New Roman" w:hAnsi="Times New Roman" w:eastAsia="宋体" w:cs="Times New Roman"/>
          <w:color w:val="auto"/>
          <w:sz w:val="20"/>
          <w:szCs w:val="20"/>
          <w:lang w:bidi="ar"/>
        </w:rPr>
        <w:t xml:space="preserve">Song, </w:t>
      </w:r>
      <w:r>
        <w:rPr>
          <w:rFonts w:hint="eastAsia" w:ascii="Times New Roman" w:hAnsi="Times New Roman" w:eastAsia="宋体" w:cs="Times New Roman"/>
          <w:color w:val="auto"/>
          <w:sz w:val="20"/>
          <w:szCs w:val="20"/>
          <w:lang w:val="en-US" w:eastAsia="zh-CN" w:bidi="ar"/>
        </w:rPr>
        <w:t>and</w:t>
      </w:r>
      <w:r>
        <w:rPr>
          <w:rFonts w:ascii="Times New Roman" w:hAnsi="Times New Roman" w:eastAsia="宋体" w:cs="Times New Roman"/>
          <w:color w:val="auto"/>
          <w:sz w:val="20"/>
          <w:szCs w:val="20"/>
          <w:lang w:bidi="ar"/>
        </w:rPr>
        <w:t xml:space="preserve"> </w:t>
      </w:r>
      <w:r>
        <w:rPr>
          <w:rFonts w:hint="eastAsia" w:ascii="Times New Roman" w:hAnsi="Times New Roman" w:eastAsia="宋体" w:cs="Times New Roman"/>
          <w:color w:val="auto"/>
          <w:sz w:val="20"/>
          <w:szCs w:val="20"/>
          <w:lang w:val="en-US" w:eastAsia="zh-CN" w:bidi="ar"/>
        </w:rPr>
        <w:t xml:space="preserve">C. </w:t>
      </w:r>
      <w:r>
        <w:rPr>
          <w:rFonts w:ascii="Times New Roman" w:hAnsi="Times New Roman" w:eastAsia="宋体" w:cs="Times New Roman"/>
          <w:color w:val="auto"/>
          <w:sz w:val="20"/>
          <w:szCs w:val="20"/>
          <w:lang w:bidi="ar"/>
        </w:rPr>
        <w:t xml:space="preserve">Wu, </w:t>
      </w:r>
      <w:r>
        <w:rPr>
          <w:rFonts w:hint="default" w:ascii="Times New Roman" w:hAnsi="Times New Roman" w:eastAsia="宋体" w:cs="Times New Roman"/>
          <w:color w:val="auto"/>
          <w:sz w:val="20"/>
          <w:szCs w:val="20"/>
          <w:lang w:val="en-US" w:eastAsia="zh-CN" w:bidi="ar"/>
        </w:rPr>
        <w:t>“</w:t>
      </w:r>
      <w:r>
        <w:rPr>
          <w:rFonts w:ascii="Times New Roman" w:hAnsi="Times New Roman" w:eastAsia="宋体" w:cs="Times New Roman"/>
          <w:color w:val="auto"/>
          <w:sz w:val="20"/>
          <w:szCs w:val="20"/>
          <w:lang w:bidi="ar"/>
        </w:rPr>
        <w:t xml:space="preserve">Human </w:t>
      </w:r>
      <w:r>
        <w:rPr>
          <w:rFonts w:hint="eastAsia" w:ascii="Times New Roman" w:hAnsi="Times New Roman" w:eastAsia="宋体" w:cs="Times New Roman"/>
          <w:color w:val="auto"/>
          <w:sz w:val="20"/>
          <w:szCs w:val="20"/>
          <w:lang w:val="en-US" w:eastAsia="zh-CN" w:bidi="ar"/>
        </w:rPr>
        <w:t>C</w:t>
      </w:r>
      <w:r>
        <w:rPr>
          <w:rFonts w:ascii="Times New Roman" w:hAnsi="Times New Roman" w:eastAsia="宋体" w:cs="Times New Roman"/>
          <w:color w:val="auto"/>
          <w:sz w:val="20"/>
          <w:szCs w:val="20"/>
          <w:lang w:bidi="ar"/>
        </w:rPr>
        <w:t xml:space="preserve">apital </w:t>
      </w:r>
      <w:r>
        <w:rPr>
          <w:rFonts w:hint="eastAsia" w:ascii="Times New Roman" w:hAnsi="Times New Roman" w:eastAsia="宋体" w:cs="Times New Roman"/>
          <w:color w:val="auto"/>
          <w:sz w:val="20"/>
          <w:szCs w:val="20"/>
          <w:lang w:val="en-US" w:eastAsia="zh-CN" w:bidi="ar"/>
        </w:rPr>
        <w:t>I</w:t>
      </w:r>
      <w:r>
        <w:rPr>
          <w:rFonts w:ascii="Times New Roman" w:hAnsi="Times New Roman" w:eastAsia="宋体" w:cs="Times New Roman"/>
          <w:color w:val="auto"/>
          <w:sz w:val="20"/>
          <w:szCs w:val="20"/>
          <w:lang w:bidi="ar"/>
        </w:rPr>
        <w:t xml:space="preserve">nvestment and </w:t>
      </w:r>
      <w:r>
        <w:rPr>
          <w:rFonts w:hint="eastAsia" w:ascii="Times New Roman" w:hAnsi="Times New Roman" w:eastAsia="宋体" w:cs="Times New Roman"/>
          <w:color w:val="auto"/>
          <w:sz w:val="20"/>
          <w:szCs w:val="20"/>
          <w:lang w:val="en-US" w:eastAsia="zh-CN" w:bidi="ar"/>
        </w:rPr>
        <w:t>F</w:t>
      </w:r>
      <w:r>
        <w:rPr>
          <w:rFonts w:ascii="Times New Roman" w:hAnsi="Times New Roman" w:eastAsia="宋体" w:cs="Times New Roman"/>
          <w:color w:val="auto"/>
          <w:sz w:val="20"/>
          <w:szCs w:val="20"/>
          <w:lang w:bidi="ar"/>
        </w:rPr>
        <w:t xml:space="preserve">irms’ </w:t>
      </w:r>
      <w:r>
        <w:rPr>
          <w:rFonts w:hint="eastAsia" w:ascii="Times New Roman" w:hAnsi="Times New Roman" w:eastAsia="宋体" w:cs="Times New Roman"/>
          <w:color w:val="auto"/>
          <w:sz w:val="20"/>
          <w:szCs w:val="20"/>
          <w:lang w:val="en-US" w:eastAsia="zh-CN" w:bidi="ar"/>
        </w:rPr>
        <w:t>I</w:t>
      </w:r>
      <w:r>
        <w:rPr>
          <w:rFonts w:ascii="Times New Roman" w:hAnsi="Times New Roman" w:eastAsia="宋体" w:cs="Times New Roman"/>
          <w:color w:val="auto"/>
          <w:sz w:val="20"/>
          <w:szCs w:val="20"/>
          <w:lang w:bidi="ar"/>
        </w:rPr>
        <w:t xml:space="preserve">ndustrial </w:t>
      </w:r>
      <w:r>
        <w:rPr>
          <w:rFonts w:hint="eastAsia" w:ascii="Times New Roman" w:hAnsi="Times New Roman" w:eastAsia="宋体" w:cs="Times New Roman"/>
          <w:color w:val="auto"/>
          <w:sz w:val="20"/>
          <w:szCs w:val="20"/>
          <w:lang w:val="en-US" w:eastAsia="zh-CN" w:bidi="ar"/>
        </w:rPr>
        <w:t>E</w:t>
      </w:r>
      <w:r>
        <w:rPr>
          <w:rFonts w:ascii="Times New Roman" w:hAnsi="Times New Roman" w:eastAsia="宋体" w:cs="Times New Roman"/>
          <w:color w:val="auto"/>
          <w:sz w:val="20"/>
          <w:szCs w:val="20"/>
          <w:lang w:bidi="ar"/>
        </w:rPr>
        <w:t>missions: Evidence and mechanism</w:t>
      </w:r>
      <w:r>
        <w:rPr>
          <w:rFonts w:hint="default" w:ascii="Times New Roman" w:hAnsi="Times New Roman" w:eastAsia="宋体" w:cs="Times New Roman"/>
          <w:color w:val="auto"/>
          <w:sz w:val="20"/>
          <w:szCs w:val="20"/>
          <w:lang w:val="en-US" w:eastAsia="zh-CN" w:bidi="ar"/>
        </w:rPr>
        <w:t>”</w:t>
      </w:r>
      <w:r>
        <w:rPr>
          <w:rFonts w:hint="eastAsia" w:ascii="Times New Roman" w:hAnsi="Times New Roman" w:eastAsia="宋体" w:cs="Times New Roman"/>
          <w:color w:val="auto"/>
          <w:sz w:val="20"/>
          <w:szCs w:val="20"/>
          <w:lang w:val="en-US" w:eastAsia="zh-CN" w:bidi="ar"/>
        </w:rPr>
        <w:t>,</w:t>
      </w:r>
      <w:r>
        <w:rPr>
          <w:rFonts w:hint="default" w:ascii="Times New Roman" w:hAnsi="Times New Roman" w:eastAsia="宋体" w:cs="Times New Roman"/>
          <w:color w:val="auto"/>
          <w:sz w:val="20"/>
          <w:szCs w:val="20"/>
          <w:lang w:bidi="ar"/>
        </w:rPr>
        <w:t> </w:t>
      </w:r>
      <w:r>
        <w:rPr>
          <w:rFonts w:hint="default" w:ascii="Times New Roman" w:hAnsi="Times New Roman" w:eastAsia="宋体" w:cs="Times New Roman"/>
          <w:i/>
          <w:iCs/>
          <w:color w:val="auto"/>
          <w:sz w:val="20"/>
          <w:szCs w:val="20"/>
          <w:lang w:bidi="ar"/>
        </w:rPr>
        <w:t>Journal of Economic Behavior &amp; Organization</w:t>
      </w:r>
      <w:r>
        <w:rPr>
          <w:rFonts w:hint="default" w:ascii="Times New Roman" w:hAnsi="Times New Roman" w:eastAsia="宋体" w:cs="Times New Roman"/>
          <w:color w:val="auto"/>
          <w:sz w:val="20"/>
          <w:szCs w:val="20"/>
          <w:lang w:bidi="ar"/>
        </w:rPr>
        <w:t>, </w:t>
      </w:r>
      <w:r>
        <w:rPr>
          <w:rFonts w:ascii="Times New Roman" w:hAnsi="Times New Roman" w:eastAsia="宋体" w:cs="Times New Roman"/>
          <w:color w:val="auto"/>
          <w:sz w:val="20"/>
          <w:szCs w:val="20"/>
          <w:lang w:bidi="ar"/>
        </w:rPr>
        <w:t>2021</w:t>
      </w:r>
      <w:r>
        <w:rPr>
          <w:rFonts w:hint="eastAsia" w:ascii="Times New Roman" w:hAnsi="Times New Roman" w:eastAsia="宋体" w:cs="Times New Roman"/>
          <w:color w:val="auto"/>
          <w:sz w:val="20"/>
          <w:szCs w:val="20"/>
          <w:lang w:val="en-US" w:eastAsia="zh-CN" w:bidi="ar"/>
        </w:rPr>
        <w:t xml:space="preserve">, </w:t>
      </w:r>
      <w:r>
        <w:rPr>
          <w:rFonts w:hint="default" w:ascii="Times New Roman" w:hAnsi="Times New Roman" w:eastAsia="宋体" w:cs="Times New Roman"/>
          <w:color w:val="auto"/>
          <w:sz w:val="20"/>
          <w:szCs w:val="20"/>
          <w:lang w:bidi="ar"/>
        </w:rPr>
        <w:t>182, 162-184.</w:t>
      </w:r>
    </w:p>
    <w:p>
      <w:pPr>
        <w:numPr>
          <w:ilvl w:val="0"/>
          <w:numId w:val="1"/>
        </w:numPr>
        <w:ind w:left="425" w:leftChars="0" w:hanging="425" w:firstLineChars="0"/>
        <w:jc w:val="both"/>
        <w:rPr>
          <w:rFonts w:ascii="Times New Roman" w:hAnsi="Times New Roman" w:eastAsia="宋体" w:cs="Times New Roman"/>
          <w:color w:val="auto"/>
          <w:sz w:val="20"/>
          <w:szCs w:val="20"/>
          <w:lang w:bidi="ar"/>
        </w:rPr>
      </w:pPr>
      <w:r>
        <w:rPr>
          <w:rFonts w:ascii="Times New Roman" w:hAnsi="Times New Roman" w:eastAsia="宋体" w:cs="Times New Roman"/>
          <w:color w:val="auto"/>
          <w:sz w:val="20"/>
          <w:szCs w:val="20"/>
          <w:lang w:bidi="ar"/>
        </w:rPr>
        <w:t xml:space="preserve">He, G., </w:t>
      </w:r>
      <w:r>
        <w:rPr>
          <w:rFonts w:hint="eastAsia" w:ascii="Times New Roman" w:hAnsi="Times New Roman" w:eastAsia="宋体" w:cs="Times New Roman"/>
          <w:color w:val="auto"/>
          <w:sz w:val="20"/>
          <w:szCs w:val="20"/>
          <w:lang w:bidi="ar"/>
        </w:rPr>
        <w:t xml:space="preserve">S. </w:t>
      </w:r>
      <w:r>
        <w:rPr>
          <w:rFonts w:ascii="Times New Roman" w:hAnsi="Times New Roman" w:eastAsia="宋体" w:cs="Times New Roman"/>
          <w:color w:val="auto"/>
          <w:sz w:val="20"/>
          <w:szCs w:val="20"/>
          <w:lang w:bidi="ar"/>
        </w:rPr>
        <w:t>Wang,</w:t>
      </w:r>
      <w:r>
        <w:rPr>
          <w:rFonts w:hint="eastAsia" w:ascii="Times New Roman" w:hAnsi="Times New Roman" w:eastAsia="宋体" w:cs="Times New Roman"/>
          <w:color w:val="auto"/>
          <w:sz w:val="20"/>
          <w:szCs w:val="20"/>
          <w:lang w:bidi="ar"/>
        </w:rPr>
        <w:t xml:space="preserve"> </w:t>
      </w:r>
      <w:r>
        <w:rPr>
          <w:rFonts w:ascii="Times New Roman" w:hAnsi="Times New Roman" w:eastAsia="宋体" w:cs="Times New Roman"/>
          <w:color w:val="auto"/>
          <w:sz w:val="20"/>
          <w:szCs w:val="20"/>
          <w:lang w:bidi="ar"/>
        </w:rPr>
        <w:t xml:space="preserve">and </w:t>
      </w:r>
      <w:r>
        <w:rPr>
          <w:rFonts w:hint="eastAsia" w:ascii="Times New Roman" w:hAnsi="Times New Roman" w:eastAsia="宋体" w:cs="Times New Roman"/>
          <w:color w:val="auto"/>
          <w:sz w:val="20"/>
          <w:szCs w:val="20"/>
          <w:lang w:bidi="ar"/>
        </w:rPr>
        <w:t xml:space="preserve">B. </w:t>
      </w:r>
      <w:r>
        <w:rPr>
          <w:rFonts w:ascii="Times New Roman" w:hAnsi="Times New Roman" w:eastAsia="宋体" w:cs="Times New Roman"/>
          <w:color w:val="auto"/>
          <w:sz w:val="20"/>
          <w:szCs w:val="20"/>
          <w:lang w:bidi="ar"/>
        </w:rPr>
        <w:t xml:space="preserve">Zhang, “Watering Down Environmental Regulation in China”, </w:t>
      </w:r>
      <w:r>
        <w:rPr>
          <w:rFonts w:hint="eastAsia" w:ascii="Times New Roman" w:hAnsi="Times New Roman" w:eastAsia="宋体" w:cs="Times New Roman"/>
          <w:i/>
          <w:iCs/>
          <w:color w:val="auto"/>
          <w:sz w:val="20"/>
          <w:szCs w:val="20"/>
          <w:lang w:bidi="ar"/>
        </w:rPr>
        <w:t xml:space="preserve">The </w:t>
      </w:r>
      <w:r>
        <w:rPr>
          <w:rFonts w:ascii="Times New Roman" w:hAnsi="Times New Roman" w:eastAsia="宋体" w:cs="Times New Roman"/>
          <w:i/>
          <w:iCs/>
          <w:color w:val="auto"/>
          <w:sz w:val="20"/>
          <w:szCs w:val="20"/>
          <w:lang w:bidi="ar"/>
        </w:rPr>
        <w:t>Quarterly Journal of Economics</w:t>
      </w:r>
      <w:r>
        <w:rPr>
          <w:rFonts w:ascii="Times New Roman" w:hAnsi="Times New Roman" w:eastAsia="宋体" w:cs="Times New Roman"/>
          <w:color w:val="auto"/>
          <w:sz w:val="20"/>
          <w:szCs w:val="20"/>
          <w:lang w:bidi="ar"/>
        </w:rPr>
        <w:t>, 2020, 135(4), 2135</w:t>
      </w:r>
      <w:r>
        <w:rPr>
          <w:rFonts w:hint="eastAsia" w:ascii="Times New Roman" w:hAnsi="Times New Roman" w:eastAsia="宋体" w:cs="Times New Roman"/>
          <w:color w:val="auto"/>
          <w:sz w:val="20"/>
          <w:szCs w:val="20"/>
          <w:lang w:bidi="ar"/>
        </w:rPr>
        <w:t>-</w:t>
      </w:r>
      <w:r>
        <w:rPr>
          <w:rFonts w:ascii="Times New Roman" w:hAnsi="Times New Roman" w:eastAsia="宋体" w:cs="Times New Roman"/>
          <w:color w:val="auto"/>
          <w:sz w:val="20"/>
          <w:szCs w:val="20"/>
          <w:lang w:bidi="ar"/>
        </w:rPr>
        <w:t>2185.</w:t>
      </w:r>
    </w:p>
    <w:p>
      <w:pPr>
        <w:numPr>
          <w:ilvl w:val="0"/>
          <w:numId w:val="1"/>
        </w:numPr>
        <w:ind w:left="425" w:leftChars="0" w:hanging="425" w:firstLineChars="0"/>
        <w:rPr>
          <w:rFonts w:hint="default" w:ascii="楷体" w:hAnsi="楷体" w:eastAsia="楷体" w:cs="楷体"/>
          <w:color w:val="auto"/>
          <w:sz w:val="20"/>
          <w:szCs w:val="20"/>
          <w:lang w:val="en-US" w:eastAsia="zh-CN" w:bidi="ar"/>
        </w:rPr>
      </w:pPr>
      <w:r>
        <w:rPr>
          <w:rFonts w:hint="eastAsia" w:ascii="楷体" w:hAnsi="楷体" w:eastAsia="楷体" w:cs="楷体"/>
          <w:color w:val="auto"/>
          <w:sz w:val="20"/>
          <w:szCs w:val="20"/>
          <w:lang w:bidi="ar"/>
        </w:rPr>
        <w:t>刘行、赵晓阳</w:t>
      </w:r>
      <w:r>
        <w:rPr>
          <w:rFonts w:hint="eastAsia" w:ascii="楷体" w:hAnsi="楷体" w:eastAsia="楷体" w:cs="楷体"/>
          <w:color w:val="auto"/>
          <w:sz w:val="20"/>
          <w:szCs w:val="20"/>
          <w:lang w:eastAsia="zh-CN" w:bidi="ar"/>
        </w:rPr>
        <w:t>，“</w:t>
      </w:r>
      <w:r>
        <w:rPr>
          <w:rFonts w:hint="eastAsia" w:ascii="楷体" w:hAnsi="楷体" w:eastAsia="楷体" w:cs="楷体"/>
          <w:color w:val="auto"/>
          <w:sz w:val="20"/>
          <w:szCs w:val="20"/>
          <w:lang w:bidi="ar"/>
        </w:rPr>
        <w:t>最低工资标准的上涨是否会加剧企业避税？</w:t>
      </w:r>
      <w:r>
        <w:rPr>
          <w:rFonts w:hint="eastAsia" w:ascii="楷体" w:hAnsi="楷体" w:eastAsia="楷体" w:cs="楷体"/>
          <w:color w:val="auto"/>
          <w:sz w:val="20"/>
          <w:szCs w:val="20"/>
          <w:lang w:eastAsia="zh-CN" w:bidi="ar"/>
        </w:rPr>
        <w:t>”，</w:t>
      </w:r>
      <w:r>
        <w:rPr>
          <w:rFonts w:hint="eastAsia" w:ascii="楷体" w:hAnsi="楷体" w:eastAsia="楷体" w:cs="楷体"/>
          <w:color w:val="auto"/>
          <w:sz w:val="20"/>
          <w:szCs w:val="20"/>
          <w:lang w:bidi="ar"/>
        </w:rPr>
        <w:t>《经济研究》</w:t>
      </w:r>
      <w:r>
        <w:rPr>
          <w:rFonts w:hint="eastAsia" w:ascii="楷体" w:hAnsi="楷体" w:eastAsia="楷体" w:cs="楷体"/>
          <w:color w:val="auto"/>
          <w:sz w:val="20"/>
          <w:szCs w:val="20"/>
          <w:lang w:eastAsia="zh-CN" w:bidi="ar"/>
        </w:rPr>
        <w:t>，</w:t>
      </w:r>
      <w:r>
        <w:rPr>
          <w:rFonts w:hint="eastAsia" w:ascii="楷体" w:hAnsi="楷体" w:eastAsia="楷体" w:cs="楷体"/>
          <w:color w:val="auto"/>
          <w:sz w:val="20"/>
          <w:szCs w:val="20"/>
          <w:lang w:bidi="ar"/>
        </w:rPr>
        <w:t>2019年第10期</w:t>
      </w:r>
      <w:r>
        <w:rPr>
          <w:rFonts w:hint="eastAsia" w:ascii="楷体" w:hAnsi="楷体" w:eastAsia="楷体" w:cs="楷体"/>
          <w:color w:val="auto"/>
          <w:sz w:val="20"/>
          <w:szCs w:val="20"/>
          <w:lang w:eastAsia="zh-CN" w:bidi="ar"/>
        </w:rPr>
        <w:t>，</w:t>
      </w:r>
      <w:r>
        <w:rPr>
          <w:rFonts w:hint="eastAsia" w:ascii="楷体" w:hAnsi="楷体" w:eastAsia="楷体" w:cs="楷体"/>
          <w:color w:val="auto"/>
          <w:sz w:val="20"/>
          <w:szCs w:val="20"/>
          <w:lang w:bidi="ar"/>
        </w:rPr>
        <w:t>第121-135页。</w:t>
      </w:r>
    </w:p>
    <w:p>
      <w:pPr>
        <w:numPr>
          <w:ilvl w:val="0"/>
          <w:numId w:val="1"/>
        </w:numPr>
        <w:ind w:left="425" w:leftChars="0" w:hanging="425" w:firstLineChars="0"/>
        <w:jc w:val="both"/>
        <w:rPr>
          <w:rFonts w:hint="default" w:ascii="Times New Roman" w:hAnsi="Times New Roman" w:eastAsia="宋体" w:cs="Times New Roman"/>
          <w:color w:val="auto"/>
          <w:sz w:val="20"/>
          <w:szCs w:val="20"/>
          <w:lang w:val="en-US" w:eastAsia="zh-CN" w:bidi="ar"/>
        </w:rPr>
      </w:pPr>
      <w:r>
        <w:rPr>
          <w:rFonts w:hint="default" w:ascii="Times New Roman" w:hAnsi="Times New Roman" w:eastAsia="宋体" w:cs="Times New Roman"/>
          <w:color w:val="auto"/>
          <w:sz w:val="20"/>
          <w:szCs w:val="20"/>
          <w:lang w:val="en-US" w:eastAsia="zh-CN" w:bidi="ar"/>
        </w:rPr>
        <w:t xml:space="preserve">Zhang, B., X. Chen, and H. Guo, “Does </w:t>
      </w:r>
      <w:r>
        <w:rPr>
          <w:rFonts w:hint="eastAsia" w:ascii="Times New Roman" w:hAnsi="Times New Roman" w:eastAsia="宋体" w:cs="Times New Roman"/>
          <w:color w:val="auto"/>
          <w:sz w:val="20"/>
          <w:szCs w:val="20"/>
          <w:lang w:val="en-US" w:eastAsia="zh-CN" w:bidi="ar"/>
        </w:rPr>
        <w:t>C</w:t>
      </w:r>
      <w:r>
        <w:rPr>
          <w:rFonts w:hint="default" w:ascii="Times New Roman" w:hAnsi="Times New Roman" w:eastAsia="宋体" w:cs="Times New Roman"/>
          <w:color w:val="auto"/>
          <w:sz w:val="20"/>
          <w:szCs w:val="20"/>
          <w:lang w:val="en-US" w:eastAsia="zh-CN" w:bidi="ar"/>
        </w:rPr>
        <w:t xml:space="preserve">entral </w:t>
      </w:r>
      <w:r>
        <w:rPr>
          <w:rFonts w:hint="eastAsia" w:ascii="Times New Roman" w:hAnsi="Times New Roman" w:eastAsia="宋体" w:cs="Times New Roman"/>
          <w:color w:val="auto"/>
          <w:sz w:val="20"/>
          <w:szCs w:val="20"/>
          <w:lang w:val="en-US" w:eastAsia="zh-CN" w:bidi="ar"/>
        </w:rPr>
        <w:t>S</w:t>
      </w:r>
      <w:r>
        <w:rPr>
          <w:rFonts w:hint="default" w:ascii="Times New Roman" w:hAnsi="Times New Roman" w:eastAsia="宋体" w:cs="Times New Roman"/>
          <w:color w:val="auto"/>
          <w:sz w:val="20"/>
          <w:szCs w:val="20"/>
          <w:lang w:val="en-US" w:eastAsia="zh-CN" w:bidi="ar"/>
        </w:rPr>
        <w:t xml:space="preserve">upervision </w:t>
      </w:r>
      <w:r>
        <w:rPr>
          <w:rFonts w:hint="eastAsia" w:ascii="Times New Roman" w:hAnsi="Times New Roman" w:eastAsia="宋体" w:cs="Times New Roman"/>
          <w:color w:val="auto"/>
          <w:sz w:val="20"/>
          <w:szCs w:val="20"/>
          <w:lang w:val="en-US" w:eastAsia="zh-CN" w:bidi="ar"/>
        </w:rPr>
        <w:t>E</w:t>
      </w:r>
      <w:r>
        <w:rPr>
          <w:rFonts w:hint="default" w:ascii="Times New Roman" w:hAnsi="Times New Roman" w:eastAsia="宋体" w:cs="Times New Roman"/>
          <w:color w:val="auto"/>
          <w:sz w:val="20"/>
          <w:szCs w:val="20"/>
          <w:lang w:val="en-US" w:eastAsia="zh-CN" w:bidi="ar"/>
        </w:rPr>
        <w:t xml:space="preserve">nhance </w:t>
      </w:r>
      <w:r>
        <w:rPr>
          <w:rFonts w:hint="eastAsia" w:ascii="Times New Roman" w:hAnsi="Times New Roman" w:eastAsia="宋体" w:cs="Times New Roman"/>
          <w:color w:val="auto"/>
          <w:sz w:val="20"/>
          <w:szCs w:val="20"/>
          <w:lang w:val="en-US" w:eastAsia="zh-CN" w:bidi="ar"/>
        </w:rPr>
        <w:t>L</w:t>
      </w:r>
      <w:r>
        <w:rPr>
          <w:rFonts w:hint="default" w:ascii="Times New Roman" w:hAnsi="Times New Roman" w:eastAsia="宋体" w:cs="Times New Roman"/>
          <w:color w:val="auto"/>
          <w:sz w:val="20"/>
          <w:szCs w:val="20"/>
          <w:lang w:val="en-US" w:eastAsia="zh-CN" w:bidi="ar"/>
        </w:rPr>
        <w:t xml:space="preserve">ocal </w:t>
      </w:r>
      <w:r>
        <w:rPr>
          <w:rFonts w:hint="eastAsia" w:ascii="Times New Roman" w:hAnsi="Times New Roman" w:eastAsia="宋体" w:cs="Times New Roman"/>
          <w:color w:val="auto"/>
          <w:sz w:val="20"/>
          <w:szCs w:val="20"/>
          <w:lang w:val="en-US" w:eastAsia="zh-CN" w:bidi="ar"/>
        </w:rPr>
        <w:t>E</w:t>
      </w:r>
      <w:r>
        <w:rPr>
          <w:rFonts w:hint="default" w:ascii="Times New Roman" w:hAnsi="Times New Roman" w:eastAsia="宋体" w:cs="Times New Roman"/>
          <w:color w:val="auto"/>
          <w:sz w:val="20"/>
          <w:szCs w:val="20"/>
          <w:lang w:val="en-US" w:eastAsia="zh-CN" w:bidi="ar"/>
        </w:rPr>
        <w:t xml:space="preserve">nvironmental </w:t>
      </w:r>
      <w:r>
        <w:rPr>
          <w:rFonts w:hint="eastAsia" w:ascii="Times New Roman" w:hAnsi="Times New Roman" w:eastAsia="宋体" w:cs="Times New Roman"/>
          <w:color w:val="auto"/>
          <w:sz w:val="20"/>
          <w:szCs w:val="20"/>
          <w:lang w:val="en-US" w:eastAsia="zh-CN" w:bidi="ar"/>
        </w:rPr>
        <w:t>E</w:t>
      </w:r>
      <w:r>
        <w:rPr>
          <w:rFonts w:hint="default" w:ascii="Times New Roman" w:hAnsi="Times New Roman" w:eastAsia="宋体" w:cs="Times New Roman"/>
          <w:color w:val="auto"/>
          <w:sz w:val="20"/>
          <w:szCs w:val="20"/>
          <w:lang w:val="en-US" w:eastAsia="zh-CN" w:bidi="ar"/>
        </w:rPr>
        <w:t xml:space="preserve">nforcement? Quasi-experimental </w:t>
      </w:r>
      <w:r>
        <w:rPr>
          <w:rFonts w:hint="eastAsia" w:ascii="Times New Roman" w:hAnsi="Times New Roman" w:eastAsia="宋体" w:cs="Times New Roman"/>
          <w:color w:val="auto"/>
          <w:sz w:val="20"/>
          <w:szCs w:val="20"/>
          <w:lang w:val="en-US" w:eastAsia="zh-CN" w:bidi="ar"/>
        </w:rPr>
        <w:t>E</w:t>
      </w:r>
      <w:r>
        <w:rPr>
          <w:rFonts w:hint="default" w:ascii="Times New Roman" w:hAnsi="Times New Roman" w:eastAsia="宋体" w:cs="Times New Roman"/>
          <w:color w:val="auto"/>
          <w:sz w:val="20"/>
          <w:szCs w:val="20"/>
          <w:lang w:val="en-US" w:eastAsia="zh-CN" w:bidi="ar"/>
        </w:rPr>
        <w:t xml:space="preserve">vidence from China”, </w:t>
      </w:r>
      <w:r>
        <w:rPr>
          <w:rFonts w:hint="default" w:ascii="Times New Roman" w:hAnsi="Times New Roman" w:eastAsia="宋体" w:cs="Times New Roman"/>
          <w:i/>
          <w:iCs/>
          <w:color w:val="auto"/>
          <w:sz w:val="20"/>
          <w:szCs w:val="20"/>
          <w:lang w:val="en-US" w:eastAsia="zh-CN" w:bidi="ar"/>
        </w:rPr>
        <w:t>Journal of Public Economics</w:t>
      </w:r>
      <w:r>
        <w:rPr>
          <w:rFonts w:hint="default" w:ascii="Times New Roman" w:hAnsi="Times New Roman" w:eastAsia="宋体" w:cs="Times New Roman"/>
          <w:color w:val="auto"/>
          <w:sz w:val="20"/>
          <w:szCs w:val="20"/>
          <w:lang w:val="en-US" w:eastAsia="zh-CN" w:bidi="ar"/>
        </w:rPr>
        <w:t>, 2018, 164, 70-90.</w:t>
      </w: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p>
      <w:pPr>
        <w:rPr>
          <w:rFonts w:eastAsia="仿宋"/>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widowControl w:val="0"/>
        <w:numPr>
          <w:numId w:val="0"/>
        </w:numPr>
        <w:tabs>
          <w:tab w:val="left" w:pos="420"/>
        </w:tabs>
        <w:jc w:val="both"/>
        <w:rPr>
          <w:rFonts w:hint="default" w:ascii="Times New Roman" w:hAnsi="Times New Roman" w:eastAsia="宋体" w:cs="Times New Roman"/>
          <w:color w:val="auto"/>
          <w:sz w:val="20"/>
          <w:szCs w:val="20"/>
          <w:lang w:val="en-US" w:eastAsia="zh-CN" w:bidi="ar"/>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val="0"/>
        <w:snapToGrid w:val="0"/>
        <w:jc w:val="left"/>
        <w:rPr>
          <w:rFonts w:ascii="Times New Roman" w:hAnsi="Times New Roman" w:cs="Times New Roman" w:eastAsiaTheme="minorEastAsia"/>
          <w:kern w:val="2"/>
          <w:sz w:val="18"/>
          <w:szCs w:val="24"/>
          <w:lang w:val="en-US" w:eastAsia="zh-CN" w:bidi="ar-SA"/>
        </w:rPr>
      </w:pPr>
      <w:r>
        <w:rPr>
          <w:rStyle w:val="11"/>
          <w:rFonts w:ascii="Times New Roman" w:hAnsi="Times New Roman" w:eastAsia="宋体" w:cs="Times New Roman"/>
          <w:kern w:val="2"/>
          <w:sz w:val="18"/>
          <w:szCs w:val="24"/>
          <w:lang w:val="en-US" w:eastAsia="zh-CN" w:bidi="ar-SA"/>
        </w:rPr>
        <w:footnoteRef/>
      </w:r>
      <w:r>
        <w:rPr>
          <w:rFonts w:ascii="Times New Roman" w:hAnsi="Times New Roman" w:cs="Times New Roman" w:eastAsiaTheme="minorEastAsia"/>
          <w:kern w:val="2"/>
          <w:sz w:val="18"/>
          <w:szCs w:val="24"/>
          <w:lang w:val="en-US" w:eastAsia="zh-CN" w:bidi="ar-SA"/>
        </w:rPr>
        <w:t xml:space="preserve">  国务院2006年公布的《第一次全国污染源普查方案》中明确规定的11个重污染行业, 包括:造纸及纸制品业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农副食品加工业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化学原料及化学制品制造业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纺织业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黑色金属冶炼及压延加工业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食品制造业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电力、热力的生产和供应业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皮革、毛皮、羽毛 (绒) 及其制品业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石油加工、炼焦及核燃料加工业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非金属矿物制品业</w:t>
      </w:r>
      <w:r>
        <w:rPr>
          <w:rFonts w:hint="eastAsia" w:ascii="Times New Roman" w:hAnsi="Times New Roman" w:cs="Times New Roman"/>
          <w:kern w:val="2"/>
          <w:sz w:val="18"/>
          <w:szCs w:val="24"/>
          <w:lang w:val="en-US" w:eastAsia="zh-CN" w:bidi="ar-SA"/>
        </w:rPr>
        <w:t>，</w:t>
      </w:r>
      <w:r>
        <w:rPr>
          <w:rFonts w:ascii="Times New Roman" w:hAnsi="Times New Roman" w:cs="Times New Roman" w:eastAsiaTheme="minorEastAsia"/>
          <w:kern w:val="2"/>
          <w:sz w:val="18"/>
          <w:szCs w:val="24"/>
          <w:lang w:val="en-US" w:eastAsia="zh-CN" w:bidi="ar-SA"/>
        </w:rPr>
        <w:t xml:space="preserve">有色金属冶炼及压延加工业。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46CD0"/>
    <w:multiLevelType w:val="singleLevel"/>
    <w:tmpl w:val="12546CD0"/>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WZhMmRiMTY5YWI4NjAwOTAyNmUyMjJkNDE2NTcifQ=="/>
  </w:docVars>
  <w:rsids>
    <w:rsidRoot w:val="00172A27"/>
    <w:rsid w:val="05475DA6"/>
    <w:rsid w:val="07E1193E"/>
    <w:rsid w:val="08110A1D"/>
    <w:rsid w:val="0AB66C4C"/>
    <w:rsid w:val="0DA87805"/>
    <w:rsid w:val="0E287BBE"/>
    <w:rsid w:val="0F6F7F34"/>
    <w:rsid w:val="149D0E1B"/>
    <w:rsid w:val="154B68C6"/>
    <w:rsid w:val="1C6B6275"/>
    <w:rsid w:val="1E35191D"/>
    <w:rsid w:val="22FF7A6F"/>
    <w:rsid w:val="238A7FB4"/>
    <w:rsid w:val="239D4B92"/>
    <w:rsid w:val="2E3F7067"/>
    <w:rsid w:val="34EC030B"/>
    <w:rsid w:val="3A0948D8"/>
    <w:rsid w:val="3EFF4039"/>
    <w:rsid w:val="420A04F4"/>
    <w:rsid w:val="46DA7D28"/>
    <w:rsid w:val="497C0C22"/>
    <w:rsid w:val="4F203DE0"/>
    <w:rsid w:val="4F5D45C0"/>
    <w:rsid w:val="5A42157E"/>
    <w:rsid w:val="5D3C637E"/>
    <w:rsid w:val="5E2A3189"/>
    <w:rsid w:val="64FE3682"/>
    <w:rsid w:val="6717656D"/>
    <w:rsid w:val="6AEA34D1"/>
    <w:rsid w:val="6C801A18"/>
    <w:rsid w:val="70750CC3"/>
    <w:rsid w:val="7BC13B2C"/>
    <w:rsid w:val="7C624981"/>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ind w:firstLine="200" w:firstLineChars="200"/>
      <w:outlineLvl w:val="2"/>
    </w:pPr>
    <w:rPr>
      <w:rFonts w:ascii="Times New Roman" w:hAnsi="Times New Roman" w:eastAsia="宋体"/>
      <w:bCs/>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autoRedefine/>
    <w:qFormat/>
    <w:uiPriority w:val="0"/>
    <w:rPr>
      <w:vertAlign w:val="superscript"/>
    </w:rPr>
  </w:style>
  <w:style w:type="paragraph" w:customStyle="1" w:styleId="12">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7.emf"/><Relationship Id="rId28" Type="http://schemas.openxmlformats.org/officeDocument/2006/relationships/image" Target="media/image16.emf"/><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emf"/><Relationship Id="rId24" Type="http://schemas.openxmlformats.org/officeDocument/2006/relationships/image" Target="media/image12.emf"/><Relationship Id="rId23" Type="http://schemas.openxmlformats.org/officeDocument/2006/relationships/image" Target="media/image11.emf"/><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2023-12-25T09:20:00Z</dcterms:created>
  <dc:creator>像</dc:creator>
  <cp:lastModifiedBy>刘京</cp:lastModifiedBy>
  <dcterms:modified xsi:type="dcterms:W3CDTF">2024-01-08T01:50:53Z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2829C12DE22F41F7A6AD39BD1B3342F7_13</vt:lpwstr>
  </property>
</Properties>
</file>