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0"/>
        <w:contextualSpacing w:val="0"/>
        <w:jc w:val="center"/>
        <w:rPr>
          <w:rFonts w:hint="eastAsia" w:eastAsia="仿宋" w:cs="Times New Roman"/>
          <w:b/>
          <w:bCs w:val="0"/>
          <w:kern w:val="0"/>
          <w:sz w:val="32"/>
          <w:szCs w:val="32"/>
        </w:rPr>
      </w:pPr>
      <w:bookmarkStart w:id="0" w:name="OLE_LINK12"/>
      <w:bookmarkStart w:id="1" w:name="OLE_LINK13"/>
      <w:r>
        <w:rPr>
          <w:rFonts w:hint="eastAsia" w:eastAsia="仿宋" w:cs="Times New Roman"/>
          <w:b/>
          <w:bCs w:val="0"/>
          <w:kern w:val="0"/>
          <w:sz w:val="32"/>
          <w:szCs w:val="32"/>
        </w:rPr>
        <w:t>大学教育的社会回报</w:t>
      </w:r>
    </w:p>
    <w:p>
      <w:pPr>
        <w:ind w:firstLine="720" w:firstLineChars="0"/>
        <w:contextualSpacing w:val="0"/>
        <w:jc w:val="center"/>
        <w:rPr>
          <w:rFonts w:eastAsia="仿宋" w:cs="Times New Roman"/>
          <w:bCs/>
          <w:kern w:val="0"/>
          <w:sz w:val="28"/>
          <w:szCs w:val="28"/>
          <w:lang w:eastAsia="zh-Hans"/>
        </w:rPr>
      </w:pPr>
      <w:r>
        <w:rPr>
          <w:rFonts w:hint="eastAsia" w:eastAsia="仿宋" w:cs="Times New Roman"/>
          <w:bCs/>
          <w:kern w:val="0"/>
          <w:sz w:val="28"/>
          <w:szCs w:val="28"/>
        </w:rPr>
        <w:t>——</w:t>
      </w:r>
      <w:r>
        <w:rPr>
          <w:rFonts w:hint="eastAsia" w:eastAsia="仿宋" w:cs="Times New Roman"/>
          <w:bCs/>
          <w:kern w:val="0"/>
          <w:sz w:val="28"/>
          <w:szCs w:val="28"/>
          <w:lang w:val="en-US" w:eastAsia="zh-CN"/>
        </w:rPr>
        <w:t>扩招与</w:t>
      </w:r>
      <w:r>
        <w:rPr>
          <w:rFonts w:hint="eastAsia" w:eastAsia="仿宋" w:cs="Times New Roman"/>
          <w:bCs/>
          <w:kern w:val="0"/>
          <w:sz w:val="28"/>
          <w:szCs w:val="28"/>
        </w:rPr>
        <w:t>人力资本外溢效应</w:t>
      </w:r>
    </w:p>
    <w:bookmarkEnd w:id="0"/>
    <w:bookmarkEnd w:id="1"/>
    <w:p>
      <w:pPr>
        <w:spacing w:line="360" w:lineRule="auto"/>
        <w:ind w:firstLine="0" w:firstLineChars="0"/>
        <w:contextualSpacing w:val="0"/>
        <w:jc w:val="center"/>
        <w:rPr>
          <w:rFonts w:eastAsia="仿宋" w:cs="Times New Roman"/>
          <w:kern w:val="0"/>
          <w:sz w:val="24"/>
          <w:szCs w:val="24"/>
        </w:rPr>
      </w:pPr>
    </w:p>
    <w:p>
      <w:pPr>
        <w:spacing w:line="360" w:lineRule="auto"/>
        <w:ind w:firstLine="0" w:firstLineChars="0"/>
        <w:contextualSpacing w:val="0"/>
        <w:jc w:val="center"/>
        <w:rPr>
          <w:rFonts w:hint="eastAsia" w:ascii="楷体" w:hAnsi="楷体" w:eastAsia="楷体" w:cs="楷体"/>
          <w:kern w:val="0"/>
          <w:sz w:val="28"/>
          <w:szCs w:val="28"/>
        </w:rPr>
      </w:pPr>
      <w:r>
        <w:rPr>
          <w:rFonts w:hint="eastAsia" w:ascii="楷体" w:hAnsi="楷体" w:eastAsia="楷体" w:cs="楷体"/>
          <w:kern w:val="0"/>
          <w:sz w:val="28"/>
          <w:szCs w:val="28"/>
        </w:rPr>
        <w:t>丁相元  张子尧  黄炜</w:t>
      </w:r>
    </w:p>
    <w:p>
      <w:pPr>
        <w:spacing w:line="360" w:lineRule="auto"/>
        <w:ind w:firstLine="0" w:firstLineChars="0"/>
        <w:contextualSpacing w:val="0"/>
        <w:rPr>
          <w:rFonts w:eastAsia="仿宋" w:cs="Times New Roman"/>
          <w:kern w:val="0"/>
          <w:sz w:val="24"/>
          <w:szCs w:val="24"/>
        </w:rPr>
      </w:pPr>
    </w:p>
    <w:p>
      <w:pPr>
        <w:ind w:firstLine="0" w:firstLineChars="0"/>
        <w:contextualSpacing w:val="0"/>
        <w:jc w:val="center"/>
        <w:rPr>
          <w:rFonts w:hint="eastAsia" w:eastAsia="仿宋" w:cs="Times New Roman"/>
          <w:b/>
          <w:bCs w:val="0"/>
          <w:kern w:val="0"/>
          <w:sz w:val="28"/>
          <w:szCs w:val="28"/>
          <w:lang w:val="en-US" w:eastAsia="zh-CN"/>
        </w:rPr>
      </w:pPr>
      <w:r>
        <w:rPr>
          <w:rFonts w:hint="eastAsia" w:eastAsia="仿宋" w:cs="Times New Roman"/>
          <w:b/>
          <w:bCs w:val="0"/>
          <w:kern w:val="0"/>
          <w:sz w:val="28"/>
          <w:szCs w:val="28"/>
          <w:lang w:val="en-US" w:eastAsia="zh-CN"/>
        </w:rPr>
        <w:t>目录</w:t>
      </w:r>
    </w:p>
    <w:p>
      <w:pPr>
        <w:pStyle w:val="21"/>
        <w:tabs>
          <w:tab w:val="left" w:pos="1032"/>
          <w:tab w:val="right" w:leader="dot" w:pos="9016"/>
        </w:tabs>
        <w:spacing w:line="360" w:lineRule="auto"/>
        <w:ind w:firstLine="181" w:firstLineChars="87"/>
        <w:rPr>
          <w:rStyle w:val="35"/>
          <w:rFonts w:eastAsia="仿宋" w:cs="Times New Roman"/>
          <w:sz w:val="22"/>
          <w:szCs w:val="22"/>
        </w:rPr>
      </w:pPr>
      <w:r>
        <w:rPr>
          <w:rStyle w:val="35"/>
          <w:rFonts w:eastAsia="仿宋" w:cs="Times New Roman"/>
          <w:sz w:val="22"/>
          <w:szCs w:val="22"/>
        </w:rPr>
        <w:fldChar w:fldCharType="begin"/>
      </w:r>
      <w:r>
        <w:rPr>
          <w:rStyle w:val="35"/>
          <w:rFonts w:eastAsia="仿宋" w:cs="Times New Roman"/>
          <w:sz w:val="22"/>
          <w:szCs w:val="22"/>
        </w:rPr>
        <w:instrText xml:space="preserve"> TOC \o "1-3" \h \z \u </w:instrText>
      </w:r>
      <w:r>
        <w:rPr>
          <w:rStyle w:val="35"/>
          <w:rFonts w:eastAsia="仿宋" w:cs="Times New Roman"/>
          <w:sz w:val="22"/>
          <w:szCs w:val="22"/>
        </w:rPr>
        <w:fldChar w:fldCharType="separate"/>
      </w:r>
      <w:r>
        <w:rPr>
          <w:sz w:val="22"/>
          <w:szCs w:val="22"/>
        </w:rPr>
        <w:fldChar w:fldCharType="begin"/>
      </w:r>
      <w:r>
        <w:rPr>
          <w:sz w:val="22"/>
          <w:szCs w:val="22"/>
        </w:rPr>
        <w:instrText xml:space="preserve"> HYPERLINK \l "_Toc161668789" </w:instrText>
      </w:r>
      <w:r>
        <w:rPr>
          <w:sz w:val="22"/>
          <w:szCs w:val="22"/>
        </w:rPr>
        <w:fldChar w:fldCharType="separate"/>
      </w:r>
      <w:r>
        <w:rPr>
          <w:rStyle w:val="35"/>
          <w:rFonts w:eastAsia="仿宋" w:cs="Times New Roman"/>
          <w:sz w:val="22"/>
          <w:szCs w:val="22"/>
        </w:rPr>
        <w:t>附录I</w:t>
      </w:r>
      <w:r>
        <w:rPr>
          <w:rStyle w:val="35"/>
          <w:rFonts w:eastAsia="仿宋" w:cs="Times New Roman"/>
          <w:sz w:val="22"/>
          <w:szCs w:val="22"/>
        </w:rPr>
        <w:tab/>
      </w:r>
      <w:r>
        <w:rPr>
          <w:rStyle w:val="35"/>
          <w:rFonts w:eastAsia="仿宋" w:cs="Times New Roman"/>
          <w:sz w:val="22"/>
          <w:szCs w:val="22"/>
        </w:rPr>
        <w:t xml:space="preserve"> 制度背景</w:t>
      </w:r>
      <w:r>
        <w:rPr>
          <w:rStyle w:val="35"/>
          <w:rFonts w:eastAsia="仿宋" w:cs="Times New Roman"/>
          <w:sz w:val="22"/>
          <w:szCs w:val="22"/>
        </w:rPr>
        <w:tab/>
      </w:r>
      <w:r>
        <w:rPr>
          <w:rStyle w:val="35"/>
          <w:rFonts w:hint="eastAsia" w:eastAsia="仿宋" w:cs="Times New Roman"/>
          <w:sz w:val="22"/>
          <w:szCs w:val="22"/>
          <w:lang w:val="en-US" w:eastAsia="zh-CN"/>
        </w:rPr>
        <w:t>1</w:t>
      </w:r>
      <w:r>
        <w:rPr>
          <w:rStyle w:val="35"/>
          <w:rFonts w:eastAsia="仿宋" w:cs="Times New Roman"/>
          <w:sz w:val="22"/>
          <w:szCs w:val="22"/>
        </w:rPr>
        <w:fldChar w:fldCharType="end"/>
      </w:r>
    </w:p>
    <w:p>
      <w:pPr>
        <w:pStyle w:val="21"/>
        <w:tabs>
          <w:tab w:val="left" w:pos="1032"/>
          <w:tab w:val="right" w:leader="dot" w:pos="9016"/>
        </w:tabs>
        <w:spacing w:line="360" w:lineRule="auto"/>
        <w:ind w:firstLine="181" w:firstLineChars="87"/>
        <w:rPr>
          <w:rStyle w:val="35"/>
          <w:rFonts w:eastAsia="仿宋" w:cs="Times New Roman"/>
          <w:sz w:val="22"/>
          <w:szCs w:val="22"/>
        </w:rPr>
      </w:pPr>
      <w:r>
        <w:rPr>
          <w:sz w:val="22"/>
          <w:szCs w:val="22"/>
        </w:rPr>
        <w:fldChar w:fldCharType="begin"/>
      </w:r>
      <w:r>
        <w:rPr>
          <w:sz w:val="22"/>
          <w:szCs w:val="22"/>
        </w:rPr>
        <w:instrText xml:space="preserve"> HYPERLINK \l "_Toc161668790" </w:instrText>
      </w:r>
      <w:r>
        <w:rPr>
          <w:sz w:val="22"/>
          <w:szCs w:val="22"/>
        </w:rPr>
        <w:fldChar w:fldCharType="separate"/>
      </w:r>
      <w:r>
        <w:rPr>
          <w:rStyle w:val="35"/>
          <w:rFonts w:eastAsia="仿宋" w:cs="Times New Roman"/>
          <w:sz w:val="22"/>
          <w:szCs w:val="22"/>
        </w:rPr>
        <w:t>附录II</w:t>
      </w:r>
      <w:r>
        <w:rPr>
          <w:rStyle w:val="35"/>
          <w:rFonts w:eastAsia="仿宋" w:cs="Times New Roman"/>
          <w:sz w:val="22"/>
          <w:szCs w:val="22"/>
        </w:rPr>
        <w:tab/>
      </w:r>
      <w:r>
        <w:rPr>
          <w:rStyle w:val="35"/>
          <w:rFonts w:eastAsia="仿宋" w:cs="Times New Roman"/>
          <w:sz w:val="22"/>
          <w:szCs w:val="22"/>
        </w:rPr>
        <w:t xml:space="preserve"> 样本清理和描述性统计</w:t>
      </w:r>
      <w:r>
        <w:rPr>
          <w:rStyle w:val="35"/>
          <w:rFonts w:eastAsia="仿宋" w:cs="Times New Roman"/>
          <w:sz w:val="22"/>
          <w:szCs w:val="22"/>
        </w:rPr>
        <w:tab/>
      </w:r>
      <w:r>
        <w:rPr>
          <w:rStyle w:val="35"/>
          <w:rFonts w:hint="eastAsia" w:eastAsia="仿宋" w:cs="Times New Roman"/>
          <w:sz w:val="22"/>
          <w:szCs w:val="22"/>
          <w:lang w:val="en-US" w:eastAsia="zh-CN"/>
        </w:rPr>
        <w:t>2</w:t>
      </w:r>
      <w:r>
        <w:rPr>
          <w:rStyle w:val="35"/>
          <w:rFonts w:eastAsia="仿宋" w:cs="Times New Roman"/>
          <w:sz w:val="22"/>
          <w:szCs w:val="22"/>
        </w:rPr>
        <w:fldChar w:fldCharType="end"/>
      </w:r>
    </w:p>
    <w:p>
      <w:pPr>
        <w:pStyle w:val="21"/>
        <w:tabs>
          <w:tab w:val="left" w:pos="1032"/>
          <w:tab w:val="right" w:leader="dot" w:pos="9016"/>
        </w:tabs>
        <w:spacing w:line="360" w:lineRule="auto"/>
        <w:ind w:firstLine="181" w:firstLineChars="87"/>
        <w:rPr>
          <w:rStyle w:val="35"/>
          <w:rFonts w:eastAsia="仿宋" w:cs="Times New Roman"/>
          <w:sz w:val="22"/>
          <w:szCs w:val="22"/>
        </w:rPr>
      </w:pPr>
      <w:r>
        <w:rPr>
          <w:sz w:val="22"/>
          <w:szCs w:val="22"/>
        </w:rPr>
        <w:fldChar w:fldCharType="begin"/>
      </w:r>
      <w:r>
        <w:rPr>
          <w:sz w:val="22"/>
          <w:szCs w:val="22"/>
        </w:rPr>
        <w:instrText xml:space="preserve"> HYPERLINK \l "_Toc161668791" </w:instrText>
      </w:r>
      <w:r>
        <w:rPr>
          <w:sz w:val="22"/>
          <w:szCs w:val="22"/>
        </w:rPr>
        <w:fldChar w:fldCharType="separate"/>
      </w:r>
      <w:r>
        <w:rPr>
          <w:rStyle w:val="35"/>
          <w:rFonts w:eastAsia="仿宋" w:cs="Times New Roman"/>
          <w:sz w:val="22"/>
          <w:szCs w:val="22"/>
        </w:rPr>
        <w:t>附录III     人力资本外溢效应存在的定性证据</w:t>
      </w:r>
      <w:r>
        <w:rPr>
          <w:rStyle w:val="35"/>
          <w:rFonts w:eastAsia="仿宋" w:cs="Times New Roman"/>
          <w:sz w:val="22"/>
          <w:szCs w:val="22"/>
        </w:rPr>
        <w:tab/>
      </w:r>
      <w:r>
        <w:rPr>
          <w:rStyle w:val="35"/>
          <w:rFonts w:hint="eastAsia" w:eastAsia="仿宋" w:cs="Times New Roman"/>
          <w:sz w:val="22"/>
          <w:szCs w:val="22"/>
          <w:lang w:val="en-US" w:eastAsia="zh-CN"/>
        </w:rPr>
        <w:t>3</w:t>
      </w:r>
      <w:r>
        <w:rPr>
          <w:rStyle w:val="35"/>
          <w:rFonts w:eastAsia="仿宋" w:cs="Times New Roman"/>
          <w:sz w:val="22"/>
          <w:szCs w:val="22"/>
        </w:rPr>
        <w:fldChar w:fldCharType="end"/>
      </w:r>
    </w:p>
    <w:p>
      <w:pPr>
        <w:pStyle w:val="21"/>
        <w:tabs>
          <w:tab w:val="left" w:pos="1032"/>
          <w:tab w:val="right" w:leader="dot" w:pos="9016"/>
        </w:tabs>
        <w:spacing w:line="360" w:lineRule="auto"/>
        <w:ind w:firstLine="181" w:firstLineChars="87"/>
        <w:rPr>
          <w:rStyle w:val="35"/>
          <w:rFonts w:eastAsia="仿宋" w:cs="Times New Roman"/>
          <w:sz w:val="22"/>
          <w:szCs w:val="22"/>
        </w:rPr>
      </w:pPr>
      <w:r>
        <w:rPr>
          <w:sz w:val="22"/>
          <w:szCs w:val="22"/>
        </w:rPr>
        <w:fldChar w:fldCharType="begin"/>
      </w:r>
      <w:r>
        <w:rPr>
          <w:sz w:val="22"/>
          <w:szCs w:val="22"/>
        </w:rPr>
        <w:instrText xml:space="preserve"> HYPERLINK \l "_Toc161668792" </w:instrText>
      </w:r>
      <w:r>
        <w:rPr>
          <w:sz w:val="22"/>
          <w:szCs w:val="22"/>
        </w:rPr>
        <w:fldChar w:fldCharType="separate"/>
      </w:r>
      <w:r>
        <w:rPr>
          <w:rStyle w:val="35"/>
          <w:rFonts w:eastAsia="仿宋" w:cs="Times New Roman"/>
          <w:sz w:val="22"/>
          <w:szCs w:val="22"/>
        </w:rPr>
        <w:t>附录IV     稳健性检验</w:t>
      </w:r>
      <w:r>
        <w:rPr>
          <w:rStyle w:val="35"/>
          <w:rFonts w:eastAsia="仿宋" w:cs="Times New Roman"/>
          <w:sz w:val="22"/>
          <w:szCs w:val="22"/>
        </w:rPr>
        <w:tab/>
      </w:r>
      <w:r>
        <w:rPr>
          <w:rStyle w:val="35"/>
          <w:rFonts w:hint="eastAsia" w:eastAsia="仿宋" w:cs="Times New Roman"/>
          <w:sz w:val="22"/>
          <w:szCs w:val="22"/>
          <w:lang w:val="en-US" w:eastAsia="zh-CN"/>
        </w:rPr>
        <w:t>5</w:t>
      </w:r>
      <w:r>
        <w:rPr>
          <w:rStyle w:val="35"/>
          <w:rFonts w:eastAsia="仿宋" w:cs="Times New Roman"/>
          <w:sz w:val="22"/>
          <w:szCs w:val="22"/>
        </w:rPr>
        <w:fldChar w:fldCharType="end"/>
      </w:r>
    </w:p>
    <w:p>
      <w:pPr>
        <w:pStyle w:val="21"/>
        <w:tabs>
          <w:tab w:val="left" w:pos="1032"/>
          <w:tab w:val="right" w:leader="dot" w:pos="9016"/>
        </w:tabs>
        <w:spacing w:line="360" w:lineRule="auto"/>
        <w:ind w:firstLine="181" w:firstLineChars="87"/>
        <w:rPr>
          <w:rStyle w:val="35"/>
          <w:rFonts w:hint="eastAsia" w:eastAsia="仿宋" w:cs="Times New Roman"/>
          <w:sz w:val="22"/>
          <w:szCs w:val="22"/>
          <w:lang w:val="en-US" w:eastAsia="zh-CN"/>
        </w:rPr>
      </w:pPr>
      <w:r>
        <w:rPr>
          <w:sz w:val="22"/>
          <w:szCs w:val="22"/>
        </w:rPr>
        <w:fldChar w:fldCharType="begin"/>
      </w:r>
      <w:r>
        <w:rPr>
          <w:sz w:val="22"/>
          <w:szCs w:val="22"/>
        </w:rPr>
        <w:instrText xml:space="preserve"> HYPERLINK \l "_Toc161668793" </w:instrText>
      </w:r>
      <w:r>
        <w:rPr>
          <w:sz w:val="22"/>
          <w:szCs w:val="22"/>
        </w:rPr>
        <w:fldChar w:fldCharType="separate"/>
      </w:r>
      <w:r>
        <w:rPr>
          <w:rStyle w:val="35"/>
          <w:rFonts w:eastAsia="仿宋" w:cs="Times New Roman"/>
          <w:sz w:val="22"/>
          <w:szCs w:val="22"/>
        </w:rPr>
        <w:t>附录V     人力资本外溢效应的潜在机制：非参数动态双重差分估计结果</w:t>
      </w:r>
      <w:r>
        <w:rPr>
          <w:rStyle w:val="35"/>
          <w:rFonts w:eastAsia="仿宋" w:cs="Times New Roman"/>
          <w:sz w:val="22"/>
          <w:szCs w:val="22"/>
        </w:rPr>
        <w:tab/>
      </w:r>
      <w:r>
        <w:rPr>
          <w:rStyle w:val="35"/>
          <w:rFonts w:hint="eastAsia" w:eastAsia="仿宋" w:cs="Times New Roman"/>
          <w:sz w:val="22"/>
          <w:szCs w:val="22"/>
          <w:lang w:val="en-US" w:eastAsia="zh-CN"/>
        </w:rPr>
        <w:t>1</w:t>
      </w:r>
      <w:r>
        <w:rPr>
          <w:rStyle w:val="35"/>
          <w:rFonts w:eastAsia="仿宋" w:cs="Times New Roman"/>
          <w:sz w:val="22"/>
          <w:szCs w:val="22"/>
        </w:rPr>
        <w:fldChar w:fldCharType="end"/>
      </w:r>
      <w:r>
        <w:rPr>
          <w:rStyle w:val="35"/>
          <w:rFonts w:hint="eastAsia" w:eastAsia="仿宋" w:cs="Times New Roman"/>
          <w:sz w:val="22"/>
          <w:szCs w:val="22"/>
          <w:lang w:val="en-US" w:eastAsia="zh-CN"/>
        </w:rPr>
        <w:t>1</w:t>
      </w:r>
    </w:p>
    <w:p>
      <w:pPr>
        <w:pStyle w:val="21"/>
        <w:tabs>
          <w:tab w:val="left" w:pos="1032"/>
          <w:tab w:val="right" w:leader="dot" w:pos="9016"/>
        </w:tabs>
        <w:spacing w:line="360" w:lineRule="auto"/>
        <w:ind w:firstLine="181" w:firstLineChars="87"/>
        <w:rPr>
          <w:rStyle w:val="35"/>
          <w:rFonts w:hint="eastAsia" w:eastAsia="仿宋" w:cs="Times New Roman"/>
          <w:sz w:val="22"/>
          <w:szCs w:val="22"/>
          <w:lang w:val="en-US" w:eastAsia="zh-CN"/>
        </w:rPr>
      </w:pPr>
      <w:r>
        <w:rPr>
          <w:sz w:val="22"/>
          <w:szCs w:val="22"/>
        </w:rPr>
        <w:fldChar w:fldCharType="begin"/>
      </w:r>
      <w:r>
        <w:rPr>
          <w:sz w:val="22"/>
          <w:szCs w:val="22"/>
        </w:rPr>
        <w:instrText xml:space="preserve"> HYPERLINK \l "_Toc161668794" </w:instrText>
      </w:r>
      <w:r>
        <w:rPr>
          <w:sz w:val="22"/>
          <w:szCs w:val="22"/>
        </w:rPr>
        <w:fldChar w:fldCharType="separate"/>
      </w:r>
      <w:r>
        <w:rPr>
          <w:rStyle w:val="35"/>
          <w:rFonts w:eastAsia="仿宋" w:cs="Times New Roman"/>
          <w:sz w:val="22"/>
          <w:szCs w:val="22"/>
        </w:rPr>
        <w:t>附录VI     关于大学教育回报的进一步讨论：分析框架和估计结果</w:t>
      </w:r>
      <w:r>
        <w:rPr>
          <w:rStyle w:val="35"/>
          <w:rFonts w:eastAsia="仿宋" w:cs="Times New Roman"/>
          <w:sz w:val="22"/>
          <w:szCs w:val="22"/>
        </w:rPr>
        <w:tab/>
      </w:r>
      <w:r>
        <w:rPr>
          <w:rStyle w:val="35"/>
          <w:rFonts w:hint="eastAsia" w:eastAsia="仿宋" w:cs="Times New Roman"/>
          <w:sz w:val="22"/>
          <w:szCs w:val="22"/>
          <w:lang w:val="en-US" w:eastAsia="zh-CN"/>
        </w:rPr>
        <w:t>1</w:t>
      </w:r>
      <w:r>
        <w:rPr>
          <w:rStyle w:val="35"/>
          <w:rFonts w:eastAsia="仿宋" w:cs="Times New Roman"/>
          <w:sz w:val="22"/>
          <w:szCs w:val="22"/>
        </w:rPr>
        <w:fldChar w:fldCharType="end"/>
      </w:r>
      <w:r>
        <w:rPr>
          <w:rStyle w:val="35"/>
          <w:rFonts w:hint="eastAsia" w:eastAsia="仿宋" w:cs="Times New Roman"/>
          <w:sz w:val="22"/>
          <w:szCs w:val="22"/>
          <w:lang w:val="en-US" w:eastAsia="zh-CN"/>
        </w:rPr>
        <w:t>3</w:t>
      </w:r>
    </w:p>
    <w:p>
      <w:pPr>
        <w:pStyle w:val="23"/>
        <w:rPr>
          <w:rStyle w:val="35"/>
          <w:rFonts w:eastAsia="仿宋" w:cs="Times New Roman"/>
          <w:sz w:val="22"/>
          <w:szCs w:val="22"/>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992" w:gutter="0"/>
          <w:cols w:space="425" w:num="1"/>
          <w:docGrid w:type="linesAndChars" w:linePitch="357" w:charSpace="-2478"/>
        </w:sectPr>
      </w:pPr>
      <w:r>
        <w:rPr>
          <w:rStyle w:val="35"/>
          <w:rFonts w:eastAsia="仿宋" w:cs="Times New Roman"/>
          <w:sz w:val="22"/>
          <w:szCs w:val="22"/>
        </w:rPr>
        <w:fldChar w:fldCharType="end"/>
      </w:r>
      <w:bookmarkStart w:id="20" w:name="_GoBack"/>
      <w:bookmarkEnd w:id="20"/>
      <w:bookmarkStart w:id="2" w:name="_Toc161668789"/>
    </w:p>
    <w:p>
      <w:pPr>
        <w:pStyle w:val="23"/>
        <w:jc w:val="center"/>
        <w:rPr>
          <w:rFonts w:hint="eastAsia" w:ascii="楷体" w:hAnsi="楷体" w:eastAsia="楷体" w:cs="楷体"/>
          <w:b w:val="0"/>
          <w:bCs w:val="0"/>
          <w:sz w:val="28"/>
          <w:szCs w:val="36"/>
        </w:rPr>
      </w:pPr>
      <w:r>
        <w:rPr>
          <w:rFonts w:hint="eastAsia" w:ascii="楷体" w:hAnsi="楷体" w:eastAsia="楷体" w:cs="楷体"/>
          <w:b w:val="0"/>
          <w:bCs w:val="0"/>
          <w:sz w:val="28"/>
          <w:szCs w:val="36"/>
        </w:rPr>
        <w:t>附录I</w:t>
      </w:r>
      <w:r>
        <w:rPr>
          <w:rFonts w:hint="eastAsia" w:ascii="楷体" w:hAnsi="楷体" w:eastAsia="楷体" w:cs="楷体"/>
          <w:b w:val="0"/>
          <w:bCs w:val="0"/>
          <w:sz w:val="28"/>
          <w:szCs w:val="36"/>
          <w:lang w:val="en-US" w:eastAsia="zh-CN"/>
        </w:rPr>
        <w:t xml:space="preserve"> </w:t>
      </w:r>
      <w:r>
        <w:rPr>
          <w:rFonts w:hint="eastAsia" w:ascii="楷体" w:hAnsi="楷体" w:eastAsia="楷体" w:cs="楷体"/>
          <w:b w:val="0"/>
          <w:bCs w:val="0"/>
          <w:sz w:val="28"/>
          <w:szCs w:val="36"/>
        </w:rPr>
        <w:t>制度背景</w:t>
      </w:r>
      <w:bookmarkEnd w:id="2"/>
    </w:p>
    <w:p>
      <w:pPr>
        <w:ind w:firstLine="396"/>
        <w:jc w:val="center"/>
        <w:rPr>
          <w:rFonts w:eastAsia="仿宋" w:cs="Times New Roman"/>
        </w:rPr>
      </w:pPr>
      <w:r>
        <w:rPr>
          <w:rFonts w:eastAsia="仿宋" w:cs="Times New Roman"/>
        </w:rPr>
        <w:drawing>
          <wp:inline distT="0" distB="0" distL="0" distR="0">
            <wp:extent cx="3403600" cy="247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28368" cy="2494557"/>
                    </a:xfrm>
                    <a:prstGeom prst="rect">
                      <a:avLst/>
                    </a:prstGeom>
                    <a:noFill/>
                    <a:ln>
                      <a:noFill/>
                    </a:ln>
                  </pic:spPr>
                </pic:pic>
              </a:graphicData>
            </a:graphic>
          </wp:inline>
        </w:drawing>
      </w:r>
    </w:p>
    <w:p>
      <w:pPr>
        <w:keepNext/>
        <w:keepLines/>
        <w:snapToGrid w:val="0"/>
        <w:spacing w:after="178" w:afterLines="50"/>
        <w:ind w:firstLine="396"/>
        <w:jc w:val="center"/>
        <w:outlineLvl w:val="6"/>
        <w:rPr>
          <w:rFonts w:hint="eastAsia" w:ascii="黑体" w:hAnsi="黑体" w:eastAsia="黑体" w:cs="黑体"/>
          <w:bCs/>
          <w:kern w:val="0"/>
          <w:sz w:val="20"/>
          <w:szCs w:val="22"/>
        </w:rPr>
      </w:pPr>
      <w:r>
        <w:rPr>
          <w:rFonts w:hint="eastAsia" w:ascii="黑体" w:hAnsi="黑体" w:eastAsia="黑体" w:cs="黑体"/>
          <w:bCs/>
          <w:kern w:val="0"/>
          <w:sz w:val="20"/>
          <w:szCs w:val="22"/>
        </w:rPr>
        <w:t xml:space="preserve">图 I1  1980-2015年中国高校历年招生和毕业人数趋势 </w:t>
      </w:r>
    </w:p>
    <w:p>
      <w:pPr>
        <w:keepNext/>
        <w:keepLines/>
        <w:snapToGrid w:val="0"/>
        <w:spacing w:after="178" w:afterLines="50"/>
        <w:ind w:firstLine="396"/>
        <w:jc w:val="center"/>
        <w:outlineLvl w:val="6"/>
        <w:rPr>
          <w:rFonts w:hint="eastAsia" w:ascii="黑体" w:hAnsi="黑体" w:eastAsia="黑体" w:cs="黑体"/>
          <w:bCs/>
          <w:kern w:val="0"/>
          <w:sz w:val="20"/>
          <w:szCs w:val="22"/>
        </w:rPr>
      </w:pPr>
    </w:p>
    <w:p>
      <w:pPr>
        <w:snapToGrid w:val="0"/>
        <w:spacing w:after="178" w:afterLines="50"/>
        <w:ind w:firstLine="0" w:firstLineChars="0"/>
        <w:rPr>
          <w:rFonts w:hint="eastAsia" w:ascii="仿宋" w:hAnsi="仿宋" w:eastAsia="仿宋" w:cs="仿宋"/>
          <w:bCs/>
          <w:sz w:val="18"/>
          <w:szCs w:val="22"/>
          <w:lang w:val="zh-CN"/>
        </w:rPr>
      </w:pPr>
      <w:r>
        <w:rPr>
          <w:rFonts w:hint="eastAsia" w:ascii="仿宋" w:hAnsi="仿宋" w:eastAsia="仿宋" w:cs="仿宋"/>
          <w:bCs/>
          <w:sz w:val="18"/>
          <w:szCs w:val="22"/>
          <w:lang w:val="zh-CN" w:eastAsia="zh-CN"/>
        </w:rPr>
        <w:t>注：数据来源</w:t>
      </w:r>
      <w:r>
        <w:rPr>
          <w:rFonts w:hint="eastAsia" w:ascii="仿宋" w:hAnsi="仿宋" w:eastAsia="仿宋" w:cs="仿宋"/>
          <w:bCs/>
          <w:sz w:val="18"/>
          <w:szCs w:val="22"/>
          <w:lang w:val="zh-CN"/>
        </w:rPr>
        <w:t>为《中国统计年鉴》。左侧虚线为高校扩招政策实施的时间（1999年），右侧虚线为</w:t>
      </w:r>
      <w:r>
        <w:rPr>
          <w:rFonts w:hint="eastAsia" w:ascii="仿宋" w:hAnsi="仿宋" w:eastAsia="仿宋" w:cs="仿宋"/>
          <w:bCs/>
          <w:sz w:val="18"/>
          <w:szCs w:val="22"/>
        </w:rPr>
        <w:t>高校扩招政策实施后，大学毕业生陆续进入劳动力市场的时间（2003年）。</w:t>
      </w:r>
    </w:p>
    <w:p>
      <w:pPr>
        <w:ind w:firstLine="396"/>
        <w:rPr>
          <w:lang w:val="zh-CN"/>
        </w:rPr>
      </w:pPr>
    </w:p>
    <w:p>
      <w:pPr>
        <w:widowControl/>
        <w:ind w:firstLine="0" w:firstLineChars="0"/>
        <w:contextualSpacing w:val="0"/>
        <w:jc w:val="left"/>
        <w:rPr>
          <w:rFonts w:cs="Times New Roman"/>
        </w:rPr>
      </w:pPr>
      <w:r>
        <w:rPr>
          <w:rFonts w:cs="Times New Roman"/>
        </w:rPr>
        <w:br w:type="page"/>
      </w:r>
    </w:p>
    <w:p>
      <w:pPr>
        <w:pStyle w:val="23"/>
        <w:jc w:val="center"/>
        <w:rPr>
          <w:rStyle w:val="55"/>
          <w:rFonts w:hint="eastAsia" w:ascii="楷体" w:hAnsi="楷体" w:eastAsia="楷体" w:cs="楷体"/>
          <w:b w:val="0"/>
          <w:bCs w:val="0"/>
          <w:sz w:val="28"/>
          <w:szCs w:val="36"/>
        </w:rPr>
      </w:pPr>
      <w:bookmarkStart w:id="3" w:name="_Toc161668790"/>
      <w:r>
        <w:rPr>
          <w:rFonts w:hint="eastAsia" w:ascii="楷体" w:hAnsi="楷体" w:eastAsia="楷体" w:cs="楷体"/>
          <w:b w:val="0"/>
          <w:bCs w:val="0"/>
          <w:sz w:val="28"/>
          <w:szCs w:val="36"/>
        </w:rPr>
        <w:t>附录II 样本清理和描述性统计</w:t>
      </w:r>
      <w:bookmarkEnd w:id="3"/>
    </w:p>
    <w:p>
      <w:pPr>
        <w:widowControl/>
        <w:ind w:firstLine="396" w:firstLineChars="0"/>
        <w:contextualSpacing w:val="0"/>
        <w:jc w:val="left"/>
        <w:rPr>
          <w:rFonts w:eastAsia="仿宋" w:cs="Times New Roman"/>
          <w:b/>
          <w:sz w:val="28"/>
          <w:szCs w:val="18"/>
        </w:rPr>
      </w:pPr>
      <w:r>
        <w:rPr>
          <w:rFonts w:eastAsia="仿宋" w:cs="Times New Roman"/>
          <w:szCs w:val="21"/>
        </w:rPr>
        <w:t>本文按照如下步骤对UHS原始数据进行清理：（1）剔除20周岁以下和60周岁以上样本；（2）运用年度CPI对收入、消费等名义变量进行平减；（3）在0.1%水平上对收入、消费等连续型变量进行缩尾处理。经过清理后，最终得到275,998个观测值。</w:t>
      </w:r>
    </w:p>
    <w:p>
      <w:pPr>
        <w:ind w:firstLine="396"/>
        <w:rPr>
          <w:rFonts w:eastAsia="仿宋" w:cs="Times New Roman"/>
          <w:sz w:val="22"/>
          <w:szCs w:val="21"/>
        </w:rPr>
      </w:pPr>
      <w:r>
        <w:rPr>
          <w:rFonts w:eastAsia="仿宋" w:cs="Times New Roman"/>
          <w:szCs w:val="21"/>
        </w:rPr>
        <w:t>表II1汇报了本文所使用的主要数据和变量的描述性统计，其中面板A为UHS 1999</w:t>
      </w:r>
      <w:r>
        <w:rPr>
          <w:rFonts w:hint="eastAsia" w:eastAsia="仿宋" w:cs="Times New Roman"/>
          <w:szCs w:val="21"/>
          <w:lang w:eastAsia="zh-CN"/>
        </w:rPr>
        <w:t>—</w:t>
      </w:r>
      <w:r>
        <w:rPr>
          <w:rFonts w:eastAsia="仿宋" w:cs="Times New Roman"/>
          <w:szCs w:val="21"/>
        </w:rPr>
        <w:t>2007年的样本，面板B为工商注册企业信息2000</w:t>
      </w:r>
      <w:r>
        <w:rPr>
          <w:rFonts w:hint="eastAsia" w:eastAsia="仿宋" w:cs="Times New Roman"/>
          <w:szCs w:val="21"/>
          <w:lang w:eastAsia="zh-CN"/>
        </w:rPr>
        <w:t>—</w:t>
      </w:r>
      <w:r>
        <w:rPr>
          <w:rFonts w:eastAsia="仿宋" w:cs="Times New Roman"/>
          <w:szCs w:val="21"/>
        </w:rPr>
        <w:t>2007年的样本，面板C为城市统计年鉴1999</w:t>
      </w:r>
      <w:r>
        <w:rPr>
          <w:rFonts w:hint="eastAsia" w:eastAsia="仿宋" w:cs="Times New Roman"/>
          <w:szCs w:val="21"/>
          <w:lang w:eastAsia="zh-CN"/>
        </w:rPr>
        <w:t>—</w:t>
      </w:r>
      <w:r>
        <w:rPr>
          <w:rFonts w:eastAsia="仿宋" w:cs="Times New Roman"/>
          <w:szCs w:val="21"/>
        </w:rPr>
        <w:t>2007年的样本。</w:t>
      </w:r>
    </w:p>
    <w:p>
      <w:pPr>
        <w:keepLines/>
        <w:spacing w:before="178" w:beforeLines="50"/>
        <w:ind w:firstLine="397"/>
        <w:jc w:val="center"/>
        <w:outlineLvl w:val="8"/>
        <w:rPr>
          <w:rFonts w:hint="eastAsia" w:ascii="黑体" w:hAnsi="黑体" w:eastAsia="黑体" w:cs="黑体"/>
          <w:b w:val="0"/>
          <w:bCs/>
          <w:kern w:val="0"/>
          <w:sz w:val="20"/>
          <w:szCs w:val="20"/>
          <w:lang w:val="zh-CN" w:eastAsia="zh-CN"/>
        </w:rPr>
      </w:pPr>
      <w:r>
        <w:rPr>
          <w:rFonts w:hint="eastAsia" w:ascii="黑体" w:hAnsi="黑体" w:eastAsia="黑体" w:cs="黑体"/>
          <w:b w:val="0"/>
          <w:bCs/>
          <w:kern w:val="0"/>
          <w:sz w:val="20"/>
          <w:szCs w:val="20"/>
          <w:lang w:val="zh-CN" w:eastAsia="zh-CN"/>
        </w:rPr>
        <w:t>表</w:t>
      </w:r>
      <w:r>
        <w:rPr>
          <w:rFonts w:hint="eastAsia" w:ascii="黑体" w:hAnsi="黑体" w:eastAsia="黑体" w:cs="黑体"/>
          <w:b w:val="0"/>
          <w:bCs/>
          <w:kern w:val="0"/>
          <w:sz w:val="20"/>
          <w:szCs w:val="20"/>
          <w:lang w:val="zh-CN"/>
        </w:rPr>
        <w:t>I</w:t>
      </w:r>
      <w:r>
        <w:rPr>
          <w:rFonts w:hint="eastAsia" w:ascii="黑体" w:hAnsi="黑体" w:eastAsia="黑体" w:cs="黑体"/>
          <w:b w:val="0"/>
          <w:bCs/>
          <w:kern w:val="0"/>
          <w:sz w:val="20"/>
          <w:szCs w:val="20"/>
          <w:lang w:val="zh-CN" w:eastAsia="zh-CN"/>
        </w:rPr>
        <w:t xml:space="preserve">I1  </w:t>
      </w:r>
      <w:r>
        <w:rPr>
          <w:rFonts w:hint="eastAsia" w:ascii="黑体" w:hAnsi="黑体" w:eastAsia="黑体" w:cs="黑体"/>
          <w:b w:val="0"/>
          <w:bCs/>
          <w:kern w:val="0"/>
          <w:sz w:val="20"/>
          <w:szCs w:val="20"/>
          <w:lang w:val="zh-CN"/>
        </w:rPr>
        <w:t>样本描述性统计</w:t>
      </w:r>
    </w:p>
    <w:tbl>
      <w:tblPr>
        <w:tblStyle w:val="89"/>
        <w:tblW w:w="0" w:type="auto"/>
        <w:tblInd w:w="0" w:type="dxa"/>
        <w:tblBorders>
          <w:top w:val="single" w:color="000000" w:sz="2" w:space="0"/>
          <w:left w:val="none" w:color="auto" w:sz="0" w:space="0"/>
          <w:bottom w:val="single" w:color="000000" w:sz="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969"/>
        <w:gridCol w:w="1365"/>
        <w:gridCol w:w="1438"/>
        <w:gridCol w:w="1317"/>
        <w:gridCol w:w="1952"/>
      </w:tblGrid>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double" w:color="auto" w:sz="4" w:space="0"/>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bookmarkStart w:id="4" w:name="_Hlk110623187"/>
            <w:r>
              <w:rPr>
                <w:rFonts w:eastAsia="仿宋" w:cs="Times New Roman"/>
                <w:kern w:val="0"/>
                <w:sz w:val="18"/>
                <w:szCs w:val="18"/>
              </w:rPr>
              <w:t>变量</w:t>
            </w:r>
          </w:p>
        </w:tc>
        <w:tc>
          <w:tcPr>
            <w:tcW w:w="969" w:type="dxa"/>
            <w:tcBorders>
              <w:top w:val="double" w:color="auto" w:sz="4" w:space="0"/>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观测值</w:t>
            </w:r>
          </w:p>
        </w:tc>
        <w:tc>
          <w:tcPr>
            <w:tcW w:w="1365" w:type="dxa"/>
            <w:tcBorders>
              <w:top w:val="double" w:color="auto" w:sz="4" w:space="0"/>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平均值</w:t>
            </w:r>
          </w:p>
        </w:tc>
        <w:tc>
          <w:tcPr>
            <w:tcW w:w="1438" w:type="dxa"/>
            <w:tcBorders>
              <w:top w:val="double" w:color="auto" w:sz="4" w:space="0"/>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标准差</w:t>
            </w:r>
          </w:p>
        </w:tc>
        <w:tc>
          <w:tcPr>
            <w:tcW w:w="1317" w:type="dxa"/>
            <w:tcBorders>
              <w:top w:val="double" w:color="auto" w:sz="4" w:space="0"/>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最小值</w:t>
            </w:r>
          </w:p>
        </w:tc>
        <w:tc>
          <w:tcPr>
            <w:tcW w:w="1952" w:type="dxa"/>
            <w:tcBorders>
              <w:top w:val="double" w:color="auto" w:sz="4" w:space="0"/>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最大值</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54" w:type="dxa"/>
            <w:gridSpan w:val="2"/>
            <w:tcBorders>
              <w:top w:val="nil"/>
              <w:left w:val="nil"/>
              <w:bottom w:val="single" w:color="000000" w:sz="2" w:space="0"/>
              <w:right w:val="nil"/>
            </w:tcBorders>
            <w:vAlign w:val="center"/>
          </w:tcPr>
          <w:p>
            <w:pPr>
              <w:pStyle w:val="16"/>
              <w:jc w:val="both"/>
              <w:rPr>
                <w:rFonts w:eastAsia="仿宋" w:cs="Times New Roman"/>
                <w:szCs w:val="18"/>
              </w:rPr>
            </w:pPr>
            <w:r>
              <w:rPr>
                <w:rFonts w:eastAsia="仿宋" w:cs="Times New Roman"/>
                <w:b/>
                <w:bCs/>
                <w:szCs w:val="18"/>
              </w:rPr>
              <w:t>面板A: UHS</w:t>
            </w:r>
            <w:r>
              <w:rPr>
                <w:rFonts w:eastAsia="仿宋" w:cs="Times New Roman"/>
                <w:b/>
                <w:bCs/>
                <w:szCs w:val="18"/>
                <w:lang w:eastAsia="zh-CN"/>
              </w:rPr>
              <w:t>样本（个人-年层面）</w:t>
            </w:r>
          </w:p>
        </w:tc>
        <w:tc>
          <w:tcPr>
            <w:tcW w:w="1365" w:type="dxa"/>
            <w:tcBorders>
              <w:top w:val="nil"/>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p>
        </w:tc>
        <w:tc>
          <w:tcPr>
            <w:tcW w:w="1438" w:type="dxa"/>
            <w:tcBorders>
              <w:top w:val="nil"/>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p>
        </w:tc>
        <w:tc>
          <w:tcPr>
            <w:tcW w:w="1317" w:type="dxa"/>
            <w:tcBorders>
              <w:top w:val="nil"/>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p>
        </w:tc>
        <w:tc>
          <w:tcPr>
            <w:tcW w:w="1952" w:type="dxa"/>
            <w:tcBorders>
              <w:top w:val="nil"/>
              <w:left w:val="nil"/>
              <w:bottom w:val="single" w:color="000000" w:sz="2" w:space="0"/>
              <w:right w:val="nil"/>
            </w:tcBorders>
            <w:vAlign w:val="center"/>
          </w:tcPr>
          <w:p>
            <w:pPr>
              <w:widowControl/>
              <w:ind w:firstLine="0" w:firstLineChars="0"/>
              <w:contextualSpacing w:val="0"/>
              <w:jc w:val="center"/>
              <w:rPr>
                <w:rFonts w:eastAsia="仿宋" w:cs="Times New Roman"/>
                <w:kern w:val="0"/>
                <w:sz w:val="18"/>
                <w:szCs w:val="18"/>
              </w:rPr>
            </w:pP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000000" w:sz="2" w:space="0"/>
              <w:left w:val="nil"/>
              <w:bottom w:val="nil"/>
              <w:right w:val="nil"/>
            </w:tcBorders>
            <w:vAlign w:val="center"/>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出生年份</w:t>
            </w:r>
          </w:p>
        </w:tc>
        <w:tc>
          <w:tcPr>
            <w:tcW w:w="969" w:type="dxa"/>
            <w:tcBorders>
              <w:top w:val="single" w:color="000000" w:sz="2" w:space="0"/>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275998</w:t>
            </w:r>
          </w:p>
        </w:tc>
        <w:tc>
          <w:tcPr>
            <w:tcW w:w="1365" w:type="dxa"/>
            <w:tcBorders>
              <w:top w:val="single" w:color="000000" w:sz="2" w:space="0"/>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1962.45</w:t>
            </w:r>
          </w:p>
        </w:tc>
        <w:tc>
          <w:tcPr>
            <w:tcW w:w="1438" w:type="dxa"/>
            <w:tcBorders>
              <w:top w:val="single" w:color="000000" w:sz="2" w:space="0"/>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10.47</w:t>
            </w:r>
          </w:p>
        </w:tc>
        <w:tc>
          <w:tcPr>
            <w:tcW w:w="1317" w:type="dxa"/>
            <w:tcBorders>
              <w:top w:val="single" w:color="000000" w:sz="2" w:space="0"/>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1940</w:t>
            </w:r>
          </w:p>
        </w:tc>
        <w:tc>
          <w:tcPr>
            <w:tcW w:w="1952" w:type="dxa"/>
            <w:tcBorders>
              <w:top w:val="single" w:color="000000" w:sz="2" w:space="0"/>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1987</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大学毕业生 (是=1)</w:t>
            </w:r>
            <w:r>
              <w:rPr>
                <w:rStyle w:val="37"/>
                <w:rFonts w:eastAsia="仿宋" w:cs="Times New Roman"/>
                <w:kern w:val="0"/>
                <w:sz w:val="18"/>
                <w:szCs w:val="18"/>
              </w:rPr>
              <w:footnoteReference w:id="0"/>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275998</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0.29</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0.455</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男性 (是=1)</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275998</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0.49</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0.500</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个人收入 (元)</w:t>
            </w:r>
            <w:r>
              <w:rPr>
                <w:rStyle w:val="37"/>
                <w:rFonts w:eastAsia="仿宋" w:cs="Times New Roman"/>
                <w:kern w:val="0"/>
                <w:sz w:val="18"/>
                <w:szCs w:val="18"/>
              </w:rPr>
              <w:footnoteReference w:id="1"/>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275998</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12628.98</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11558.36</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63160.00</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家庭人均收入 (元)</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275735</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10584.85</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7785.81</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138.39</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44113.89</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从事第三产业 (是=1)</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275998</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0.37</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0.481</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0</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9026" w:type="dxa"/>
            <w:gridSpan w:val="6"/>
            <w:tcBorders>
              <w:top w:val="single" w:color="auto" w:sz="4" w:space="0"/>
              <w:left w:val="nil"/>
              <w:bottom w:val="single" w:color="auto" w:sz="4" w:space="0"/>
              <w:right w:val="nil"/>
            </w:tcBorders>
            <w:vAlign w:val="center"/>
          </w:tcPr>
          <w:p>
            <w:pPr>
              <w:widowControl/>
              <w:ind w:firstLine="0" w:firstLineChars="0"/>
              <w:contextualSpacing w:val="0"/>
              <w:jc w:val="left"/>
              <w:rPr>
                <w:rFonts w:eastAsia="仿宋" w:cs="Times New Roman"/>
                <w:kern w:val="0"/>
                <w:sz w:val="18"/>
                <w:szCs w:val="15"/>
              </w:rPr>
            </w:pPr>
            <w:r>
              <w:rPr>
                <w:rFonts w:eastAsia="仿宋" w:cs="Times New Roman"/>
                <w:b/>
                <w:bCs/>
                <w:sz w:val="18"/>
                <w:szCs w:val="15"/>
              </w:rPr>
              <w:t>面板B:工商注册企业数据（城市-年层面）</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4" w:space="0"/>
              <w:left w:val="nil"/>
              <w:bottom w:val="nil"/>
              <w:right w:val="nil"/>
            </w:tcBorders>
            <w:vAlign w:val="center"/>
          </w:tcPr>
          <w:p>
            <w:pPr>
              <w:widowControl/>
              <w:ind w:firstLine="0" w:firstLineChars="0"/>
              <w:contextualSpacing w:val="0"/>
              <w:jc w:val="left"/>
              <w:rPr>
                <w:rFonts w:eastAsia="仿宋" w:cs="Times New Roman"/>
                <w:sz w:val="18"/>
                <w:szCs w:val="18"/>
              </w:rPr>
            </w:pPr>
            <w:r>
              <w:rPr>
                <w:rFonts w:eastAsia="仿宋" w:cs="Times New Roman"/>
                <w:sz w:val="18"/>
                <w:szCs w:val="18"/>
              </w:rPr>
              <w:t>各产业新增加雇员数</w:t>
            </w:r>
          </w:p>
        </w:tc>
        <w:tc>
          <w:tcPr>
            <w:tcW w:w="969" w:type="dxa"/>
            <w:tcBorders>
              <w:top w:val="single" w:color="auto" w:sz="4" w:space="0"/>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365" w:type="dxa"/>
            <w:tcBorders>
              <w:top w:val="single" w:color="auto" w:sz="4" w:space="0"/>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438" w:type="dxa"/>
            <w:tcBorders>
              <w:top w:val="single" w:color="auto" w:sz="4" w:space="0"/>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317" w:type="dxa"/>
            <w:tcBorders>
              <w:top w:val="single" w:color="auto" w:sz="4" w:space="0"/>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952" w:type="dxa"/>
            <w:tcBorders>
              <w:top w:val="single" w:color="auto" w:sz="4" w:space="0"/>
              <w:left w:val="nil"/>
              <w:bottom w:val="nil"/>
              <w:right w:val="nil"/>
            </w:tcBorders>
            <w:vAlign w:val="center"/>
          </w:tcPr>
          <w:p>
            <w:pPr>
              <w:widowControl/>
              <w:ind w:firstLine="0" w:firstLineChars="0"/>
              <w:contextualSpacing w:val="0"/>
              <w:jc w:val="center"/>
              <w:rPr>
                <w:rFonts w:eastAsia="仿宋" w:cs="Times New Roman"/>
                <w:sz w:val="18"/>
                <w:szCs w:val="18"/>
              </w:rPr>
            </w:pP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bookmarkStart w:id="5" w:name="_Hlk126596066"/>
            <w:r>
              <w:rPr>
                <w:rFonts w:eastAsia="仿宋" w:cs="Times New Roman"/>
                <w:sz w:val="18"/>
                <w:szCs w:val="18"/>
              </w:rPr>
              <w:t>所有产业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1496</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120.77</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196.414</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1.70</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2164.35</w:t>
            </w:r>
          </w:p>
        </w:tc>
      </w:tr>
      <w:bookmarkEnd w:id="5"/>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第一产业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1496</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2.23</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11.932</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0.00</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366.80</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kern w:val="0"/>
                <w:sz w:val="18"/>
                <w:szCs w:val="18"/>
              </w:rPr>
            </w:pPr>
            <w:r>
              <w:rPr>
                <w:rFonts w:eastAsia="仿宋" w:cs="Times New Roman"/>
                <w:sz w:val="18"/>
                <w:szCs w:val="18"/>
              </w:rPr>
              <w:t>第二产业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1496</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40.73</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67.958</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0.53</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kern w:val="0"/>
                <w:sz w:val="18"/>
                <w:szCs w:val="18"/>
              </w:rPr>
            </w:pPr>
            <w:r>
              <w:rPr>
                <w:rFonts w:eastAsia="仿宋" w:cs="Times New Roman"/>
                <w:sz w:val="18"/>
                <w:szCs w:val="18"/>
              </w:rPr>
              <w:t>641.20</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single" w:color="auto" w:sz="4" w:space="0"/>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第三产业</w:t>
            </w:r>
          </w:p>
        </w:tc>
        <w:tc>
          <w:tcPr>
            <w:tcW w:w="969"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1496</w:t>
            </w:r>
          </w:p>
        </w:tc>
        <w:tc>
          <w:tcPr>
            <w:tcW w:w="1365"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120.77</w:t>
            </w:r>
          </w:p>
        </w:tc>
        <w:tc>
          <w:tcPr>
            <w:tcW w:w="1438"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196.414</w:t>
            </w:r>
          </w:p>
        </w:tc>
        <w:tc>
          <w:tcPr>
            <w:tcW w:w="1317"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1.70</w:t>
            </w:r>
          </w:p>
        </w:tc>
        <w:tc>
          <w:tcPr>
            <w:tcW w:w="1952"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2164.35</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5757" w:type="dxa"/>
            <w:gridSpan w:val="4"/>
            <w:tcBorders>
              <w:top w:val="nil"/>
              <w:left w:val="nil"/>
              <w:bottom w:val="single" w:color="auto" w:sz="4" w:space="0"/>
              <w:right w:val="nil"/>
            </w:tcBorders>
            <w:vAlign w:val="center"/>
          </w:tcPr>
          <w:p>
            <w:pPr>
              <w:widowControl/>
              <w:ind w:firstLine="0" w:firstLineChars="0"/>
              <w:contextualSpacing w:val="0"/>
              <w:jc w:val="left"/>
              <w:rPr>
                <w:rFonts w:eastAsia="仿宋" w:cs="Times New Roman"/>
                <w:sz w:val="18"/>
                <w:szCs w:val="18"/>
              </w:rPr>
            </w:pPr>
            <w:r>
              <w:rPr>
                <w:rFonts w:eastAsia="仿宋" w:cs="Times New Roman"/>
                <w:b/>
                <w:bCs/>
                <w:sz w:val="18"/>
                <w:szCs w:val="15"/>
              </w:rPr>
              <w:t>面板C: 城市统计年鉴数据（城市-年层面）</w:t>
            </w:r>
          </w:p>
        </w:tc>
        <w:tc>
          <w:tcPr>
            <w:tcW w:w="1317"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p>
        </w:tc>
        <w:tc>
          <w:tcPr>
            <w:tcW w:w="1952"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sz w:val="18"/>
                <w:szCs w:val="18"/>
              </w:rPr>
            </w:pPr>
            <w:r>
              <w:rPr>
                <w:rFonts w:eastAsia="仿宋" w:cs="Times New Roman"/>
                <w:sz w:val="18"/>
                <w:szCs w:val="18"/>
              </w:rPr>
              <w:t>人均固定资产投资 (元)</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1551</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5790.32</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7560.62</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171.83</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66163.02</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0" w:firstLineChars="0"/>
              <w:contextualSpacing w:val="0"/>
              <w:jc w:val="left"/>
              <w:rPr>
                <w:rFonts w:eastAsia="仿宋" w:cs="Times New Roman"/>
                <w:sz w:val="18"/>
                <w:szCs w:val="18"/>
              </w:rPr>
            </w:pPr>
            <w:r>
              <w:rPr>
                <w:rFonts w:eastAsia="仿宋" w:cs="Times New Roman"/>
                <w:sz w:val="18"/>
                <w:szCs w:val="18"/>
              </w:rPr>
              <w:t>人均工业产值 (元)</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1549</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20986.40</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42318.96</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194.85</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651310.94</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54" w:type="dxa"/>
            <w:gridSpan w:val="2"/>
            <w:tcBorders>
              <w:top w:val="nil"/>
              <w:left w:val="nil"/>
              <w:bottom w:val="nil"/>
              <w:right w:val="nil"/>
            </w:tcBorders>
            <w:vAlign w:val="center"/>
          </w:tcPr>
          <w:p>
            <w:pPr>
              <w:widowControl/>
              <w:ind w:firstLine="0" w:firstLineChars="0"/>
              <w:contextualSpacing w:val="0"/>
              <w:jc w:val="left"/>
              <w:rPr>
                <w:rFonts w:eastAsia="仿宋" w:cs="Times New Roman"/>
                <w:sz w:val="18"/>
                <w:szCs w:val="18"/>
              </w:rPr>
            </w:pPr>
            <w:r>
              <w:rPr>
                <w:rFonts w:eastAsia="仿宋" w:cs="Times New Roman"/>
                <w:sz w:val="18"/>
                <w:szCs w:val="18"/>
              </w:rPr>
              <w:t>各产业从业人员比重 (%)</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第一产业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1549</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4.74</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8.298</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0.03</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63.60</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第二产业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1550</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43.88</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12.740</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11.64</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81.58</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第三产业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1550</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51.39</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12.559</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17.89</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86.94</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54" w:type="dxa"/>
            <w:gridSpan w:val="2"/>
            <w:tcBorders>
              <w:top w:val="nil"/>
              <w:left w:val="nil"/>
              <w:bottom w:val="nil"/>
              <w:right w:val="nil"/>
            </w:tcBorders>
            <w:vAlign w:val="center"/>
          </w:tcPr>
          <w:p>
            <w:pPr>
              <w:widowControl/>
              <w:ind w:firstLine="0" w:firstLineChars="0"/>
              <w:contextualSpacing w:val="0"/>
              <w:jc w:val="left"/>
              <w:rPr>
                <w:rFonts w:eastAsia="仿宋" w:cs="Times New Roman"/>
                <w:sz w:val="18"/>
                <w:szCs w:val="18"/>
              </w:rPr>
            </w:pPr>
            <w:r>
              <w:rPr>
                <w:rFonts w:eastAsia="仿宋" w:cs="Times New Roman"/>
                <w:sz w:val="18"/>
                <w:szCs w:val="18"/>
              </w:rPr>
              <w:t>各产业从业人员人数 (万人)</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第一产业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1549</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17.24</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30.257</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0.04</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441.95</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nil"/>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第二产业</w:t>
            </w:r>
          </w:p>
        </w:tc>
        <w:tc>
          <w:tcPr>
            <w:tcW w:w="969"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1550</w:t>
            </w:r>
          </w:p>
        </w:tc>
        <w:tc>
          <w:tcPr>
            <w:tcW w:w="1365"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187.47</w:t>
            </w:r>
          </w:p>
        </w:tc>
        <w:tc>
          <w:tcPr>
            <w:tcW w:w="1438"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144.430</w:t>
            </w:r>
          </w:p>
        </w:tc>
        <w:tc>
          <w:tcPr>
            <w:tcW w:w="1317"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9.09</w:t>
            </w:r>
          </w:p>
        </w:tc>
        <w:tc>
          <w:tcPr>
            <w:tcW w:w="1952" w:type="dxa"/>
            <w:tcBorders>
              <w:top w:val="nil"/>
              <w:left w:val="nil"/>
              <w:bottom w:val="nil"/>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1519.63</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nil"/>
              <w:left w:val="nil"/>
              <w:bottom w:val="single" w:color="auto" w:sz="4" w:space="0"/>
              <w:right w:val="nil"/>
            </w:tcBorders>
            <w:vAlign w:val="center"/>
          </w:tcPr>
          <w:p>
            <w:pPr>
              <w:widowControl/>
              <w:ind w:firstLine="168" w:firstLineChars="100"/>
              <w:contextualSpacing w:val="0"/>
              <w:jc w:val="left"/>
              <w:rPr>
                <w:rFonts w:eastAsia="仿宋" w:cs="Times New Roman"/>
                <w:sz w:val="18"/>
                <w:szCs w:val="18"/>
              </w:rPr>
            </w:pPr>
            <w:r>
              <w:rPr>
                <w:rFonts w:eastAsia="仿宋" w:cs="Times New Roman"/>
                <w:sz w:val="18"/>
                <w:szCs w:val="18"/>
              </w:rPr>
              <w:t>第三产业</w:t>
            </w:r>
          </w:p>
        </w:tc>
        <w:tc>
          <w:tcPr>
            <w:tcW w:w="969"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1550</w:t>
            </w:r>
          </w:p>
        </w:tc>
        <w:tc>
          <w:tcPr>
            <w:tcW w:w="1365"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239.27</w:t>
            </w:r>
          </w:p>
        </w:tc>
        <w:tc>
          <w:tcPr>
            <w:tcW w:w="1438"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188.197</w:t>
            </w:r>
          </w:p>
        </w:tc>
        <w:tc>
          <w:tcPr>
            <w:tcW w:w="1317"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2.87</w:t>
            </w:r>
          </w:p>
        </w:tc>
        <w:tc>
          <w:tcPr>
            <w:tcW w:w="1952" w:type="dxa"/>
            <w:tcBorders>
              <w:top w:val="nil"/>
              <w:left w:val="nil"/>
              <w:bottom w:val="single" w:color="auto" w:sz="4" w:space="0"/>
              <w:right w:val="nil"/>
            </w:tcBorders>
            <w:vAlign w:val="center"/>
          </w:tcPr>
          <w:p>
            <w:pPr>
              <w:widowControl/>
              <w:ind w:firstLine="0" w:firstLineChars="0"/>
              <w:contextualSpacing w:val="0"/>
              <w:jc w:val="center"/>
              <w:rPr>
                <w:rFonts w:eastAsia="仿宋" w:cs="Times New Roman"/>
                <w:sz w:val="18"/>
                <w:szCs w:val="18"/>
              </w:rPr>
            </w:pPr>
            <w:r>
              <w:rPr>
                <w:rFonts w:eastAsia="仿宋" w:cs="Times New Roman"/>
                <w:sz w:val="18"/>
                <w:szCs w:val="18"/>
              </w:rPr>
              <w:t>1690.13</w:t>
            </w:r>
          </w:p>
        </w:tc>
      </w:tr>
      <w:bookmarkEnd w:id="4"/>
    </w:tbl>
    <w:p>
      <w:pPr>
        <w:pStyle w:val="63"/>
        <w:spacing w:after="178" w:line="240" w:lineRule="auto"/>
        <w:rPr>
          <w:rFonts w:eastAsia="仿宋" w:cs="Times New Roman"/>
          <w:lang w:val="en-US" w:eastAsia="zh-CN"/>
        </w:rPr>
      </w:pPr>
      <w:r>
        <w:rPr>
          <w:rFonts w:eastAsia="仿宋" w:cs="Times New Roman"/>
        </w:rPr>
        <w:t>注：</w:t>
      </w:r>
      <w:r>
        <w:rPr>
          <w:rFonts w:eastAsia="仿宋" w:cs="Times New Roman"/>
          <w:lang w:val="en-US"/>
        </w:rPr>
        <w:t>面板A</w:t>
      </w:r>
      <w:r>
        <w:rPr>
          <w:rFonts w:eastAsia="仿宋" w:cs="Times New Roman"/>
          <w:lang w:val="en-US" w:eastAsia="zh-CN"/>
        </w:rPr>
        <w:t>样本</w:t>
      </w:r>
      <w:r>
        <w:rPr>
          <w:rFonts w:eastAsia="仿宋" w:cs="Times New Roman"/>
          <w:lang w:val="en-US"/>
        </w:rPr>
        <w:t xml:space="preserve">来自UHS </w:t>
      </w:r>
      <w:r>
        <w:rPr>
          <w:rFonts w:eastAsia="仿宋" w:cs="Times New Roman"/>
          <w:lang w:val="en-US" w:eastAsia="zh-CN"/>
        </w:rPr>
        <w:t>1999</w:t>
      </w:r>
      <w:r>
        <w:rPr>
          <w:rFonts w:hint="eastAsia" w:eastAsia="仿宋" w:cs="Times New Roman"/>
          <w:lang w:val="en-US" w:eastAsia="zh-CN"/>
        </w:rPr>
        <w:t>—</w:t>
      </w:r>
      <w:r>
        <w:rPr>
          <w:rFonts w:eastAsia="仿宋" w:cs="Times New Roman"/>
          <w:lang w:val="en-US" w:eastAsia="zh-CN"/>
        </w:rPr>
        <w:t>2007年数据，面板B样本来自2000</w:t>
      </w:r>
      <w:r>
        <w:rPr>
          <w:rFonts w:hint="eastAsia" w:eastAsia="仿宋" w:cs="Times New Roman"/>
          <w:lang w:val="en-US" w:eastAsia="zh-CN"/>
        </w:rPr>
        <w:t>—</w:t>
      </w:r>
      <w:r>
        <w:rPr>
          <w:rFonts w:eastAsia="仿宋" w:cs="Times New Roman"/>
          <w:lang w:val="en-US" w:eastAsia="zh-CN"/>
        </w:rPr>
        <w:t>2007年工商注册企业数据，面板C样本来自1999</w:t>
      </w:r>
      <w:r>
        <w:rPr>
          <w:rFonts w:hint="eastAsia" w:eastAsia="仿宋" w:cs="Times New Roman"/>
          <w:lang w:val="en-US" w:eastAsia="zh-CN"/>
        </w:rPr>
        <w:t>—</w:t>
      </w:r>
      <w:r>
        <w:rPr>
          <w:rFonts w:eastAsia="仿宋" w:cs="Times New Roman"/>
          <w:lang w:val="en-US" w:eastAsia="zh-CN"/>
        </w:rPr>
        <w:t>2007年城市统计年鉴数据。</w:t>
      </w:r>
    </w:p>
    <w:p>
      <w:pPr>
        <w:widowControl/>
        <w:ind w:firstLine="0" w:firstLineChars="0"/>
        <w:contextualSpacing w:val="0"/>
        <w:rPr>
          <w:rFonts w:eastAsia="仿宋" w:cs="Times New Roman"/>
          <w:kern w:val="0"/>
          <w:sz w:val="20"/>
        </w:rPr>
      </w:pPr>
    </w:p>
    <w:p>
      <w:pPr>
        <w:widowControl/>
        <w:ind w:firstLine="376" w:firstLineChars="0"/>
        <w:contextualSpacing w:val="0"/>
        <w:rPr>
          <w:rFonts w:eastAsia="仿宋" w:cs="Times New Roman"/>
          <w:kern w:val="0"/>
          <w:sz w:val="20"/>
        </w:rPr>
      </w:pPr>
    </w:p>
    <w:p>
      <w:pPr>
        <w:widowControl/>
        <w:ind w:firstLine="0" w:firstLineChars="0"/>
        <w:contextualSpacing w:val="0"/>
        <w:jc w:val="center"/>
        <w:rPr>
          <w:rFonts w:eastAsia="仿宋" w:cs="Times New Roman"/>
        </w:rPr>
      </w:pPr>
      <w:r>
        <w:rPr>
          <w:rFonts w:eastAsia="仿宋" w:cs="Times New Roman"/>
        </w:rPr>
        <w:br w:type="page"/>
      </w:r>
    </w:p>
    <w:p>
      <w:pPr>
        <w:pStyle w:val="23"/>
        <w:jc w:val="center"/>
        <w:rPr>
          <w:rFonts w:hint="eastAsia" w:ascii="楷体" w:hAnsi="楷体" w:eastAsia="楷体" w:cs="楷体"/>
          <w:b w:val="0"/>
          <w:bCs w:val="0"/>
          <w:sz w:val="28"/>
          <w:szCs w:val="36"/>
        </w:rPr>
      </w:pPr>
      <w:bookmarkStart w:id="6" w:name="_Toc161668791"/>
      <w:r>
        <w:rPr>
          <w:rFonts w:hint="eastAsia" w:ascii="楷体" w:hAnsi="楷体" w:eastAsia="楷体" w:cs="楷体"/>
          <w:b w:val="0"/>
          <w:bCs w:val="0"/>
          <w:sz w:val="28"/>
          <w:szCs w:val="36"/>
        </w:rPr>
        <w:t xml:space="preserve">附录III  </w:t>
      </w:r>
      <w:r>
        <w:rPr>
          <w:rFonts w:hint="eastAsia" w:ascii="楷体" w:hAnsi="楷体" w:eastAsia="楷体" w:cs="楷体"/>
          <w:b w:val="0"/>
          <w:bCs w:val="0"/>
          <w:sz w:val="28"/>
          <w:szCs w:val="36"/>
          <w:lang w:val="zh-CN"/>
        </w:rPr>
        <w:t>人力资本外溢效应存在的定性证据</w:t>
      </w:r>
      <w:bookmarkEnd w:id="6"/>
    </w:p>
    <w:p>
      <w:pPr>
        <w:ind w:firstLine="396"/>
        <w:rPr>
          <w:rFonts w:eastAsia="仿宋" w:cs="Times New Roman"/>
          <w:szCs w:val="21"/>
        </w:rPr>
      </w:pPr>
      <w:r>
        <w:rPr>
          <w:rFonts w:eastAsia="仿宋" w:cs="Times New Roman"/>
          <w:szCs w:val="21"/>
        </w:rPr>
        <w:t>正如正文提到的，本文主要通过分析扩招政策在不同城市中影响的差异性，来分析和找出人力资本外溢效应存在的潜在证据。因此，</w:t>
      </w:r>
      <w:bookmarkStart w:id="7" w:name="OLE_LINK1"/>
      <w:r>
        <w:rPr>
          <w:rFonts w:eastAsia="仿宋" w:cs="Times New Roman"/>
          <w:szCs w:val="21"/>
        </w:rPr>
        <w:t>我们在每个城市样本中</w:t>
      </w:r>
      <w:bookmarkEnd w:id="7"/>
      <w:r>
        <w:rPr>
          <w:rFonts w:eastAsia="仿宋" w:cs="Times New Roman"/>
          <w:szCs w:val="21"/>
        </w:rPr>
        <w:t>，首先计算了每个出生队列在2003年前后大学毕业生比例和人均收入的变化情况，然后就两者的相关关系进行汇报（每个坐标轴均反映了在城市-队列层面，该变量在2003至2007年与1999至2002年的变化值）。图</w:t>
      </w:r>
      <w:r>
        <w:rPr>
          <w:rFonts w:hint="eastAsia" w:eastAsia="仿宋" w:cs="Times New Roman"/>
          <w:szCs w:val="21"/>
        </w:rPr>
        <w:t>II</w:t>
      </w:r>
      <w:r>
        <w:rPr>
          <w:rFonts w:eastAsia="仿宋" w:cs="Times New Roman"/>
          <w:szCs w:val="21"/>
        </w:rPr>
        <w:t>I1中的a图展示的是，每个城市出生于1960年前群体中，2003年前后的人均收入和大学毕业生比例变化的相关关系。可以发现，其一，该群体中大学毕业生比例变化并不明显（均值在0左右，范围主要在-5%~+5%之间），与正文发现一致；其二，该群体中人均收入和大学生毕业生比例之间的相关关系并不显著（估计系数约为64，且在10%的水平下不显著）。上述结果说明，出生于1960年前群体的收入增长并不能由他们自身人力资本的变化来解释。图</w:t>
      </w:r>
      <w:r>
        <w:rPr>
          <w:rFonts w:hint="eastAsia" w:eastAsia="仿宋" w:cs="Times New Roman"/>
          <w:szCs w:val="21"/>
        </w:rPr>
        <w:t>I</w:t>
      </w:r>
      <w:r>
        <w:rPr>
          <w:rFonts w:eastAsia="仿宋" w:cs="Times New Roman"/>
          <w:szCs w:val="21"/>
        </w:rPr>
        <w:t>II1中的b图则汇报了出生于1960年后群体的结果。可以发现，其一，和正文发现一致的是，大学毕业生比例变化明显（均值在10%左右，范围主要在-5%~+20%之间）；其二，该群体中人均收入和大学生毕业生比例之间具有显著的相关关系（估计系数约为129，且在1%的水平下显著）。该结果说明，出生于1960年后群体的收入增长，可能部分可以被他们自身人力资本的提升来解释。</w:t>
      </w:r>
    </w:p>
    <w:p>
      <w:pPr>
        <w:ind w:firstLine="0" w:firstLineChars="0"/>
        <w:jc w:val="center"/>
        <w:rPr>
          <w:rFonts w:eastAsia="仿宋" w:cs="Times New Roman"/>
        </w:rPr>
      </w:pPr>
      <w:r>
        <w:rPr>
          <w:rFonts w:eastAsia="仿宋" w:cs="Times New Roman"/>
        </w:rPr>
        <w:drawing>
          <wp:inline distT="0" distB="0" distL="0" distR="0">
            <wp:extent cx="2627630" cy="191071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28000" cy="1911167"/>
                    </a:xfrm>
                    <a:prstGeom prst="rect">
                      <a:avLst/>
                    </a:prstGeom>
                    <a:noFill/>
                    <a:ln>
                      <a:noFill/>
                    </a:ln>
                  </pic:spPr>
                </pic:pic>
              </a:graphicData>
            </a:graphic>
          </wp:inline>
        </w:drawing>
      </w:r>
    </w:p>
    <w:p>
      <w:pPr>
        <w:ind w:firstLine="396" w:firstLineChars="0"/>
        <w:jc w:val="center"/>
        <w:rPr>
          <w:rFonts w:eastAsia="仿宋" w:cs="Times New Roman"/>
        </w:rPr>
      </w:pPr>
      <w:r>
        <w:rPr>
          <w:rFonts w:eastAsia="仿宋" w:cs="Times New Roman"/>
        </w:rPr>
        <w:t>a. 出生于1960前队列，大学生比例和人均收入相关关系</w:t>
      </w:r>
    </w:p>
    <w:p>
      <w:pPr>
        <w:ind w:firstLine="0" w:firstLineChars="0"/>
        <w:jc w:val="center"/>
        <w:rPr>
          <w:rFonts w:eastAsia="仿宋" w:cs="Times New Roman"/>
        </w:rPr>
      </w:pPr>
      <w:r>
        <w:rPr>
          <w:rFonts w:eastAsia="仿宋" w:cs="Times New Roman"/>
        </w:rPr>
        <w:drawing>
          <wp:inline distT="0" distB="0" distL="0" distR="0">
            <wp:extent cx="2470150" cy="179578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73449" cy="1798772"/>
                    </a:xfrm>
                    <a:prstGeom prst="rect">
                      <a:avLst/>
                    </a:prstGeom>
                    <a:noFill/>
                    <a:ln>
                      <a:noFill/>
                    </a:ln>
                  </pic:spPr>
                </pic:pic>
              </a:graphicData>
            </a:graphic>
          </wp:inline>
        </w:drawing>
      </w:r>
    </w:p>
    <w:p>
      <w:pPr>
        <w:ind w:firstLine="396" w:firstLineChars="0"/>
        <w:jc w:val="center"/>
        <w:rPr>
          <w:rFonts w:eastAsia="仿宋" w:cs="Times New Roman"/>
        </w:rPr>
      </w:pPr>
      <w:r>
        <w:rPr>
          <w:rFonts w:eastAsia="仿宋" w:cs="Times New Roman"/>
        </w:rPr>
        <w:t>b. 出生于1960后队列，大学生比例和人均收入相关关系</w:t>
      </w:r>
    </w:p>
    <w:p>
      <w:pPr>
        <w:pStyle w:val="8"/>
        <w:spacing w:after="178"/>
        <w:rPr>
          <w:rFonts w:hint="eastAsia" w:ascii="黑体" w:hAnsi="黑体" w:eastAsia="黑体" w:cs="黑体"/>
          <w:sz w:val="20"/>
          <w:szCs w:val="22"/>
        </w:rPr>
      </w:pPr>
      <w:r>
        <w:rPr>
          <w:rFonts w:hint="eastAsia" w:ascii="黑体" w:hAnsi="黑体" w:eastAsia="黑体" w:cs="黑体"/>
          <w:sz w:val="20"/>
          <w:szCs w:val="22"/>
        </w:rPr>
        <w:t xml:space="preserve">图 III1  </w:t>
      </w:r>
      <w:r>
        <w:rPr>
          <w:rFonts w:hint="eastAsia" w:ascii="黑体" w:hAnsi="黑体" w:eastAsia="黑体" w:cs="黑体"/>
          <w:bCs w:val="0"/>
          <w:sz w:val="20"/>
          <w:szCs w:val="22"/>
        </w:rPr>
        <w:t>队列</w:t>
      </w:r>
      <w:r>
        <w:rPr>
          <w:rFonts w:hint="eastAsia" w:ascii="黑体" w:hAnsi="黑体" w:eastAsia="黑体" w:cs="黑体"/>
          <w:sz w:val="20"/>
          <w:szCs w:val="22"/>
        </w:rPr>
        <w:t>内部的大学比例和人均收入相关关系</w:t>
      </w:r>
    </w:p>
    <w:p>
      <w:pPr>
        <w:pStyle w:val="63"/>
        <w:spacing w:after="178" w:line="240" w:lineRule="auto"/>
        <w:rPr>
          <w:rFonts w:hint="eastAsia" w:ascii="仿宋" w:hAnsi="仿宋" w:eastAsia="仿宋" w:cs="仿宋"/>
        </w:rPr>
      </w:pPr>
      <w:r>
        <w:rPr>
          <w:rFonts w:hint="eastAsia" w:ascii="仿宋" w:hAnsi="仿宋" w:eastAsia="仿宋" w:cs="仿宋"/>
        </w:rPr>
        <w:t>注：数据来源为UHS 1999-2007年样本。</w:t>
      </w:r>
      <w:r>
        <w:rPr>
          <w:rFonts w:hint="eastAsia" w:ascii="仿宋" w:hAnsi="仿宋" w:eastAsia="仿宋" w:cs="仿宋"/>
          <w:lang w:eastAsia="zh-CN"/>
        </w:rPr>
        <w:t>图中圆圈与样本数据中的城市相</w:t>
      </w:r>
      <w:r>
        <w:rPr>
          <w:rFonts w:hint="eastAsia" w:ascii="仿宋" w:hAnsi="仿宋" w:eastAsia="仿宋" w:cs="仿宋"/>
          <w:lang w:val="en-US" w:eastAsia="zh-CN"/>
        </w:rPr>
        <w:t>对应</w:t>
      </w:r>
      <w:r>
        <w:rPr>
          <w:rFonts w:hint="eastAsia" w:ascii="仿宋" w:hAnsi="仿宋" w:eastAsia="仿宋" w:cs="仿宋"/>
          <w:lang w:eastAsia="zh-CN"/>
        </w:rPr>
        <w:t>，圆圈的面积大小与城市的样本量大小为正相关关系。</w:t>
      </w:r>
      <w:r>
        <w:rPr>
          <w:rFonts w:hint="eastAsia" w:ascii="仿宋" w:hAnsi="仿宋" w:eastAsia="仿宋" w:cs="仿宋"/>
          <w:lang w:val="en-US" w:eastAsia="zh-CN"/>
        </w:rPr>
        <w:t>由于图中城市数较多，我们仅选择了部分直辖市和省会城市等高校数量较多、受扩招政策影响效果更为明显的大城市进行标注。</w:t>
      </w:r>
    </w:p>
    <w:p>
      <w:pPr>
        <w:ind w:firstLine="396"/>
        <w:rPr>
          <w:rFonts w:eastAsia="仿宋" w:cs="Times New Roman"/>
          <w:szCs w:val="21"/>
        </w:rPr>
      </w:pPr>
      <w:r>
        <w:rPr>
          <w:rFonts w:eastAsia="仿宋" w:cs="Times New Roman"/>
          <w:szCs w:val="21"/>
        </w:rPr>
        <w:t>进一步，我们尝试对出生于1960年前群体的收入增长进行解释，并验证人力资本在跨出生队列的外溢效应。图III2报告了每个城市出生于1960年前群体的人均收入与和该城市出生于1960年后群体的大学毕业生比例变化之间的相关性。结果显示，二者呈现显著的正相关关系（估计系数约为82，且在1%的水平下显著）。基于此，我们可以初步推断扩招政策带来的人力资本提高会在出生队列之间产生外溢效应，即年轻群体的教育增长能够促进年长群体的收入提高。但是，上述讨论仅提供了相关性的定性证据，并未考虑到不同城市随时间变化的特征影响以及其他可能混淆因素。因此，在正文分析中，我们利用高校扩招政策提供的准自然实验框架，建立经典双重差分及动态双重差分模型对人力资本外溢效应的存在现象和潜在机制进行分析和讨论。</w:t>
      </w:r>
    </w:p>
    <w:p>
      <w:pPr>
        <w:ind w:firstLine="396"/>
        <w:jc w:val="center"/>
        <w:rPr>
          <w:rFonts w:eastAsia="仿宋" w:cs="Times New Roman"/>
        </w:rPr>
      </w:pPr>
      <w:r>
        <w:rPr>
          <w:rFonts w:eastAsia="仿宋" w:cs="Times New Roman"/>
        </w:rPr>
        <w:drawing>
          <wp:inline distT="0" distB="0" distL="0" distR="0">
            <wp:extent cx="3712210" cy="26993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12706" cy="2700000"/>
                    </a:xfrm>
                    <a:prstGeom prst="rect">
                      <a:avLst/>
                    </a:prstGeom>
                    <a:noFill/>
                    <a:ln>
                      <a:noFill/>
                    </a:ln>
                  </pic:spPr>
                </pic:pic>
              </a:graphicData>
            </a:graphic>
          </wp:inline>
        </w:drawing>
      </w:r>
    </w:p>
    <w:p>
      <w:pPr>
        <w:pStyle w:val="8"/>
        <w:spacing w:after="178"/>
        <w:rPr>
          <w:rFonts w:hint="eastAsia" w:ascii="黑体" w:hAnsi="黑体" w:eastAsia="黑体" w:cs="黑体"/>
          <w:sz w:val="20"/>
          <w:szCs w:val="22"/>
        </w:rPr>
      </w:pPr>
      <w:r>
        <w:rPr>
          <w:rFonts w:hint="eastAsia" w:ascii="黑体" w:hAnsi="黑体" w:eastAsia="黑体" w:cs="黑体"/>
          <w:sz w:val="20"/>
          <w:szCs w:val="22"/>
        </w:rPr>
        <w:t>图 III2  出生于1960年后队列的大学比例和出生于1960年前队列的人均收入相关关系</w:t>
      </w:r>
    </w:p>
    <w:p>
      <w:pPr>
        <w:pStyle w:val="63"/>
        <w:spacing w:after="178" w:line="240" w:lineRule="auto"/>
        <w:rPr>
          <w:rFonts w:hint="eastAsia" w:ascii="仿宋" w:hAnsi="仿宋" w:eastAsia="仿宋" w:cs="仿宋"/>
          <w:lang w:eastAsia="zh-CN"/>
        </w:rPr>
      </w:pPr>
      <w:r>
        <w:rPr>
          <w:rFonts w:hint="eastAsia" w:ascii="仿宋" w:hAnsi="仿宋" w:eastAsia="仿宋" w:cs="仿宋"/>
        </w:rPr>
        <w:t>注：数据来源为UHS 1999-2007年样本。</w:t>
      </w:r>
      <w:r>
        <w:rPr>
          <w:rFonts w:hint="eastAsia" w:ascii="仿宋" w:hAnsi="仿宋" w:eastAsia="仿宋" w:cs="仿宋"/>
          <w:lang w:eastAsia="zh-CN"/>
        </w:rPr>
        <w:t>图中圆圈与样本数据中的城市相</w:t>
      </w:r>
      <w:r>
        <w:rPr>
          <w:rFonts w:hint="eastAsia" w:ascii="仿宋" w:hAnsi="仿宋" w:eastAsia="仿宋" w:cs="仿宋"/>
          <w:lang w:val="en-US" w:eastAsia="zh-CN"/>
        </w:rPr>
        <w:t>对应</w:t>
      </w:r>
      <w:r>
        <w:rPr>
          <w:rFonts w:hint="eastAsia" w:ascii="仿宋" w:hAnsi="仿宋" w:eastAsia="仿宋" w:cs="仿宋"/>
          <w:lang w:eastAsia="zh-CN"/>
        </w:rPr>
        <w:t>，圆圈的面积大小与城市的样本量大小为正相关关系。</w:t>
      </w:r>
      <w:r>
        <w:rPr>
          <w:rFonts w:hint="eastAsia" w:ascii="仿宋" w:hAnsi="仿宋" w:eastAsia="仿宋" w:cs="仿宋"/>
          <w:lang w:val="en-US" w:eastAsia="zh-CN"/>
        </w:rPr>
        <w:t>由于图中城市数较多，我们仅选择了部分直辖市和省会城市等高校数量较多、受扩招政策影响效果更为明显的大城市进行标注。</w:t>
      </w:r>
    </w:p>
    <w:p>
      <w:pPr>
        <w:ind w:firstLine="0" w:firstLineChars="0"/>
        <w:rPr>
          <w:rFonts w:eastAsia="仿宋" w:cs="Times New Roman"/>
          <w:b/>
          <w:bCs/>
          <w:sz w:val="24"/>
          <w:szCs w:val="22"/>
          <w:lang w:val="zh-CN"/>
        </w:rPr>
      </w:pPr>
    </w:p>
    <w:p>
      <w:pPr>
        <w:ind w:firstLine="0" w:firstLineChars="0"/>
        <w:rPr>
          <w:rFonts w:eastAsia="仿宋" w:cs="Times New Roman"/>
          <w:b/>
          <w:bCs/>
          <w:sz w:val="24"/>
          <w:szCs w:val="22"/>
          <w:lang w:val="zh-CN"/>
        </w:rPr>
      </w:pPr>
      <w:r>
        <w:rPr>
          <w:rFonts w:eastAsia="仿宋" w:cs="Times New Roman"/>
          <w:b/>
          <w:bCs/>
          <w:sz w:val="24"/>
          <w:szCs w:val="22"/>
          <w:lang w:val="zh-CN"/>
        </w:rPr>
        <w:br w:type="page"/>
      </w:r>
    </w:p>
    <w:p>
      <w:pPr>
        <w:pStyle w:val="23"/>
        <w:jc w:val="center"/>
        <w:rPr>
          <w:rFonts w:hint="eastAsia" w:ascii="楷体" w:hAnsi="楷体" w:eastAsia="楷体" w:cs="楷体"/>
          <w:b w:val="0"/>
          <w:bCs w:val="0"/>
          <w:sz w:val="28"/>
          <w:szCs w:val="36"/>
          <w:lang w:val="zh-CN"/>
        </w:rPr>
      </w:pPr>
      <w:bookmarkStart w:id="8" w:name="_Toc161668792"/>
      <w:r>
        <w:rPr>
          <w:rFonts w:hint="eastAsia" w:ascii="楷体" w:hAnsi="楷体" w:eastAsia="楷体" w:cs="楷体"/>
          <w:b w:val="0"/>
          <w:bCs w:val="0"/>
          <w:sz w:val="28"/>
          <w:szCs w:val="36"/>
        </w:rPr>
        <w:t>附录IV 稳健性检验</w:t>
      </w:r>
      <w:bookmarkEnd w:id="8"/>
    </w:p>
    <w:p>
      <w:pPr>
        <w:ind w:firstLine="397"/>
        <w:rPr>
          <w:rFonts w:eastAsia="仿宋" w:cs="Times New Roman"/>
          <w:b/>
          <w:szCs w:val="21"/>
        </w:rPr>
      </w:pPr>
      <w:r>
        <w:rPr>
          <w:rFonts w:eastAsia="仿宋" w:cs="Times New Roman"/>
          <w:b/>
          <w:szCs w:val="21"/>
        </w:rPr>
        <w:t>（1）排除家庭内部溢出效应的渠道</w:t>
      </w:r>
    </w:p>
    <w:p>
      <w:pPr>
        <w:ind w:firstLine="396"/>
        <w:rPr>
          <w:rFonts w:eastAsia="仿宋" w:cs="Times New Roman"/>
          <w:szCs w:val="21"/>
        </w:rPr>
      </w:pPr>
      <w:r>
        <w:rPr>
          <w:rFonts w:eastAsia="仿宋" w:cs="Times New Roman"/>
          <w:szCs w:val="21"/>
        </w:rPr>
        <w:t>对于正文中发现出生于1960年前群体的个人收入在2003年后出现增加的情况，除跨出生队列间存在人力资本外溢效应的解释外，还有一个可能的解释是家庭内部存在人力资本溢出效应，即子代的人力资本提高不仅能通过人力资本积累效应促进子代自身的个人收入提高，同时也可以通过对父代的赡养转移支付或知识信息传递等方式促进父代的个人收入提高</w:t>
      </w:r>
      <w:r>
        <w:rPr>
          <w:rFonts w:eastAsia="仿宋" w:cs="Times New Roman"/>
          <w:szCs w:val="21"/>
          <w:vertAlign w:val="superscript"/>
        </w:rPr>
        <w:footnoteReference w:id="2"/>
      </w:r>
      <w:r>
        <w:rPr>
          <w:rFonts w:eastAsia="仿宋" w:cs="Times New Roman"/>
          <w:szCs w:val="21"/>
        </w:rPr>
        <w:t>。</w:t>
      </w:r>
    </w:p>
    <w:p>
      <w:pPr>
        <w:ind w:firstLine="396"/>
        <w:rPr>
          <w:rFonts w:eastAsia="仿宋" w:cs="Times New Roman"/>
          <w:szCs w:val="21"/>
        </w:rPr>
      </w:pPr>
      <w:r>
        <w:rPr>
          <w:rFonts w:eastAsia="仿宋" w:cs="Times New Roman"/>
          <w:szCs w:val="21"/>
        </w:rPr>
        <w:t>为了检验上述关于家庭内部溢出效应的解释是否成立，我们将总样本分为家中最年轻的早于1960年出生和家中最年轻的晚于1960年出生两个样本分别进行估计，就前者而言，家户内所有成员在扩招政策实施时均已完成了教育，因此既不存在由于人力资本积累效应导致个人收入改善的渠道，也不存在家庭内部溢出效应导致个人收入增加的可能。</w:t>
      </w:r>
    </w:p>
    <w:p>
      <w:pPr>
        <w:ind w:firstLine="396"/>
        <w:rPr>
          <w:rFonts w:eastAsia="仿宋" w:cs="Times New Roman"/>
          <w:szCs w:val="21"/>
        </w:rPr>
      </w:pPr>
      <w:r>
        <w:rPr>
          <w:rFonts w:eastAsia="仿宋" w:cs="Times New Roman"/>
          <w:szCs w:val="21"/>
        </w:rPr>
        <w:t>表</w:t>
      </w:r>
      <w:r>
        <w:rPr>
          <w:rFonts w:hint="eastAsia" w:eastAsia="仿宋" w:cs="Times New Roman"/>
          <w:szCs w:val="21"/>
        </w:rPr>
        <w:t>I</w:t>
      </w:r>
      <w:r>
        <w:rPr>
          <w:rFonts w:eastAsia="仿宋" w:cs="Times New Roman"/>
          <w:szCs w:val="21"/>
        </w:rPr>
        <w:t>V1汇报了采用经典双重差分和参数动态双重差分模型进行定量估计的结果，可以发现，即使对于那些人力资本积累效应和家庭内部溢出效应均不存在的家庭而言（即家中最年轻的早于1960年出生的样本），他们的家户人均收入也会在2003年后出现显著的相对提高（约1,200元）。因此我们可以排除家庭内部溢出效应这一可能的解释，说明扩招政策主要是通过在跨出生队列间带来人力资本外溢效应，进而使得出生于1960年前群体的个人收入获得提高。此外，我们还可以发现，基于家户人均收入的估计结果与正文对个人收入的估计结果基本一致，证明了本文估计效果的稳健性。</w:t>
      </w:r>
    </w:p>
    <w:p>
      <w:pPr>
        <w:pStyle w:val="9"/>
        <w:spacing w:before="178"/>
        <w:rPr>
          <w:rFonts w:hint="eastAsia" w:ascii="黑体" w:hAnsi="黑体" w:eastAsia="黑体" w:cs="黑体"/>
          <w:b w:val="0"/>
          <w:bCs/>
          <w:sz w:val="20"/>
          <w:szCs w:val="20"/>
        </w:rPr>
      </w:pPr>
      <w:r>
        <w:rPr>
          <w:rFonts w:hint="eastAsia" w:ascii="黑体" w:hAnsi="黑体" w:eastAsia="黑体" w:cs="黑体"/>
          <w:b w:val="0"/>
          <w:bCs/>
          <w:sz w:val="20"/>
          <w:szCs w:val="20"/>
        </w:rPr>
        <w:t>表</w:t>
      </w:r>
      <w:r>
        <w:rPr>
          <w:rFonts w:hint="eastAsia" w:ascii="黑体" w:hAnsi="黑体" w:eastAsia="黑体" w:cs="黑体"/>
          <w:b w:val="0"/>
          <w:bCs/>
          <w:sz w:val="20"/>
          <w:szCs w:val="20"/>
          <w:lang w:eastAsia="zh-CN"/>
        </w:rPr>
        <w:t xml:space="preserve"> </w:t>
      </w:r>
      <w:r>
        <w:rPr>
          <w:rFonts w:hint="eastAsia" w:ascii="黑体" w:hAnsi="黑体" w:eastAsia="黑体" w:cs="黑体"/>
          <w:b w:val="0"/>
          <w:bCs/>
          <w:sz w:val="20"/>
          <w:szCs w:val="20"/>
        </w:rPr>
        <w:t>IV1  扩招政策对</w:t>
      </w:r>
      <w:r>
        <w:rPr>
          <w:rFonts w:hint="eastAsia" w:ascii="黑体" w:hAnsi="黑体" w:eastAsia="黑体" w:cs="黑体"/>
          <w:b w:val="0"/>
          <w:bCs/>
          <w:sz w:val="20"/>
          <w:szCs w:val="20"/>
          <w:lang w:val="en-US"/>
        </w:rPr>
        <w:t>家户人均收入</w:t>
      </w:r>
      <w:r>
        <w:rPr>
          <w:rFonts w:hint="eastAsia" w:ascii="黑体" w:hAnsi="黑体" w:eastAsia="黑体" w:cs="黑体"/>
          <w:b w:val="0"/>
          <w:bCs/>
          <w:sz w:val="20"/>
          <w:szCs w:val="20"/>
        </w:rPr>
        <w:t>的影响</w:t>
      </w:r>
    </w:p>
    <w:tbl>
      <w:tblPr>
        <w:tblStyle w:val="28"/>
        <w:tblW w:w="8391" w:type="dxa"/>
        <w:jc w:val="center"/>
        <w:tblLayout w:type="autofit"/>
        <w:tblCellMar>
          <w:top w:w="0" w:type="dxa"/>
          <w:left w:w="108" w:type="dxa"/>
          <w:bottom w:w="0" w:type="dxa"/>
          <w:right w:w="108" w:type="dxa"/>
        </w:tblCellMar>
      </w:tblPr>
      <w:tblGrid>
        <w:gridCol w:w="1781"/>
        <w:gridCol w:w="1101"/>
        <w:gridCol w:w="1101"/>
        <w:gridCol w:w="1101"/>
        <w:gridCol w:w="1101"/>
        <w:gridCol w:w="1101"/>
        <w:gridCol w:w="1105"/>
      </w:tblGrid>
      <w:tr>
        <w:tblPrEx>
          <w:tblCellMar>
            <w:top w:w="0" w:type="dxa"/>
            <w:left w:w="108" w:type="dxa"/>
            <w:bottom w:w="0" w:type="dxa"/>
            <w:right w:w="108" w:type="dxa"/>
          </w:tblCellMar>
        </w:tblPrEx>
        <w:trPr>
          <w:trHeight w:val="288" w:hRule="atLeast"/>
          <w:jc w:val="center"/>
        </w:trPr>
        <w:tc>
          <w:tcPr>
            <w:tcW w:w="178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w:t>
            </w:r>
          </w:p>
        </w:tc>
        <w:tc>
          <w:tcPr>
            <w:tcW w:w="110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w:t>
            </w:r>
          </w:p>
        </w:tc>
        <w:tc>
          <w:tcPr>
            <w:tcW w:w="110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w:t>
            </w:r>
          </w:p>
        </w:tc>
        <w:tc>
          <w:tcPr>
            <w:tcW w:w="110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w:t>
            </w:r>
          </w:p>
        </w:tc>
        <w:tc>
          <w:tcPr>
            <w:tcW w:w="110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w:t>
            </w:r>
          </w:p>
        </w:tc>
        <w:tc>
          <w:tcPr>
            <w:tcW w:w="110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w:t>
            </w:r>
          </w:p>
        </w:tc>
        <w:tc>
          <w:tcPr>
            <w:tcW w:w="1104"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w:t>
            </w:r>
          </w:p>
        </w:tc>
      </w:tr>
      <w:tr>
        <w:tblPrEx>
          <w:tblCellMar>
            <w:top w:w="0" w:type="dxa"/>
            <w:left w:w="108" w:type="dxa"/>
            <w:bottom w:w="0" w:type="dxa"/>
            <w:right w:w="108" w:type="dxa"/>
          </w:tblCellMar>
        </w:tblPrEx>
        <w:trPr>
          <w:trHeight w:val="288"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因变量</w:t>
            </w:r>
          </w:p>
        </w:tc>
        <w:tc>
          <w:tcPr>
            <w:tcW w:w="6609" w:type="dxa"/>
            <w:gridSpan w:val="6"/>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家户人均收入（元）</w:t>
            </w:r>
          </w:p>
        </w:tc>
      </w:tr>
      <w:tr>
        <w:tblPrEx>
          <w:tblCellMar>
            <w:top w:w="0" w:type="dxa"/>
            <w:left w:w="108" w:type="dxa"/>
            <w:bottom w:w="0" w:type="dxa"/>
            <w:right w:w="108" w:type="dxa"/>
          </w:tblCellMar>
        </w:tblPrEx>
        <w:trPr>
          <w:trHeight w:val="486" w:hRule="atLeast"/>
          <w:jc w:val="center"/>
        </w:trPr>
        <w:tc>
          <w:tcPr>
            <w:tcW w:w="178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样本</w:t>
            </w:r>
          </w:p>
        </w:tc>
        <w:tc>
          <w:tcPr>
            <w:tcW w:w="110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全样本</w:t>
            </w:r>
          </w:p>
        </w:tc>
        <w:tc>
          <w:tcPr>
            <w:tcW w:w="110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最年长&gt;= 1960</w:t>
            </w:r>
          </w:p>
        </w:tc>
        <w:tc>
          <w:tcPr>
            <w:tcW w:w="110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最年轻 &lt;= 1960</w:t>
            </w:r>
          </w:p>
        </w:tc>
        <w:tc>
          <w:tcPr>
            <w:tcW w:w="110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全样本</w:t>
            </w:r>
          </w:p>
        </w:tc>
        <w:tc>
          <w:tcPr>
            <w:tcW w:w="110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最年长&gt;= 1960</w:t>
            </w:r>
          </w:p>
        </w:tc>
        <w:tc>
          <w:tcPr>
            <w:tcW w:w="1104"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最年轻 &lt;= 1960</w:t>
            </w:r>
          </w:p>
        </w:tc>
      </w:tr>
      <w:tr>
        <w:tblPrEx>
          <w:tblCellMar>
            <w:top w:w="0" w:type="dxa"/>
            <w:left w:w="108" w:type="dxa"/>
            <w:bottom w:w="0" w:type="dxa"/>
            <w:right w:w="108" w:type="dxa"/>
          </w:tblCellMar>
        </w:tblPrEx>
        <w:trPr>
          <w:trHeight w:val="281" w:hRule="atLeast"/>
          <w:jc w:val="center"/>
        </w:trPr>
        <w:tc>
          <w:tcPr>
            <w:tcW w:w="8391" w:type="dxa"/>
            <w:gridSpan w:val="7"/>
            <w:tcBorders>
              <w:top w:val="single" w:color="auto" w:sz="8" w:space="0"/>
              <w:left w:val="nil"/>
              <w:bottom w:val="nil"/>
              <w:right w:val="nil"/>
            </w:tcBorders>
            <w:shd w:val="clear" w:color="auto" w:fill="auto"/>
            <w:noWrap/>
            <w:vAlign w:val="center"/>
          </w:tcPr>
          <w:p>
            <w:pPr>
              <w:widowControl/>
              <w:ind w:firstLine="0" w:firstLineChars="0"/>
              <w:contextualSpacing w:val="0"/>
              <w:rPr>
                <w:rFonts w:eastAsia="仿宋" w:cs="Times New Roman"/>
                <w:b/>
                <w:bCs/>
                <w:kern w:val="0"/>
                <w:sz w:val="18"/>
                <w:szCs w:val="18"/>
              </w:rPr>
            </w:pPr>
            <w:r>
              <w:rPr>
                <w:rFonts w:eastAsia="仿宋" w:cs="Times New Roman"/>
                <w:b/>
                <w:bCs/>
                <w:kern w:val="0"/>
                <w:sz w:val="18"/>
                <w:szCs w:val="18"/>
                <w:lang w:val="zh-CN"/>
              </w:rPr>
              <w:t>面板A: 经典双重差分估计</w:t>
            </w:r>
          </w:p>
        </w:tc>
      </w:tr>
      <w:tr>
        <w:tblPrEx>
          <w:tblCellMar>
            <w:top w:w="0" w:type="dxa"/>
            <w:left w:w="108" w:type="dxa"/>
            <w:bottom w:w="0" w:type="dxa"/>
            <w:right w:w="108" w:type="dxa"/>
          </w:tblCellMar>
        </w:tblPrEx>
        <w:trPr>
          <w:trHeight w:val="236"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xml:space="preserve">(大学数量指标） </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44.42</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2.411</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122.6</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2.313</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-0.0648</w:t>
            </w:r>
          </w:p>
        </w:tc>
        <w:tc>
          <w:tcPr>
            <w:tcW w:w="110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4.599</w:t>
            </w:r>
          </w:p>
        </w:tc>
      </w:tr>
      <w:tr>
        <w:tblPrEx>
          <w:tblCellMar>
            <w:top w:w="0" w:type="dxa"/>
            <w:left w:w="108" w:type="dxa"/>
            <w:bottom w:w="0" w:type="dxa"/>
            <w:right w:w="108" w:type="dxa"/>
          </w:tblCellMar>
        </w:tblPrEx>
        <w:trPr>
          <w:trHeight w:val="236"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(年份=2002)</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(218.3)</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(211.0)</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(252.1)</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(5.913)</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(6.165)</w:t>
            </w:r>
          </w:p>
        </w:tc>
        <w:tc>
          <w:tcPr>
            <w:tcW w:w="110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(7.232)</w:t>
            </w:r>
          </w:p>
        </w:tc>
      </w:tr>
      <w:tr>
        <w:tblPrEx>
          <w:tblCellMar>
            <w:top w:w="0" w:type="dxa"/>
            <w:left w:w="108" w:type="dxa"/>
            <w:bottom w:w="0" w:type="dxa"/>
            <w:right w:w="108" w:type="dxa"/>
          </w:tblCellMar>
        </w:tblPrEx>
        <w:trPr>
          <w:trHeight w:val="236"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xml:space="preserve">(大学数量指标） </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1,316***</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1,245***</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1,226***</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57.15***</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53.98***</w:t>
            </w:r>
          </w:p>
        </w:tc>
        <w:tc>
          <w:tcPr>
            <w:tcW w:w="110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53.71***</w:t>
            </w:r>
          </w:p>
        </w:tc>
      </w:tr>
      <w:tr>
        <w:tblPrEx>
          <w:tblCellMar>
            <w:top w:w="0" w:type="dxa"/>
            <w:left w:w="108" w:type="dxa"/>
            <w:bottom w:w="0" w:type="dxa"/>
            <w:right w:w="108" w:type="dxa"/>
          </w:tblCellMar>
        </w:tblPrEx>
        <w:trPr>
          <w:trHeight w:val="236"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(年份&gt;=2003)</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(384.0)</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(371.0)</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(419.7)</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(4.376)</w:t>
            </w:r>
          </w:p>
        </w:tc>
        <w:tc>
          <w:tcPr>
            <w:tcW w:w="110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(4.791)</w:t>
            </w:r>
          </w:p>
        </w:tc>
        <w:tc>
          <w:tcPr>
            <w:tcW w:w="110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(6.079)</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4"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81" w:hRule="atLeast"/>
          <w:jc w:val="center"/>
        </w:trPr>
        <w:tc>
          <w:tcPr>
            <w:tcW w:w="8391" w:type="dxa"/>
            <w:gridSpan w:val="7"/>
            <w:tcBorders>
              <w:top w:val="nil"/>
              <w:left w:val="nil"/>
              <w:bottom w:val="nil"/>
              <w:right w:val="nil"/>
            </w:tcBorders>
            <w:shd w:val="clear" w:color="auto" w:fill="auto"/>
            <w:noWrap/>
            <w:vAlign w:val="center"/>
          </w:tcPr>
          <w:p>
            <w:pPr>
              <w:widowControl/>
              <w:ind w:firstLine="0" w:firstLineChars="0"/>
              <w:contextualSpacing w:val="0"/>
              <w:rPr>
                <w:rFonts w:eastAsia="仿宋" w:cs="Times New Roman"/>
                <w:b/>
                <w:bCs/>
                <w:kern w:val="0"/>
                <w:sz w:val="18"/>
                <w:szCs w:val="18"/>
              </w:rPr>
            </w:pPr>
            <w:r>
              <w:rPr>
                <w:rFonts w:eastAsia="仿宋" w:cs="Times New Roman"/>
                <w:b/>
                <w:bCs/>
                <w:kern w:val="0"/>
                <w:sz w:val="18"/>
                <w:szCs w:val="18"/>
                <w:lang w:val="zh-CN"/>
              </w:rPr>
              <w:t>面板B: 动态双重差分</w:t>
            </w:r>
            <w:r>
              <w:rPr>
                <w:rFonts w:hint="eastAsia" w:eastAsia="仿宋" w:cs="Times New Roman"/>
                <w:b/>
                <w:bCs/>
                <w:kern w:val="0"/>
                <w:sz w:val="18"/>
                <w:szCs w:val="18"/>
                <w:lang w:val="zh-CN"/>
              </w:rPr>
              <w:t>估计</w:t>
            </w:r>
            <w:r>
              <w:rPr>
                <w:rFonts w:eastAsia="仿宋" w:cs="Times New Roman"/>
                <w:b/>
                <w:bCs/>
                <w:kern w:val="0"/>
                <w:sz w:val="18"/>
                <w:szCs w:val="18"/>
                <w:lang w:val="zh-CN"/>
              </w:rPr>
              <w:t>，大学数量指标*年份，2001年以及以前为参照组</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40.83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0.233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118.1</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2.496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0.157</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4.749</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(218.7)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(211.2)</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(252.4)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(5.887)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(6.153)</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(7.211)</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2003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570.6**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533.0**</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566.4*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20.99***</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18.90***</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19.73**</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(244.8)</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(237.3)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(288.5)</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(5.716)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(6.324)</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(9.019)</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2004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797.7***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739.3***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753.3***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36.23***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32.69***</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33.36***</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(269.0)</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(257.4)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(281.7)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(4.408)</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(4.154)</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(4.670)</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2005</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1,080***</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972.5**</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1,006**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51.57***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48.47***</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49.88***</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(399.9)</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(390.8)</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(448.1)</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(5.244)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(4.814)</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(5.153)</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2006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1,703***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1,624***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1,667***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72.21***</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68.17***</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69.53***</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(540.4)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(525.8)</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(602.9)</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(5.783)</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(6.293)</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(6.851)</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2007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2,322***</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2,220***</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2,334***</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85.90***</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82.03***</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85.85***</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(606.6)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(599.0)</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(737.1)</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(5.746)</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(6.100)</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(7.696)</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1"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c>
          <w:tcPr>
            <w:tcW w:w="1104" w:type="dxa"/>
            <w:tcBorders>
              <w:top w:val="nil"/>
              <w:left w:val="nil"/>
              <w:bottom w:val="nil"/>
              <w:right w:val="nil"/>
            </w:tcBorders>
            <w:shd w:val="clear" w:color="auto" w:fill="auto"/>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81" w:hRule="atLeast"/>
          <w:jc w:val="center"/>
        </w:trPr>
        <w:tc>
          <w:tcPr>
            <w:tcW w:w="8391" w:type="dxa"/>
            <w:gridSpan w:val="7"/>
            <w:tcBorders>
              <w:top w:val="nil"/>
              <w:left w:val="nil"/>
              <w:bottom w:val="nil"/>
              <w:right w:val="nil"/>
            </w:tcBorders>
            <w:shd w:val="clear" w:color="auto" w:fill="auto"/>
            <w:noWrap/>
            <w:vAlign w:val="center"/>
          </w:tcPr>
          <w:p>
            <w:pPr>
              <w:widowControl/>
              <w:ind w:firstLine="0" w:firstLineChars="0"/>
              <w:contextualSpacing w:val="0"/>
              <w:rPr>
                <w:rFonts w:eastAsia="仿宋" w:cs="Times New Roman"/>
                <w:b/>
                <w:bCs/>
                <w:kern w:val="0"/>
                <w:sz w:val="18"/>
                <w:szCs w:val="18"/>
              </w:rPr>
            </w:pPr>
            <w:r>
              <w:rPr>
                <w:rFonts w:eastAsia="仿宋" w:cs="Times New Roman"/>
                <w:b/>
                <w:bCs/>
                <w:kern w:val="0"/>
                <w:sz w:val="18"/>
                <w:szCs w:val="18"/>
                <w:lang w:val="zh-CN"/>
              </w:rPr>
              <w:t>面板C: 动态双重差分</w:t>
            </w:r>
            <w:r>
              <w:rPr>
                <w:rFonts w:hint="eastAsia" w:eastAsia="仿宋" w:cs="Times New Roman"/>
                <w:b/>
                <w:bCs/>
                <w:kern w:val="0"/>
                <w:sz w:val="18"/>
                <w:szCs w:val="18"/>
                <w:lang w:val="zh-CN"/>
              </w:rPr>
              <w:t>估计</w:t>
            </w:r>
            <w:r>
              <w:rPr>
                <w:rFonts w:eastAsia="仿宋" w:cs="Times New Roman"/>
                <w:b/>
                <w:bCs/>
                <w:kern w:val="0"/>
                <w:sz w:val="18"/>
                <w:szCs w:val="18"/>
                <w:lang w:val="zh-CN"/>
              </w:rPr>
              <w:t>平均效果</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2003-2007</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1,295***</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1,218***</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1,265***</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53.38***</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50.05***</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51.67***</w:t>
            </w:r>
          </w:p>
        </w:tc>
      </w:tr>
      <w:tr>
        <w:tblPrEx>
          <w:tblCellMar>
            <w:top w:w="0" w:type="dxa"/>
            <w:left w:w="108" w:type="dxa"/>
            <w:bottom w:w="0" w:type="dxa"/>
            <w:right w:w="108" w:type="dxa"/>
          </w:tblCellMar>
        </w:tblPrEx>
        <w:trPr>
          <w:trHeight w:val="288" w:hRule="atLeast"/>
          <w:jc w:val="center"/>
        </w:trPr>
        <w:tc>
          <w:tcPr>
            <w:tcW w:w="1781"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　</w:t>
            </w:r>
          </w:p>
        </w:tc>
        <w:tc>
          <w:tcPr>
            <w:tcW w:w="1101"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(374.6)</w:t>
            </w:r>
          </w:p>
        </w:tc>
        <w:tc>
          <w:tcPr>
            <w:tcW w:w="1101"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(359.9)</w:t>
            </w:r>
          </w:p>
        </w:tc>
        <w:tc>
          <w:tcPr>
            <w:tcW w:w="1101"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(427.4)</w:t>
            </w:r>
          </w:p>
        </w:tc>
        <w:tc>
          <w:tcPr>
            <w:tcW w:w="1101"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(4.220)</w:t>
            </w:r>
          </w:p>
        </w:tc>
        <w:tc>
          <w:tcPr>
            <w:tcW w:w="1101"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(4.619)</w:t>
            </w:r>
          </w:p>
        </w:tc>
        <w:tc>
          <w:tcPr>
            <w:tcW w:w="1104" w:type="dxa"/>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(6.063)</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城市和年份固定效应</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r>
      <w:tr>
        <w:tblPrEx>
          <w:tblCellMar>
            <w:top w:w="0" w:type="dxa"/>
            <w:left w:w="108" w:type="dxa"/>
            <w:bottom w:w="0" w:type="dxa"/>
            <w:right w:w="108" w:type="dxa"/>
          </w:tblCellMar>
        </w:tblPrEx>
        <w:trPr>
          <w:trHeight w:val="281" w:hRule="atLeast"/>
          <w:jc w:val="center"/>
        </w:trPr>
        <w:tc>
          <w:tcPr>
            <w:tcW w:w="178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性别、年龄及交互项</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c>
          <w:tcPr>
            <w:tcW w:w="110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是</w:t>
            </w:r>
          </w:p>
        </w:tc>
      </w:tr>
      <w:tr>
        <w:tblPrEx>
          <w:tblCellMar>
            <w:top w:w="0" w:type="dxa"/>
            <w:left w:w="108" w:type="dxa"/>
            <w:bottom w:w="0" w:type="dxa"/>
            <w:right w:w="108" w:type="dxa"/>
          </w:tblCellMar>
        </w:tblPrEx>
        <w:trPr>
          <w:trHeight w:val="288" w:hRule="atLeast"/>
          <w:jc w:val="center"/>
        </w:trPr>
        <w:tc>
          <w:tcPr>
            <w:tcW w:w="178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样本量</w:t>
            </w:r>
          </w:p>
        </w:tc>
        <w:tc>
          <w:tcPr>
            <w:tcW w:w="110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275,735</w:t>
            </w:r>
          </w:p>
        </w:tc>
        <w:tc>
          <w:tcPr>
            <w:tcW w:w="110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224,326</w:t>
            </w:r>
          </w:p>
        </w:tc>
        <w:tc>
          <w:tcPr>
            <w:tcW w:w="110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169,158</w:t>
            </w:r>
          </w:p>
        </w:tc>
        <w:tc>
          <w:tcPr>
            <w:tcW w:w="110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275,735</w:t>
            </w:r>
          </w:p>
        </w:tc>
        <w:tc>
          <w:tcPr>
            <w:tcW w:w="110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224,326</w:t>
            </w:r>
          </w:p>
        </w:tc>
        <w:tc>
          <w:tcPr>
            <w:tcW w:w="1104"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169,158</w:t>
            </w:r>
          </w:p>
        </w:tc>
      </w:tr>
    </w:tbl>
    <w:p>
      <w:pPr>
        <w:pStyle w:val="63"/>
        <w:spacing w:after="178" w:line="240" w:lineRule="auto"/>
        <w:rPr>
          <w:rFonts w:eastAsia="仿宋" w:cs="Times New Roman"/>
        </w:rPr>
      </w:pPr>
      <w:r>
        <w:rPr>
          <w:rFonts w:eastAsia="仿宋" w:cs="Times New Roman"/>
        </w:rPr>
        <w:t>注：数据来源为UHS 1999-2007年样本。面板A结果为根据正文模型（1）进行估计得到，面板B结果为根据正文模型（3）进行估计得到，面板C结果为在正文模型（3）基础上、计算平均效果得到。其中第（1）-（3）列中的处理变量为根据城市1998年高等院校数构建得到的二元分组变量，第（4）-（6）列中的处理变量为根据城市1998年高等院校数构建得到的连续强度变量。括号内是聚类在城市层面的稳健性标准误，*、**、***分别表示在10%、5%、1%的水平上显著。</w:t>
      </w:r>
    </w:p>
    <w:p>
      <w:pPr>
        <w:ind w:firstLine="396" w:firstLineChars="0"/>
        <w:rPr>
          <w:rFonts w:eastAsia="仿宋" w:cs="Times New Roman"/>
          <w:b/>
          <w:bCs/>
          <w:szCs w:val="21"/>
        </w:rPr>
      </w:pPr>
      <w:r>
        <w:rPr>
          <w:rFonts w:eastAsia="仿宋" w:cs="Times New Roman"/>
          <w:b/>
          <w:bCs/>
          <w:szCs w:val="21"/>
        </w:rPr>
        <w:t>（2）事前平行趋势检验</w:t>
      </w:r>
    </w:p>
    <w:p>
      <w:pPr>
        <w:ind w:firstLine="396" w:firstLineChars="0"/>
        <w:rPr>
          <w:rFonts w:eastAsia="仿宋" w:cs="Times New Roman"/>
          <w:kern w:val="0"/>
          <w:szCs w:val="21"/>
        </w:rPr>
      </w:pPr>
      <w:r>
        <w:rPr>
          <w:rFonts w:eastAsia="仿宋" w:cs="Times New Roman"/>
          <w:kern w:val="0"/>
          <w:szCs w:val="21"/>
        </w:rPr>
        <w:t>在本文中，我们主要使用双重差分法来</w:t>
      </w:r>
      <w:r>
        <w:rPr>
          <w:rFonts w:eastAsia="仿宋" w:cs="Times New Roman"/>
          <w:szCs w:val="21"/>
        </w:rPr>
        <w:t>对扩招政策在不同出生队列中的影响进行分析，</w:t>
      </w:r>
      <w:r>
        <w:rPr>
          <w:rFonts w:eastAsia="仿宋" w:cs="Times New Roman"/>
          <w:kern w:val="0"/>
          <w:szCs w:val="21"/>
        </w:rPr>
        <w:t>其关键假定在于假定扩招政策冲击没有发生时，处理组和控制组具有良好的平行趋势。为了对该假定进行更加充分的验证，我们将分析样本期扩展为1996</w:t>
      </w:r>
      <w:r>
        <w:rPr>
          <w:rFonts w:hint="eastAsia" w:eastAsia="仿宋" w:cs="Times New Roman"/>
          <w:kern w:val="0"/>
          <w:szCs w:val="21"/>
          <w:lang w:eastAsia="zh-CN"/>
        </w:rPr>
        <w:t>—</w:t>
      </w:r>
      <w:r>
        <w:rPr>
          <w:rFonts w:eastAsia="仿宋" w:cs="Times New Roman"/>
          <w:kern w:val="0"/>
          <w:szCs w:val="21"/>
        </w:rPr>
        <w:t>2007年，并基于该样本进行事前平行趋势检验。从</w:t>
      </w:r>
      <w:r>
        <w:rPr>
          <w:rFonts w:eastAsia="仿宋" w:cs="Times New Roman"/>
          <w:szCs w:val="21"/>
        </w:rPr>
        <w:t>汇报在附录附图三中的非参数动态双重差分估计结果可以发现，</w:t>
      </w:r>
      <w:r>
        <w:rPr>
          <w:rFonts w:eastAsia="仿宋" w:cs="Times New Roman"/>
          <w:kern w:val="0"/>
          <w:szCs w:val="21"/>
        </w:rPr>
        <w:t>在2001年之前</w:t>
      </w:r>
      <w:r>
        <w:rPr>
          <w:rFonts w:eastAsia="仿宋" w:cs="Times New Roman"/>
          <w:szCs w:val="21"/>
        </w:rPr>
        <w:t>，</w:t>
      </w:r>
      <w:r>
        <w:rPr>
          <w:rFonts w:eastAsia="仿宋" w:cs="Times New Roman"/>
          <w:kern w:val="0"/>
          <w:szCs w:val="21"/>
        </w:rPr>
        <w:t>无论是从每个年份系数估计值的显著性还是各个系数估计值的联合显著性看，处理组城市和控制组城市之间的事前平行趋势均满足，进一步支持了平行趋势假设这一核心假定的成立。</w:t>
      </w:r>
    </w:p>
    <w:p>
      <w:pPr>
        <w:ind w:firstLine="396" w:firstLineChars="0"/>
        <w:rPr>
          <w:rFonts w:eastAsia="仿宋" w:cs="Times New Roman"/>
          <w:szCs w:val="21"/>
        </w:rPr>
      </w:pPr>
      <w:r>
        <w:rPr>
          <w:rFonts w:eastAsia="仿宋" w:cs="Times New Roman"/>
          <w:kern w:val="0"/>
          <w:szCs w:val="21"/>
        </w:rPr>
        <w:t>此外，我们也将基于1996</w:t>
      </w:r>
      <w:r>
        <w:rPr>
          <w:rFonts w:hint="eastAsia" w:eastAsia="仿宋" w:cs="Times New Roman"/>
          <w:kern w:val="0"/>
          <w:szCs w:val="21"/>
          <w:lang w:eastAsia="zh-CN"/>
        </w:rPr>
        <w:t>—</w:t>
      </w:r>
      <w:r>
        <w:rPr>
          <w:rFonts w:eastAsia="仿宋" w:cs="Times New Roman"/>
          <w:kern w:val="0"/>
          <w:szCs w:val="21"/>
        </w:rPr>
        <w:t>2007年样本估计</w:t>
      </w:r>
      <w:r>
        <w:rPr>
          <w:rFonts w:eastAsia="仿宋" w:cs="Times New Roman"/>
          <w:szCs w:val="21"/>
        </w:rPr>
        <w:t>得到的动态双重差分估计平均效果分别汇报在表IV2和表IV3的面板A中。结果显示，扩招政策对大学毕业生比例和个人收入的影响仍与正文结论保持一致。</w:t>
      </w:r>
    </w:p>
    <w:p>
      <w:pPr>
        <w:ind w:firstLine="396" w:firstLineChars="0"/>
        <w:rPr>
          <w:rFonts w:eastAsia="仿宋" w:cs="Times New Roman"/>
          <w:b/>
          <w:bCs/>
          <w:szCs w:val="21"/>
        </w:rPr>
      </w:pPr>
      <w:r>
        <w:rPr>
          <w:rFonts w:eastAsia="仿宋" w:cs="Times New Roman"/>
          <w:b/>
          <w:bCs/>
          <w:szCs w:val="21"/>
        </w:rPr>
        <w:t>（3）控制个体特征和城市特征变量</w:t>
      </w:r>
    </w:p>
    <w:p>
      <w:pPr>
        <w:ind w:firstLine="396" w:firstLineChars="0"/>
        <w:rPr>
          <w:rFonts w:eastAsia="仿宋" w:cs="Times New Roman"/>
          <w:szCs w:val="21"/>
        </w:rPr>
      </w:pPr>
      <w:r>
        <w:rPr>
          <w:rFonts w:eastAsia="仿宋" w:cs="Times New Roman"/>
          <w:szCs w:val="21"/>
        </w:rPr>
        <w:t>为尽可能缓解遗漏重要变量引起的估计偏差，一方面，考虑到个体户籍和工作行业均是影响个体工资收入的重要因素（</w:t>
      </w:r>
      <w:bookmarkStart w:id="9" w:name="OLE_LINK3"/>
      <w:bookmarkStart w:id="10" w:name="OLE_LINK2"/>
      <w:r>
        <w:rPr>
          <w:rFonts w:eastAsia="仿宋" w:cs="Times New Roman"/>
          <w:szCs w:val="21"/>
        </w:rPr>
        <w:t>张原和陈建奇，2008</w:t>
      </w:r>
      <w:bookmarkEnd w:id="9"/>
      <w:bookmarkEnd w:id="10"/>
      <w:r>
        <w:rPr>
          <w:rFonts w:eastAsia="仿宋" w:cs="Times New Roman"/>
          <w:szCs w:val="21"/>
        </w:rPr>
        <w:t>；</w:t>
      </w:r>
      <w:bookmarkStart w:id="11" w:name="OLE_LINK7"/>
      <w:bookmarkStart w:id="12" w:name="OLE_LINK6"/>
      <w:r>
        <w:rPr>
          <w:rFonts w:hint="eastAsia" w:eastAsia="仿宋" w:cs="Times New Roman"/>
          <w:szCs w:val="21"/>
        </w:rPr>
        <w:t>宁光杰和段乐乐</w:t>
      </w:r>
      <w:r>
        <w:rPr>
          <w:rFonts w:eastAsia="仿宋" w:cs="Times New Roman"/>
          <w:szCs w:val="21"/>
        </w:rPr>
        <w:t>，201</w:t>
      </w:r>
      <w:bookmarkEnd w:id="11"/>
      <w:bookmarkEnd w:id="12"/>
      <w:r>
        <w:rPr>
          <w:rFonts w:eastAsia="仿宋" w:cs="Times New Roman"/>
          <w:szCs w:val="21"/>
        </w:rPr>
        <w:t>7），我们在上文模型中相应控制了个体户籍和行业特征的固定效应，就扩招政策对大学毕业生比例和个人收入的影响再次进行估计；另一方面，由于部分城市层面的宏观经济变量在处理组城市和控制组城市之间的发展趋势差异，可能也会对两组城市间个体收入的相对增长产生影响，我们相应地在模型中</w:t>
      </w:r>
      <w:r>
        <w:rPr>
          <w:rFonts w:eastAsia="仿宋" w:cs="Times New Roman"/>
          <w:kern w:val="0"/>
          <w:szCs w:val="21"/>
        </w:rPr>
        <w:t>引入了1999年城市特征与年份固定效应的交互项，</w:t>
      </w:r>
      <w:r>
        <w:rPr>
          <w:rFonts w:eastAsia="仿宋" w:cs="Times New Roman"/>
          <w:szCs w:val="21"/>
        </w:rPr>
        <w:t>并再次进行估计。结合已有文献（周茂等，2019；葛润和黄家林，2020），</w:t>
      </w:r>
      <w:r>
        <w:rPr>
          <w:rFonts w:hint="eastAsia" w:eastAsia="仿宋" w:cs="Times New Roman"/>
          <w:szCs w:val="21"/>
        </w:rPr>
        <w:t>我们控制</w:t>
      </w:r>
      <w:r>
        <w:rPr>
          <w:rFonts w:eastAsia="仿宋" w:cs="Times New Roman"/>
          <w:szCs w:val="21"/>
        </w:rPr>
        <w:t>的城市特征包括</w:t>
      </w:r>
      <w:r>
        <w:rPr>
          <w:rFonts w:eastAsia="仿宋" w:cs="Times New Roman"/>
          <w:kern w:val="0"/>
          <w:szCs w:val="21"/>
        </w:rPr>
        <w:t>经济总量（用GDP表示）、人口规模（用常住人口数表示）、产业结构（用第一、二产业占比表示）、劳动力市场状况（用城镇登记失业人口表示）、金融发展水平（用金融从业人数占比表示）和基础设施建设（用城市公共图书馆藏书量和医院总数表示）等方面。</w:t>
      </w:r>
      <w:r>
        <w:rPr>
          <w:rFonts w:eastAsia="仿宋" w:cs="Times New Roman"/>
          <w:szCs w:val="21"/>
        </w:rPr>
        <w:t>我们将上述估计得到的动态双重差分估计平均效果分别汇报在表IV2和表IV3的面板B、面板C中。</w:t>
      </w:r>
    </w:p>
    <w:p>
      <w:pPr>
        <w:ind w:firstLine="396" w:firstLineChars="0"/>
        <w:rPr>
          <w:rFonts w:eastAsia="仿宋" w:cs="Times New Roman"/>
          <w:szCs w:val="21"/>
        </w:rPr>
      </w:pPr>
      <w:r>
        <w:rPr>
          <w:rFonts w:eastAsia="仿宋" w:cs="Times New Roman"/>
          <w:szCs w:val="21"/>
        </w:rPr>
        <w:t>通过比较可以发现，在分别控制个体特征和城市特征等潜在遗漏变量的影响后，无论是从经济显著性还是从统计显著性看，扩招政策对大学毕业生比例和个人收入影响的估计结果均与上文结论基本相符，证实了本文关于人力资本外溢效应存在的结论是稳健的。</w:t>
      </w:r>
    </w:p>
    <w:p>
      <w:pPr>
        <w:ind w:firstLine="396" w:firstLineChars="0"/>
        <w:rPr>
          <w:rFonts w:eastAsia="仿宋" w:cs="Times New Roman"/>
          <w:b/>
          <w:bCs/>
          <w:szCs w:val="21"/>
        </w:rPr>
      </w:pPr>
      <w:r>
        <w:rPr>
          <w:rFonts w:eastAsia="仿宋" w:cs="Times New Roman"/>
          <w:b/>
          <w:bCs/>
          <w:szCs w:val="21"/>
        </w:rPr>
        <w:t>（4）控制地区特征的时间趋势</w:t>
      </w:r>
    </w:p>
    <w:p>
      <w:pPr>
        <w:ind w:firstLine="396" w:firstLineChars="0"/>
        <w:rPr>
          <w:rFonts w:eastAsia="仿宋" w:cs="Times New Roman"/>
          <w:kern w:val="0"/>
          <w:szCs w:val="21"/>
        </w:rPr>
      </w:pPr>
      <w:r>
        <w:rPr>
          <w:rFonts w:eastAsia="仿宋" w:cs="Times New Roman"/>
          <w:kern w:val="0"/>
          <w:szCs w:val="21"/>
        </w:rPr>
        <w:t>在本文使用双重差分模型进行估计的过程中，如果不同地区教育或收入增长的时间趋势存在差异，那么这种趋势项的差异可能会使估计结果产生偏误。对于该问题，我们尝试在模型中引入省份和年份的交互项，以尽可能控制不同地区时间趋势的差异。根据汇报在面板D中的估计结果可以发现，在控制省份和年份的交互项后，估计得到的结果与基准结论基本一致。说明不同地区特征变化的时间趋势并不会对本文结论产生过多影响，证实了本文结论的稳健性和可靠性。</w:t>
      </w:r>
    </w:p>
    <w:p>
      <w:pPr>
        <w:ind w:firstLine="396" w:firstLineChars="0"/>
        <w:rPr>
          <w:rFonts w:eastAsia="仿宋" w:cs="Times New Roman"/>
          <w:b/>
          <w:bCs/>
          <w:szCs w:val="21"/>
        </w:rPr>
      </w:pPr>
      <w:r>
        <w:rPr>
          <w:rFonts w:eastAsia="仿宋" w:cs="Times New Roman"/>
          <w:b/>
          <w:bCs/>
          <w:szCs w:val="21"/>
        </w:rPr>
        <w:t>（5）排除同期其他政策的影响</w:t>
      </w:r>
    </w:p>
    <w:p>
      <w:pPr>
        <w:ind w:firstLine="396"/>
        <w:rPr>
          <w:rFonts w:eastAsia="仿宋" w:cs="Times New Roman"/>
          <w:szCs w:val="21"/>
        </w:rPr>
      </w:pPr>
      <w:r>
        <w:rPr>
          <w:rFonts w:eastAsia="仿宋" w:cs="Times New Roman"/>
          <w:szCs w:val="21"/>
        </w:rPr>
        <w:t>本文主要是依赖于高校扩招政策这一外生冲击提供的准自然实验进行分析框架的建立和实证结果的分析，但在同时期内还可能存在其他政策会对劳动力市场和宏观经济产生冲击，进而使得本文的估计结果出现偏误。在2003年前后，最可能对本文结果产生影响的应为中国于2001年末加入WTO这一事件，影响渠道包括产品关税下降效应、进出口规模经济效应等（周茂等，2019）。</w:t>
      </w:r>
    </w:p>
    <w:p>
      <w:pPr>
        <w:ind w:firstLine="396"/>
        <w:rPr>
          <w:rFonts w:eastAsia="仿宋" w:cs="Times New Roman"/>
          <w:szCs w:val="21"/>
        </w:rPr>
      </w:pPr>
      <w:r>
        <w:rPr>
          <w:rFonts w:eastAsia="仿宋" w:cs="Times New Roman"/>
          <w:szCs w:val="21"/>
        </w:rPr>
        <w:t>对此，我们在上文模型中引入城市层面关税变量和进出口变量作为控制变量后进行估计，相关结果分别报告在面板E中。通过比较可以发现，在引入关税变量和进出口变量作为控制变量后，估计结果与上文结论保持一致，因此可以基本排除中国加入WTO这一事件对本文估计结果的影响。</w:t>
      </w:r>
    </w:p>
    <w:p>
      <w:pPr>
        <w:ind w:firstLine="397"/>
        <w:rPr>
          <w:rFonts w:eastAsia="仿宋" w:cs="Times New Roman"/>
          <w:b/>
          <w:bCs/>
          <w:szCs w:val="21"/>
        </w:rPr>
      </w:pPr>
      <w:r>
        <w:rPr>
          <w:rFonts w:eastAsia="仿宋" w:cs="Times New Roman"/>
          <w:b/>
          <w:bCs/>
          <w:szCs w:val="21"/>
        </w:rPr>
        <w:t>（6）更换处理组城市的划分指标</w:t>
      </w:r>
    </w:p>
    <w:p>
      <w:pPr>
        <w:ind w:firstLine="396"/>
        <w:rPr>
          <w:rFonts w:eastAsia="仿宋" w:cs="Times New Roman"/>
          <w:szCs w:val="21"/>
        </w:rPr>
      </w:pPr>
      <w:r>
        <w:rPr>
          <w:rFonts w:eastAsia="仿宋" w:cs="Times New Roman"/>
          <w:szCs w:val="21"/>
        </w:rPr>
        <w:t>在本文使用的经典双重差分和动态双重差分模型中，处理组城市划分指标的不同会对估计结果产生直接影响。因此，我们</w:t>
      </w:r>
      <w:r>
        <w:rPr>
          <w:rFonts w:eastAsia="仿宋" w:cs="Times New Roman"/>
          <w:kern w:val="0"/>
          <w:szCs w:val="21"/>
        </w:rPr>
        <w:t>也尝试直接使用各</w:t>
      </w:r>
      <w:r>
        <w:rPr>
          <w:rFonts w:eastAsia="仿宋" w:cs="Times New Roman"/>
          <w:szCs w:val="21"/>
        </w:rPr>
        <w:t>城市在1998年每万人大学生比例的中位数对城市进行分组，相关结果报告在面板F中。通过比较可以发现，在更换处理组城市的划分指标后，扩招政策对大学毕业生比例和个人收入影响的整体方向仍与上文结论保持一致，这也从处理组城市划分指标的角度证实了本文结论的可靠性。</w:t>
      </w:r>
    </w:p>
    <w:p>
      <w:pPr>
        <w:ind w:firstLine="397"/>
        <w:rPr>
          <w:rFonts w:eastAsia="仿宋" w:cs="Times New Roman"/>
          <w:b/>
          <w:bCs/>
          <w:szCs w:val="21"/>
        </w:rPr>
      </w:pPr>
      <w:r>
        <w:rPr>
          <w:rFonts w:eastAsia="仿宋" w:cs="Times New Roman"/>
          <w:b/>
          <w:bCs/>
          <w:szCs w:val="21"/>
        </w:rPr>
        <w:t>（7）更换出生队列的划分标准</w:t>
      </w:r>
    </w:p>
    <w:p>
      <w:pPr>
        <w:ind w:firstLine="396"/>
        <w:rPr>
          <w:rFonts w:eastAsia="仿宋" w:cs="Times New Roman"/>
          <w:szCs w:val="21"/>
        </w:rPr>
      </w:pPr>
      <w:r>
        <w:rPr>
          <w:rFonts w:eastAsia="仿宋" w:cs="Times New Roman"/>
          <w:szCs w:val="21"/>
        </w:rPr>
        <w:t>本文主要通过分析扩招政策对不同出生队列（特别是</w:t>
      </w:r>
      <w:r>
        <w:rPr>
          <w:rFonts w:eastAsia="仿宋" w:cs="Times New Roman"/>
          <w:bCs/>
          <w:szCs w:val="21"/>
        </w:rPr>
        <w:t>政策实施时就已完成教育的群体</w:t>
      </w:r>
      <w:r>
        <w:rPr>
          <w:rFonts w:eastAsia="仿宋" w:cs="Times New Roman"/>
          <w:szCs w:val="21"/>
        </w:rPr>
        <w:t>）的影响，进而证实了人力资本外溢效应的存在。因此，如何合理划分出生队列对本文研究结论有十分重要的影响。在正文中，我们就选择1960年作为划分标准的原因进行了阐释，并验证了该划分方式的有效性。在此基础上，我们分别将划分标准从1960年更换为1955年和1965年后再次估计，相关结果分别报告在面板G和面板H中。估计结果显示，在更换指标年份后，估计得到的结果均与正文结论一致，说明本文结论并不依赖于</w:t>
      </w:r>
      <w:r>
        <w:rPr>
          <w:rFonts w:eastAsia="仿宋" w:cs="Times New Roman"/>
          <w:bCs/>
          <w:szCs w:val="21"/>
        </w:rPr>
        <w:t>1960年这一划分标准的选择</w:t>
      </w:r>
      <w:r>
        <w:rPr>
          <w:rFonts w:eastAsia="仿宋" w:cs="Times New Roman"/>
          <w:szCs w:val="21"/>
        </w:rPr>
        <w:t>，进一步支持了本文结论的稳健性。</w:t>
      </w:r>
    </w:p>
    <w:p>
      <w:pPr>
        <w:ind w:firstLine="397"/>
        <w:rPr>
          <w:rFonts w:eastAsia="仿宋" w:cs="Times New Roman"/>
          <w:b/>
          <w:szCs w:val="21"/>
        </w:rPr>
      </w:pPr>
      <w:r>
        <w:rPr>
          <w:rFonts w:eastAsia="仿宋" w:cs="Times New Roman"/>
          <w:b/>
          <w:szCs w:val="21"/>
        </w:rPr>
        <w:t>（8）其他可能问题</w:t>
      </w:r>
    </w:p>
    <w:p>
      <w:pPr>
        <w:ind w:firstLine="396"/>
        <w:rPr>
          <w:rFonts w:eastAsia="仿宋" w:cs="Times New Roman"/>
          <w:szCs w:val="21"/>
        </w:rPr>
      </w:pPr>
      <w:r>
        <w:rPr>
          <w:rFonts w:eastAsia="仿宋" w:cs="Times New Roman"/>
          <w:szCs w:val="21"/>
        </w:rPr>
        <w:t>其一，考虑到在UHS的不同调查年份，本文所关注的出生于1960年前群体和出生于1960年后群体的年龄组成也在发生改变，这些差异也可能会对我们的估计产生影响。为了保持样本年龄组成在不同调查年份的一致性，对于出生于1960年前队列，我们仅保留了每年47-60岁的群体；对于出生于1960年后队列，我们则保留了每年20-39岁的样本。此外，考虑到大学生毕业年龄通常为21-22岁以及女性退休年龄一般为50岁或55岁，我们进一步将样本限制为22岁及以上、女性50岁及以下群体，以尽可能保证样本处于劳动力市场中。基于该限制年龄后样本的估计结果汇报在面板I中。</w:t>
      </w:r>
    </w:p>
    <w:p>
      <w:pPr>
        <w:ind w:firstLine="396"/>
        <w:rPr>
          <w:rFonts w:eastAsia="仿宋" w:cs="Times New Roman"/>
          <w:szCs w:val="21"/>
        </w:rPr>
      </w:pPr>
      <w:r>
        <w:rPr>
          <w:rFonts w:eastAsia="仿宋" w:cs="Times New Roman"/>
          <w:szCs w:val="21"/>
        </w:rPr>
        <w:t>其二，</w:t>
      </w:r>
      <w:r>
        <w:rPr>
          <w:rFonts w:eastAsia="仿宋" w:cs="Times New Roman"/>
          <w:kern w:val="0"/>
          <w:szCs w:val="21"/>
        </w:rPr>
        <w:t>在扩招政策产生影响的过程中，由于人力资本的集聚效应以及劳动力市场一般均衡效应的存在，可能会出现不同地区之间劳动力发生流动的情况。为了验证劳动力流动对估计结果的影响程度，我们将</w:t>
      </w:r>
      <w:r>
        <w:rPr>
          <w:rFonts w:eastAsia="仿宋" w:cs="Times New Roman"/>
          <w:bCs/>
          <w:kern w:val="0"/>
          <w:szCs w:val="21"/>
        </w:rPr>
        <w:t>样本限制在没有进行跨城市流动的本地样本中并再次进行估计，相应结果汇报在面板J中。</w:t>
      </w:r>
    </w:p>
    <w:p>
      <w:pPr>
        <w:ind w:firstLine="396"/>
        <w:rPr>
          <w:rFonts w:eastAsia="仿宋" w:cs="Times New Roman"/>
          <w:szCs w:val="21"/>
        </w:rPr>
      </w:pPr>
      <w:r>
        <w:rPr>
          <w:rFonts w:eastAsia="仿宋" w:cs="Times New Roman"/>
          <w:szCs w:val="21"/>
        </w:rPr>
        <w:t>通过比较可以发现，在对其他可能问题进行处理和分析后，本文结论依然保持稳健。</w:t>
      </w:r>
    </w:p>
    <w:p>
      <w:pPr>
        <w:pStyle w:val="9"/>
        <w:spacing w:before="178"/>
        <w:rPr>
          <w:rFonts w:hint="eastAsia" w:ascii="黑体" w:hAnsi="黑体" w:eastAsia="黑体" w:cs="黑体"/>
          <w:b w:val="0"/>
          <w:bCs/>
          <w:sz w:val="20"/>
          <w:szCs w:val="20"/>
        </w:rPr>
      </w:pPr>
      <w:r>
        <w:rPr>
          <w:rFonts w:hint="eastAsia" w:ascii="黑体" w:hAnsi="黑体" w:eastAsia="黑体" w:cs="黑体"/>
          <w:b w:val="0"/>
          <w:bCs/>
          <w:sz w:val="20"/>
          <w:szCs w:val="20"/>
        </w:rPr>
        <w:t>表 IV</w:t>
      </w:r>
      <w:r>
        <w:rPr>
          <w:rFonts w:hint="eastAsia" w:ascii="黑体" w:hAnsi="黑体" w:eastAsia="黑体" w:cs="黑体"/>
          <w:b w:val="0"/>
          <w:bCs/>
          <w:sz w:val="20"/>
          <w:szCs w:val="20"/>
          <w:lang w:eastAsia="zh-CN"/>
        </w:rPr>
        <w:t>2</w:t>
      </w:r>
      <w:r>
        <w:rPr>
          <w:rFonts w:hint="eastAsia" w:ascii="黑体" w:hAnsi="黑体" w:eastAsia="黑体" w:cs="黑体"/>
          <w:b w:val="0"/>
          <w:bCs/>
          <w:sz w:val="20"/>
          <w:szCs w:val="20"/>
        </w:rPr>
        <w:t xml:space="preserve">  </w:t>
      </w:r>
      <w:r>
        <w:rPr>
          <w:rFonts w:hint="eastAsia" w:ascii="黑体" w:hAnsi="黑体" w:eastAsia="黑体" w:cs="黑体"/>
          <w:b w:val="0"/>
          <w:bCs/>
          <w:sz w:val="20"/>
          <w:szCs w:val="20"/>
          <w:lang w:eastAsia="zh-CN"/>
        </w:rPr>
        <w:t>稳健性检验</w:t>
      </w:r>
      <w:r>
        <w:rPr>
          <w:rFonts w:hint="eastAsia" w:ascii="黑体" w:hAnsi="黑体" w:eastAsia="黑体" w:cs="黑体"/>
          <w:b w:val="0"/>
          <w:bCs/>
          <w:sz w:val="20"/>
          <w:szCs w:val="20"/>
        </w:rPr>
        <w:t>：扩招政策对大学毕业生比例的影响</w:t>
      </w:r>
    </w:p>
    <w:tbl>
      <w:tblPr>
        <w:tblStyle w:val="28"/>
        <w:tblW w:w="9166" w:type="dxa"/>
        <w:jc w:val="center"/>
        <w:tblLayout w:type="autofit"/>
        <w:tblCellMar>
          <w:top w:w="0" w:type="dxa"/>
          <w:left w:w="108" w:type="dxa"/>
          <w:bottom w:w="0" w:type="dxa"/>
          <w:right w:w="108" w:type="dxa"/>
        </w:tblCellMar>
      </w:tblPr>
      <w:tblGrid>
        <w:gridCol w:w="1832"/>
        <w:gridCol w:w="1221"/>
        <w:gridCol w:w="1223"/>
        <w:gridCol w:w="1221"/>
        <w:gridCol w:w="1221"/>
        <w:gridCol w:w="1221"/>
        <w:gridCol w:w="1221"/>
        <w:gridCol w:w="6"/>
      </w:tblGrid>
      <w:tr>
        <w:tblPrEx>
          <w:tblCellMar>
            <w:top w:w="0" w:type="dxa"/>
            <w:left w:w="108" w:type="dxa"/>
            <w:bottom w:w="0" w:type="dxa"/>
            <w:right w:w="108" w:type="dxa"/>
          </w:tblCellMar>
        </w:tblPrEx>
        <w:trPr>
          <w:gridAfter w:val="1"/>
          <w:wAfter w:w="6" w:type="dxa"/>
          <w:trHeight w:val="240" w:hRule="atLeast"/>
          <w:jc w:val="center"/>
        </w:trPr>
        <w:tc>
          <w:tcPr>
            <w:tcW w:w="1832"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w:t>
            </w:r>
          </w:p>
        </w:tc>
        <w:tc>
          <w:tcPr>
            <w:tcW w:w="122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w:t>
            </w:r>
          </w:p>
        </w:tc>
        <w:tc>
          <w:tcPr>
            <w:tcW w:w="1223"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w:t>
            </w:r>
          </w:p>
        </w:tc>
        <w:tc>
          <w:tcPr>
            <w:tcW w:w="122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w:t>
            </w:r>
          </w:p>
        </w:tc>
        <w:tc>
          <w:tcPr>
            <w:tcW w:w="122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w:t>
            </w:r>
          </w:p>
        </w:tc>
        <w:tc>
          <w:tcPr>
            <w:tcW w:w="122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w:t>
            </w:r>
          </w:p>
        </w:tc>
        <w:tc>
          <w:tcPr>
            <w:tcW w:w="1221"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w:t>
            </w:r>
          </w:p>
        </w:tc>
      </w:tr>
      <w:tr>
        <w:tblPrEx>
          <w:tblCellMar>
            <w:top w:w="0" w:type="dxa"/>
            <w:left w:w="108" w:type="dxa"/>
            <w:bottom w:w="0" w:type="dxa"/>
            <w:right w:w="108" w:type="dxa"/>
          </w:tblCellMar>
        </w:tblPrEx>
        <w:trPr>
          <w:trHeight w:val="285"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变量</w:t>
            </w:r>
          </w:p>
        </w:tc>
        <w:tc>
          <w:tcPr>
            <w:tcW w:w="7334" w:type="dxa"/>
            <w:gridSpan w:val="7"/>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大学毕业生比例 （%）</w:t>
            </w:r>
          </w:p>
        </w:tc>
      </w:tr>
      <w:tr>
        <w:tblPrEx>
          <w:tblCellMar>
            <w:top w:w="0" w:type="dxa"/>
            <w:left w:w="108" w:type="dxa"/>
            <w:bottom w:w="0" w:type="dxa"/>
            <w:right w:w="108" w:type="dxa"/>
          </w:tblCellMar>
        </w:tblPrEx>
        <w:trPr>
          <w:gridAfter w:val="1"/>
          <w:wAfter w:w="6" w:type="dxa"/>
          <w:trHeight w:val="491" w:hRule="atLeast"/>
          <w:jc w:val="center"/>
        </w:trPr>
        <w:tc>
          <w:tcPr>
            <w:tcW w:w="1832"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样本</w:t>
            </w:r>
          </w:p>
        </w:tc>
        <w:tc>
          <w:tcPr>
            <w:tcW w:w="122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全样本</w:t>
            </w:r>
          </w:p>
        </w:tc>
        <w:tc>
          <w:tcPr>
            <w:tcW w:w="1223"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生于指标年份后</w:t>
            </w:r>
          </w:p>
        </w:tc>
        <w:tc>
          <w:tcPr>
            <w:tcW w:w="122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生于指标年份前</w:t>
            </w:r>
          </w:p>
        </w:tc>
        <w:tc>
          <w:tcPr>
            <w:tcW w:w="122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全样本</w:t>
            </w:r>
          </w:p>
        </w:tc>
        <w:tc>
          <w:tcPr>
            <w:tcW w:w="122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生于指标年份后</w:t>
            </w:r>
          </w:p>
        </w:tc>
        <w:tc>
          <w:tcPr>
            <w:tcW w:w="1221"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生于指标年份前</w:t>
            </w:r>
          </w:p>
        </w:tc>
      </w:tr>
      <w:tr>
        <w:tblPrEx>
          <w:tblCellMar>
            <w:top w:w="0" w:type="dxa"/>
            <w:left w:w="108" w:type="dxa"/>
            <w:bottom w:w="0" w:type="dxa"/>
            <w:right w:w="108" w:type="dxa"/>
          </w:tblCellMar>
        </w:tblPrEx>
        <w:trPr>
          <w:trHeight w:val="233" w:hRule="atLeast"/>
          <w:jc w:val="center"/>
        </w:trPr>
        <w:tc>
          <w:tcPr>
            <w:tcW w:w="9166" w:type="dxa"/>
            <w:gridSpan w:val="8"/>
            <w:tcBorders>
              <w:top w:val="single" w:color="auto" w:sz="8" w:space="0"/>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面板A: 换用UHS 1996-2007年样本</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-0.238</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0.890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-0.408</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-0.0189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-0.00414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-0.00677</w:t>
            </w:r>
          </w:p>
        </w:tc>
      </w:tr>
      <w:tr>
        <w:tblPrEx>
          <w:tblCellMar>
            <w:top w:w="0" w:type="dxa"/>
            <w:left w:w="108" w:type="dxa"/>
            <w:bottom w:w="0" w:type="dxa"/>
            <w:right w:w="108" w:type="dxa"/>
          </w:tblCellMar>
        </w:tblPrEx>
        <w:trPr>
          <w:gridAfter w:val="1"/>
          <w:wAfter w:w="6" w:type="dxa"/>
          <w:trHeight w:val="26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(1.037)</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(1.443)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(0.838)</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(0.0230)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(0.0316)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(0.0191)</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1.994**</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5.080***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-0.744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0.0541**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0.142***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-0.00289</w:t>
            </w:r>
          </w:p>
        </w:tc>
      </w:tr>
      <w:tr>
        <w:tblPrEx>
          <w:tblCellMar>
            <w:top w:w="0" w:type="dxa"/>
            <w:left w:w="108" w:type="dxa"/>
            <w:bottom w:w="0" w:type="dxa"/>
            <w:right w:w="108" w:type="dxa"/>
          </w:tblCellMar>
        </w:tblPrEx>
        <w:trPr>
          <w:gridAfter w:val="1"/>
          <w:wAfter w:w="6" w:type="dxa"/>
          <w:trHeight w:val="26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(0.999)</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(1.249)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(0.915)</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(0.0232)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(0.0226)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(0.0327)</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33"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面板B: 控制个体户籍和工作行业的固定效应</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-0.350</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1.235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-0.952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-0.00757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0.0239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-0.00248</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(0.845)</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(1.106)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(0.818)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(0.0161)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(0.0236)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(0.0179)</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1.124</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3.795***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-1.293</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0.0482***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0.118***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0.00410</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(0.974)</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(1.309)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(0.944)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(0.0157)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(0.0249)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(0.0217)</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面板C: 控制1999年城市特征交互年份固定效应</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0.303</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2.012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-0.688</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-0.0439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0.0161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-0.0604</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(1.247)</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(1.590)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(1.079)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(0.0617)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(0.0817)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(0.0542)</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1.521</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4.419**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-1.111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0.0404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0.192*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-0.0813</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(1.363)</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(1.694)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(1.216)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(0.0807)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(0.105)</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(0.0620)</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面板D: 控制省份和年份的交互项</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0.117</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1.237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-0.316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-0.00988</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-0.0203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0.00946</w:t>
            </w:r>
          </w:p>
        </w:tc>
      </w:tr>
      <w:tr>
        <w:tblPrEx>
          <w:tblCellMar>
            <w:top w:w="0" w:type="dxa"/>
            <w:left w:w="108" w:type="dxa"/>
            <w:bottom w:w="0" w:type="dxa"/>
            <w:right w:w="108" w:type="dxa"/>
          </w:tblCellMar>
        </w:tblPrEx>
        <w:trPr>
          <w:gridAfter w:val="1"/>
          <w:wAfter w:w="6" w:type="dxa"/>
          <w:trHeight w:val="26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(1.085)</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(1.355)</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(1.090)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(0.0544)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(0.0679)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(0.0606)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1.993*</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4.643***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-0.572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0.200**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-0.00961</w:t>
            </w:r>
          </w:p>
        </w:tc>
      </w:tr>
      <w:tr>
        <w:tblPrEx>
          <w:tblCellMar>
            <w:top w:w="0" w:type="dxa"/>
            <w:left w:w="108" w:type="dxa"/>
            <w:bottom w:w="0" w:type="dxa"/>
            <w:right w:w="108" w:type="dxa"/>
          </w:tblCellMar>
        </w:tblPrEx>
        <w:trPr>
          <w:gridAfter w:val="1"/>
          <w:wAfter w:w="6" w:type="dxa"/>
          <w:trHeight w:val="26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(1.135)</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(1.454)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(1.015)</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(0.0630)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(0.0836)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(0.0482)</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面板E: 排除同期WTO政策影响</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0.0756</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0.978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0.0305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-0.00294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-0.0168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0.0299</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(1.053)</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(1.402)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(0.973)</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(0.0219)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(0.0281)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(0.0208)</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1.949*</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4.729***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-0.370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0.0618**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0.119***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0.0311</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(1.075)</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(1.342)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(1.061)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(0.0261)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(0.0272)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(0.0359)</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面板F: 换用每万人大学生比例划分处理组城市</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-2.025</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-1.354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-1.400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-0.0101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-0.0131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-0.00214</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(1.306)</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(1.742)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(1.166)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(0.00684)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(0.00957)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(0.00760)</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-0.0490</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2.955*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-2.096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0.00426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0.0194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-0.00500</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(1.285)</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(1.689)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(1.263)</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(0.00969)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(0.0120)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(0.00996)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gridAfter w:val="1"/>
          <w:wAfter w:w="6" w:type="dxa"/>
          <w:trHeight w:val="233" w:hRule="atLeast"/>
          <w:jc w:val="center"/>
        </w:trPr>
        <w:tc>
          <w:tcPr>
            <w:tcW w:w="4276" w:type="dxa"/>
            <w:gridSpan w:val="3"/>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面板G: 换用1955年划分出生队列</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kern w:val="0"/>
                <w:sz w:val="20"/>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0.118</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0.895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-0.415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-0.00140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0.0177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-0.00316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(1.001)</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(1.188)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(0.896)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(0.0210)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(0.0257)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(0.0150)</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2.281**</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4.135***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0.0278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0.0687***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0.134***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0.00657</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(1.126)</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(1.310)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(1.126)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(0.0253)</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(0.0231)</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(0.0238)</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面板H: 换用1965年划分出生队列</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0.118</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-1.265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0.685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-0.00140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-0.105***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0.0316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(1.001)</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(1.678)</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(1.015)</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(0.0210)</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(0.0316)</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(0.0274)</w:t>
            </w:r>
          </w:p>
        </w:tc>
      </w:tr>
      <w:tr>
        <w:tblPrEx>
          <w:tblCellMar>
            <w:top w:w="0" w:type="dxa"/>
            <w:left w:w="108" w:type="dxa"/>
            <w:bottom w:w="0" w:type="dxa"/>
            <w:right w:w="108" w:type="dxa"/>
          </w:tblCellMar>
        </w:tblPrEx>
        <w:trPr>
          <w:gridAfter w:val="1"/>
          <w:wAfter w:w="6" w:type="dxa"/>
          <w:trHeight w:val="233"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2.281**</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3.072**</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0.919</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0.0687***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0.0614*</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0.0355</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(1.126)</w:t>
            </w: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(1.507)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(1.173)</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(0.0253)</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(0.0337)</w:t>
            </w: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(0.0395)</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面板I: 保留限制年龄后样本</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0.0593</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1.359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-0.327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-0.0320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0.0109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-0.0272</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(1.239)</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(1.502)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(1.371)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(0.0224)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(0.0291)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(0.0245)</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3.004**</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7.518***</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-1.620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0.0623**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0.224***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-0.0499</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(1.267)</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(1.551)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(1.601)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(0.0287)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(0.0388)</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(0.0466)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20"/>
              </w:rPr>
            </w:pP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9166" w:type="dxa"/>
            <w:gridSpan w:val="8"/>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w:t>
            </w:r>
            <w:r>
              <w:rPr>
                <w:rFonts w:hint="eastAsia" w:eastAsia="仿宋" w:cs="Times New Roman"/>
                <w:b/>
                <w:bCs/>
                <w:kern w:val="0"/>
                <w:sz w:val="18"/>
                <w:szCs w:val="18"/>
              </w:rPr>
              <w:t>J</w:t>
            </w:r>
            <w:r>
              <w:rPr>
                <w:rFonts w:eastAsia="仿宋" w:cs="Times New Roman"/>
                <w:b/>
                <w:bCs/>
                <w:kern w:val="0"/>
                <w:sz w:val="18"/>
                <w:szCs w:val="18"/>
              </w:rPr>
              <w:t>: 保留没有进行跨城市流动的本地样本</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0.542</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1.967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0.0667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0.0209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0.0433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0.0280</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(1.001)</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(1.317)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(0.923)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(0.0221)</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(0.0276)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(0.0200)</w:t>
            </w:r>
          </w:p>
        </w:tc>
      </w:tr>
      <w:tr>
        <w:tblPrEx>
          <w:tblCellMar>
            <w:top w:w="0" w:type="dxa"/>
            <w:left w:w="108" w:type="dxa"/>
            <w:bottom w:w="0" w:type="dxa"/>
            <w:right w:w="108" w:type="dxa"/>
          </w:tblCellMar>
        </w:tblPrEx>
        <w:trPr>
          <w:gridAfter w:val="1"/>
          <w:wAfter w:w="6" w:type="dxa"/>
          <w:trHeight w:val="233"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2.739**</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5.892***</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-0.226</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0.0865***</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0.165***</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0.0336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(1.157)</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(1.434)</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(1.113)</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(0.0240)</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(0.0289)</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(0.0346)</w:t>
            </w:r>
          </w:p>
        </w:tc>
      </w:tr>
      <w:tr>
        <w:tblPrEx>
          <w:tblCellMar>
            <w:top w:w="0" w:type="dxa"/>
            <w:left w:w="108" w:type="dxa"/>
            <w:bottom w:w="0" w:type="dxa"/>
            <w:right w:w="108" w:type="dxa"/>
          </w:tblCellMar>
        </w:tblPrEx>
        <w:trPr>
          <w:gridAfter w:val="1"/>
          <w:wAfter w:w="6" w:type="dxa"/>
          <w:trHeight w:val="23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3"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221"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gridAfter w:val="1"/>
          <w:wAfter w:w="6" w:type="dxa"/>
          <w:trHeight w:val="240" w:hRule="atLeast"/>
          <w:jc w:val="center"/>
        </w:trPr>
        <w:tc>
          <w:tcPr>
            <w:tcW w:w="183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城市和年份固定效应</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3"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r>
      <w:tr>
        <w:tblPrEx>
          <w:tblCellMar>
            <w:top w:w="0" w:type="dxa"/>
            <w:left w:w="108" w:type="dxa"/>
            <w:bottom w:w="0" w:type="dxa"/>
            <w:right w:w="108" w:type="dxa"/>
          </w:tblCellMar>
        </w:tblPrEx>
        <w:trPr>
          <w:gridAfter w:val="1"/>
          <w:wAfter w:w="6" w:type="dxa"/>
          <w:trHeight w:val="250" w:hRule="atLeast"/>
          <w:jc w:val="center"/>
        </w:trPr>
        <w:tc>
          <w:tcPr>
            <w:tcW w:w="1832"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性别、年龄及交互项</w:t>
            </w:r>
          </w:p>
        </w:tc>
        <w:tc>
          <w:tcPr>
            <w:tcW w:w="122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3"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r>
    </w:tbl>
    <w:p>
      <w:pPr>
        <w:pStyle w:val="63"/>
        <w:spacing w:after="178"/>
        <w:rPr>
          <w:rFonts w:eastAsia="仿宋" w:cs="Times New Roman"/>
        </w:rPr>
      </w:pPr>
      <w:r>
        <w:rPr>
          <w:rFonts w:eastAsia="仿宋" w:cs="Times New Roman"/>
        </w:rPr>
        <w:t>注：</w:t>
      </w:r>
      <w:r>
        <w:rPr>
          <w:rFonts w:eastAsia="仿宋" w:cs="Times New Roman"/>
          <w:lang w:eastAsia="zh-CN"/>
        </w:rPr>
        <w:t>面板A数据来源为UHS 1996-2007年样本，其他面板</w:t>
      </w:r>
      <w:r>
        <w:rPr>
          <w:rFonts w:eastAsia="仿宋" w:cs="Times New Roman"/>
          <w:lang w:val="en-US"/>
        </w:rPr>
        <w:t>数据来源为UHS 1999-2007年样本</w:t>
      </w:r>
      <w:r>
        <w:rPr>
          <w:rFonts w:eastAsia="仿宋" w:cs="Times New Roman"/>
          <w:lang w:val="en-US" w:eastAsia="zh-CN"/>
        </w:rPr>
        <w:t>。</w:t>
      </w:r>
      <w:r>
        <w:rPr>
          <w:rFonts w:eastAsia="仿宋" w:cs="Times New Roman"/>
        </w:rPr>
        <w:t>其中第（1）-（3）列中的处理变量为根据城市1998年高等院校数构建得到的二元分组变量，第（4）-（6）列中的处理变量为根据城市1998年高等院校数构建得到的连续强度变量。括号内是聚类在城市层面的稳健性标准误，*、**、***分别表示在10%、5%、1%的水平上显著。</w:t>
      </w:r>
    </w:p>
    <w:p>
      <w:pPr>
        <w:pStyle w:val="63"/>
        <w:spacing w:after="178"/>
        <w:rPr>
          <w:rFonts w:eastAsia="仿宋" w:cs="Times New Roman"/>
        </w:rPr>
      </w:pPr>
    </w:p>
    <w:p>
      <w:pPr>
        <w:pStyle w:val="9"/>
        <w:spacing w:before="178"/>
        <w:rPr>
          <w:rFonts w:hint="eastAsia" w:ascii="黑体" w:hAnsi="黑体" w:eastAsia="黑体" w:cs="黑体"/>
          <w:b w:val="0"/>
          <w:bCs/>
          <w:sz w:val="20"/>
          <w:szCs w:val="20"/>
          <w:lang w:val="en-US"/>
        </w:rPr>
      </w:pPr>
      <w:r>
        <w:rPr>
          <w:rFonts w:hint="eastAsia" w:ascii="黑体" w:hAnsi="黑体" w:eastAsia="黑体" w:cs="黑体"/>
          <w:b w:val="0"/>
          <w:bCs/>
          <w:sz w:val="20"/>
          <w:szCs w:val="20"/>
        </w:rPr>
        <w:t xml:space="preserve">表 IV3  </w:t>
      </w:r>
      <w:r>
        <w:rPr>
          <w:rFonts w:hint="eastAsia" w:ascii="黑体" w:hAnsi="黑体" w:eastAsia="黑体" w:cs="黑体"/>
          <w:b w:val="0"/>
          <w:bCs/>
          <w:sz w:val="20"/>
          <w:szCs w:val="20"/>
          <w:lang w:eastAsia="zh-CN"/>
        </w:rPr>
        <w:t>稳健性检验</w:t>
      </w:r>
      <w:r>
        <w:rPr>
          <w:rFonts w:hint="eastAsia" w:ascii="黑体" w:hAnsi="黑体" w:eastAsia="黑体" w:cs="黑体"/>
          <w:b w:val="0"/>
          <w:bCs/>
          <w:sz w:val="20"/>
          <w:szCs w:val="20"/>
        </w:rPr>
        <w:t>：</w:t>
      </w:r>
      <w:r>
        <w:rPr>
          <w:rFonts w:hint="eastAsia" w:ascii="黑体" w:hAnsi="黑体" w:eastAsia="黑体" w:cs="黑体"/>
          <w:b w:val="0"/>
          <w:bCs/>
          <w:sz w:val="20"/>
          <w:szCs w:val="20"/>
          <w:lang w:val="en-US"/>
        </w:rPr>
        <w:t>扩招政策对个人收入的影响</w:t>
      </w:r>
    </w:p>
    <w:tbl>
      <w:tblPr>
        <w:tblStyle w:val="28"/>
        <w:tblW w:w="8945" w:type="dxa"/>
        <w:jc w:val="center"/>
        <w:tblLayout w:type="autofit"/>
        <w:tblCellMar>
          <w:top w:w="0" w:type="dxa"/>
          <w:left w:w="108" w:type="dxa"/>
          <w:bottom w:w="0" w:type="dxa"/>
          <w:right w:w="108" w:type="dxa"/>
        </w:tblCellMar>
      </w:tblPr>
      <w:tblGrid>
        <w:gridCol w:w="1789"/>
        <w:gridCol w:w="1192"/>
        <w:gridCol w:w="1192"/>
        <w:gridCol w:w="1192"/>
        <w:gridCol w:w="1192"/>
        <w:gridCol w:w="1192"/>
        <w:gridCol w:w="1196"/>
      </w:tblGrid>
      <w:tr>
        <w:tblPrEx>
          <w:tblCellMar>
            <w:top w:w="0" w:type="dxa"/>
            <w:left w:w="108" w:type="dxa"/>
            <w:bottom w:w="0" w:type="dxa"/>
            <w:right w:w="108" w:type="dxa"/>
          </w:tblCellMar>
        </w:tblPrEx>
        <w:trPr>
          <w:trHeight w:val="240" w:hRule="atLeast"/>
          <w:jc w:val="center"/>
        </w:trPr>
        <w:tc>
          <w:tcPr>
            <w:tcW w:w="1789"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　</w:t>
            </w:r>
          </w:p>
        </w:tc>
        <w:tc>
          <w:tcPr>
            <w:tcW w:w="1192"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w:t>
            </w:r>
          </w:p>
        </w:tc>
        <w:tc>
          <w:tcPr>
            <w:tcW w:w="1192"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w:t>
            </w:r>
          </w:p>
        </w:tc>
        <w:tc>
          <w:tcPr>
            <w:tcW w:w="1192"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w:t>
            </w:r>
          </w:p>
        </w:tc>
        <w:tc>
          <w:tcPr>
            <w:tcW w:w="1192"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w:t>
            </w:r>
          </w:p>
        </w:tc>
        <w:tc>
          <w:tcPr>
            <w:tcW w:w="1192"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w:t>
            </w:r>
          </w:p>
        </w:tc>
        <w:tc>
          <w:tcPr>
            <w:tcW w:w="1196" w:type="dxa"/>
            <w:tcBorders>
              <w:top w:val="double" w:color="auto" w:sz="6" w:space="0"/>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w:t>
            </w:r>
          </w:p>
        </w:tc>
      </w:tr>
      <w:tr>
        <w:tblPrEx>
          <w:tblCellMar>
            <w:top w:w="0" w:type="dxa"/>
            <w:left w:w="108" w:type="dxa"/>
            <w:bottom w:w="0" w:type="dxa"/>
            <w:right w:w="108" w:type="dxa"/>
          </w:tblCellMar>
        </w:tblPrEx>
        <w:trPr>
          <w:trHeight w:val="285"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变量</w:t>
            </w:r>
          </w:p>
        </w:tc>
        <w:tc>
          <w:tcPr>
            <w:tcW w:w="7156" w:type="dxa"/>
            <w:gridSpan w:val="6"/>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个人收入 （元）</w:t>
            </w:r>
          </w:p>
        </w:tc>
      </w:tr>
      <w:tr>
        <w:tblPrEx>
          <w:tblCellMar>
            <w:top w:w="0" w:type="dxa"/>
            <w:left w:w="108" w:type="dxa"/>
            <w:bottom w:w="0" w:type="dxa"/>
            <w:right w:w="108" w:type="dxa"/>
          </w:tblCellMar>
        </w:tblPrEx>
        <w:trPr>
          <w:trHeight w:val="490" w:hRule="atLeast"/>
          <w:jc w:val="center"/>
        </w:trPr>
        <w:tc>
          <w:tcPr>
            <w:tcW w:w="1789"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样本</w:t>
            </w:r>
          </w:p>
        </w:tc>
        <w:tc>
          <w:tcPr>
            <w:tcW w:w="1192"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全样本</w:t>
            </w:r>
          </w:p>
        </w:tc>
        <w:tc>
          <w:tcPr>
            <w:tcW w:w="1192"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生于指标年份后</w:t>
            </w:r>
          </w:p>
        </w:tc>
        <w:tc>
          <w:tcPr>
            <w:tcW w:w="1192"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生于指标年份前</w:t>
            </w:r>
          </w:p>
        </w:tc>
        <w:tc>
          <w:tcPr>
            <w:tcW w:w="1192"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全样本</w:t>
            </w:r>
          </w:p>
        </w:tc>
        <w:tc>
          <w:tcPr>
            <w:tcW w:w="1192"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生于指标年份后</w:t>
            </w:r>
          </w:p>
        </w:tc>
        <w:tc>
          <w:tcPr>
            <w:tcW w:w="1196" w:type="dxa"/>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生于指标年份前</w:t>
            </w:r>
          </w:p>
        </w:tc>
      </w:tr>
      <w:tr>
        <w:tblPrEx>
          <w:tblCellMar>
            <w:top w:w="0" w:type="dxa"/>
            <w:left w:w="108" w:type="dxa"/>
            <w:bottom w:w="0" w:type="dxa"/>
            <w:right w:w="108" w:type="dxa"/>
          </w:tblCellMar>
        </w:tblPrEx>
        <w:trPr>
          <w:trHeight w:val="233" w:hRule="atLeast"/>
          <w:jc w:val="center"/>
        </w:trPr>
        <w:tc>
          <w:tcPr>
            <w:tcW w:w="8945" w:type="dxa"/>
            <w:gridSpan w:val="7"/>
            <w:tcBorders>
              <w:top w:val="single" w:color="auto" w:sz="8" w:space="0"/>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面板A: 换用UHS 1996-2007年样本</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644.9***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389.7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770.1***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24.59***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18.33**</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25.72***</w:t>
            </w:r>
          </w:p>
        </w:tc>
      </w:tr>
      <w:tr>
        <w:tblPrEx>
          <w:tblCellMar>
            <w:top w:w="0" w:type="dxa"/>
            <w:left w:w="108" w:type="dxa"/>
            <w:bottom w:w="0" w:type="dxa"/>
            <w:right w:w="108" w:type="dxa"/>
          </w:tblCellMar>
        </w:tblPrEx>
        <w:trPr>
          <w:trHeight w:val="26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(241.2)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(271.8)</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(246.3)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(4.964)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(8.108)</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(4.119)</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1,954***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1,764***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1,981***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77.27***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73.60***</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75.70***</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(548.3)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(535.4)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(641.5)</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(6.861)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(15.80)</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(11.56)</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33"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面板B: 控制个体户籍和工作行业的固定效应</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160.5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154.9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124.6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4.201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5.464</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1.241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(252.2)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(294.4)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(237.4)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(6.301)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(10.17)</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(3.545)</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1,333***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1,166**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1,356***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58.79***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54.17***</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56.73***</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(495.6)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(498.9)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(503.8)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(9.016)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(14.74)</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(7.305)</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面板C: 控制1999年城市特征交互年份固定效应</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277.4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142.6</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379.1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18.95</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13.54</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21.31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(254.1)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(292.5)</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(255.2)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(20.18)</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(25.99)</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(17.08)</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1,161***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992.2**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1,370***</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84.07***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73.37*</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96.70***</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(432.1)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(484.2)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(405.4)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(29.86)</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(38.13)</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(23.38)</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面板D: 控制省份和年份的交互项</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245.3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41.53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395.7*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23.70**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9.224</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31.60**</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(185.1)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(183.0)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(211.1)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(11.45)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(11.44)</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(12.16)</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1,449***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1,400***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1,463***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99.28***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98.42***</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99.51***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(299.9)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(337.6)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(298.8)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(18.71)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(23.02)</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(15.97)</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33"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面板E: 排除同期WTO政策影响</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340.4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62.29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540.9**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11.17**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0.657</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15.69***</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(256.7)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(299.7)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(251.2)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(5.401)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(7.837)</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(4.137)</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1,655***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1,396***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1,737***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65.60***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56.19***</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66.82***</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(472.1)</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(456.9)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(540.3)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(6.999)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(14.65)</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(11.11)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面板F: 换用1952年高校学生数划分处理组城市</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-39.11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-238.4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-30.65</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-67.82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-184.5</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-16.01</w:t>
            </w:r>
          </w:p>
        </w:tc>
      </w:tr>
      <w:tr>
        <w:tblPrEx>
          <w:tblCellMar>
            <w:top w:w="0" w:type="dxa"/>
            <w:left w:w="108" w:type="dxa"/>
            <w:bottom w:w="0" w:type="dxa"/>
            <w:right w:w="108" w:type="dxa"/>
          </w:tblCellMar>
        </w:tblPrEx>
        <w:trPr>
          <w:trHeight w:val="26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(240.3)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(291.7)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(214.1)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(183.2)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(217.7)</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(163.6)</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1,826***</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1,587***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1,722**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65.60***</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58.65***</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65.64***</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(543.9)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(533.8)</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(650.3)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(7.348)</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(14.56)</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(11.23)</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面板G: 换用每万人大学生比例划分处理组城市</w:t>
            </w:r>
          </w:p>
        </w:tc>
      </w:tr>
      <w:tr>
        <w:tblPrEx>
          <w:tblCellMar>
            <w:top w:w="0" w:type="dxa"/>
            <w:left w:w="108" w:type="dxa"/>
            <w:bottom w:w="0" w:type="dxa"/>
            <w:right w:w="108" w:type="dxa"/>
          </w:tblCellMar>
        </w:tblPrEx>
        <w:trPr>
          <w:trHeight w:val="233"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-123.8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-303.5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-56.38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1.888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-0.00896</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2.729**</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(237.4)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(271.4)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(253.3)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(1.546)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(2.182)</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(1.325)</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816.5*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1,248**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14.09***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11.10***</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16.23***</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(461.5)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(457.9)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(521.7)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(3.602)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(3.547)</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(4.647)</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left"/>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面板H: 换用1955年划分出生队列</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234.7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183.9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303.5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7.815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7.746</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4.741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(236.0)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(257.3)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(241.8)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(4.833)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(5.691)</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(4.121)</w:t>
            </w:r>
          </w:p>
        </w:tc>
      </w:tr>
      <w:tr>
        <w:tblPrEx>
          <w:tblCellMar>
            <w:top w:w="0" w:type="dxa"/>
            <w:left w:w="108" w:type="dxa"/>
            <w:bottom w:w="0" w:type="dxa"/>
            <w:right w:w="108" w:type="dxa"/>
          </w:tblCellMar>
        </w:tblPrEx>
        <w:trPr>
          <w:trHeight w:val="233"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1,545***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1,450***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1,689***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62.32***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61.72***</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57.72***</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(478.7)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(483.9)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(501.9)</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(6.618)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(9.680)</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(9.400)</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面板I: 换用1965年划分出生队列</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234.7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-178.3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315.3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7.815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-12.29</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10.96***</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(236.0)</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(319.4)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(223.6)</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(4.833)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(8.922)</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(3.708)</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1,545***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1,124**</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1,555***</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62.32***</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44.95***</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63.14***</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(478.7)</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(443.3)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(535.3)</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(6.618)</w:t>
            </w: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(16.49)</w:t>
            </w: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(8.770)</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面板J: 保留限制年龄后样本</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209.6</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192.8</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239.9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3.992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6.254</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-0.211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(302.3)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(356.1)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(287.7)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(8.414)</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(14.74)</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(4.239)</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1,710***</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1,567***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68.58***</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61.14***</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65.83***</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(537.3)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(548.2)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(629.9)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(12.02)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(22.47)</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(11.48)</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8945" w:type="dxa"/>
            <w:gridSpan w:val="7"/>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面板K: 保留没有进行跨城市流动的本地样本</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286.0</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88.12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362.3</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10.22*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2.837</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11.11***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(241.2)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(284.7)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(228.6)</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(5.246)</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(8.407)</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(3.471)</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2003-2007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1,609***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1,379***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1,622***</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64.55***</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55.81***</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64.35***</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(493.7)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(475.7)</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(573.9)</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(7.621)</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(15.74)</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(10.54)</w:t>
            </w:r>
          </w:p>
        </w:tc>
      </w:tr>
      <w:tr>
        <w:tblPrEx>
          <w:tblCellMar>
            <w:top w:w="0" w:type="dxa"/>
            <w:left w:w="108" w:type="dxa"/>
            <w:bottom w:w="0" w:type="dxa"/>
            <w:right w:w="108" w:type="dxa"/>
          </w:tblCellMar>
        </w:tblPrEx>
        <w:trPr>
          <w:trHeight w:val="23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2"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c>
          <w:tcPr>
            <w:tcW w:w="1196"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20"/>
              </w:rPr>
            </w:pPr>
          </w:p>
        </w:tc>
      </w:tr>
      <w:tr>
        <w:tblPrEx>
          <w:tblCellMar>
            <w:top w:w="0" w:type="dxa"/>
            <w:left w:w="108" w:type="dxa"/>
            <w:bottom w:w="0" w:type="dxa"/>
            <w:right w:w="108" w:type="dxa"/>
          </w:tblCellMar>
        </w:tblPrEx>
        <w:trPr>
          <w:trHeight w:val="240" w:hRule="atLeast"/>
          <w:jc w:val="center"/>
        </w:trPr>
        <w:tc>
          <w:tcPr>
            <w:tcW w:w="1789"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城市和年份固定效应</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6"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r>
      <w:tr>
        <w:tblPrEx>
          <w:tblCellMar>
            <w:top w:w="0" w:type="dxa"/>
            <w:left w:w="108" w:type="dxa"/>
            <w:bottom w:w="0" w:type="dxa"/>
            <w:right w:w="108" w:type="dxa"/>
          </w:tblCellMar>
        </w:tblPrEx>
        <w:trPr>
          <w:trHeight w:val="250" w:hRule="atLeast"/>
          <w:jc w:val="center"/>
        </w:trPr>
        <w:tc>
          <w:tcPr>
            <w:tcW w:w="1789"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性别、年龄及交互项</w:t>
            </w:r>
          </w:p>
        </w:tc>
        <w:tc>
          <w:tcPr>
            <w:tcW w:w="1192"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2"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196"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r>
    </w:tbl>
    <w:p>
      <w:pPr>
        <w:pStyle w:val="63"/>
        <w:spacing w:after="178"/>
        <w:rPr>
          <w:rFonts w:eastAsia="仿宋" w:cs="Times New Roman"/>
        </w:rPr>
      </w:pPr>
      <w:r>
        <w:rPr>
          <w:rFonts w:eastAsia="仿宋" w:cs="Times New Roman"/>
        </w:rPr>
        <w:t>注：面板A数据来源为UHS 1996-2007年样本，其他面板</w:t>
      </w:r>
      <w:r>
        <w:rPr>
          <w:rFonts w:eastAsia="仿宋" w:cs="Times New Roman"/>
          <w:lang w:val="en-US"/>
        </w:rPr>
        <w:t>数据来源为UHS 1999-2007年样本。</w:t>
      </w:r>
      <w:r>
        <w:rPr>
          <w:rFonts w:eastAsia="仿宋" w:cs="Times New Roman"/>
        </w:rPr>
        <w:t>其中第（1）-（3）列中的处理变量为根据城市1998年高等院校数构建得到的二元分组变量，第（4）-（6）列中的处理变量为根据城市1998年高等院校数构建得到的连续强度变量。括号内是聚类在城市层面的稳健性标准误，*、**、***分别表示在10%、5%、1%的水平上显著。</w:t>
      </w:r>
    </w:p>
    <w:p>
      <w:pPr>
        <w:ind w:firstLine="0" w:firstLineChars="0"/>
        <w:rPr>
          <w:rFonts w:eastAsia="仿宋" w:cs="Times New Roman"/>
          <w:b/>
          <w:bCs/>
          <w:sz w:val="24"/>
          <w:szCs w:val="22"/>
          <w:lang w:val="zh-CN"/>
        </w:rPr>
      </w:pPr>
    </w:p>
    <w:p>
      <w:pPr>
        <w:ind w:firstLine="0" w:firstLineChars="0"/>
        <w:rPr>
          <w:rFonts w:eastAsia="仿宋" w:cs="Times New Roman"/>
          <w:b/>
          <w:bCs/>
          <w:sz w:val="24"/>
          <w:szCs w:val="22"/>
          <w:lang w:val="zh-CN"/>
        </w:rPr>
      </w:pPr>
    </w:p>
    <w:p>
      <w:pPr>
        <w:ind w:firstLine="458"/>
        <w:jc w:val="center"/>
        <w:rPr>
          <w:rFonts w:eastAsia="仿宋" w:cs="Times New Roman"/>
          <w:b/>
          <w:bCs/>
          <w:sz w:val="24"/>
          <w:szCs w:val="22"/>
        </w:rPr>
      </w:pPr>
    </w:p>
    <w:p>
      <w:pPr>
        <w:ind w:firstLine="0" w:firstLineChars="0"/>
        <w:rPr>
          <w:rFonts w:eastAsia="仿宋" w:cs="Times New Roman"/>
          <w:lang w:val="zh-CN"/>
        </w:rPr>
      </w:pPr>
    </w:p>
    <w:p>
      <w:pPr>
        <w:ind w:firstLine="0" w:firstLineChars="0"/>
        <w:rPr>
          <w:rFonts w:eastAsia="仿宋" w:cs="Times New Roman"/>
        </w:rPr>
      </w:pPr>
      <w:r>
        <w:rPr>
          <w:rFonts w:eastAsia="仿宋" w:cs="Times New Roman"/>
        </w:rPr>
        <w:br w:type="page"/>
      </w:r>
    </w:p>
    <w:p>
      <w:pPr>
        <w:pStyle w:val="23"/>
        <w:jc w:val="center"/>
        <w:rPr>
          <w:rFonts w:hint="eastAsia" w:ascii="楷体" w:hAnsi="楷体" w:eastAsia="楷体" w:cs="楷体"/>
          <w:b w:val="0"/>
          <w:bCs w:val="0"/>
          <w:sz w:val="28"/>
          <w:szCs w:val="36"/>
        </w:rPr>
      </w:pPr>
      <w:bookmarkStart w:id="13" w:name="_Toc161668793"/>
      <w:r>
        <w:rPr>
          <w:rFonts w:hint="eastAsia" w:ascii="楷体" w:hAnsi="楷体" w:eastAsia="楷体" w:cs="楷体"/>
          <w:b w:val="0"/>
          <w:bCs w:val="0"/>
          <w:sz w:val="28"/>
          <w:szCs w:val="36"/>
        </w:rPr>
        <w:t>附录V 人力资本外溢效应的潜在机制：</w:t>
      </w:r>
      <w:r>
        <w:rPr>
          <w:rFonts w:hint="eastAsia" w:ascii="楷体" w:hAnsi="楷体" w:eastAsia="楷体" w:cs="楷体"/>
          <w:b w:val="0"/>
          <w:bCs w:val="0"/>
          <w:sz w:val="28"/>
          <w:szCs w:val="36"/>
          <w:lang w:val="zh-CN"/>
        </w:rPr>
        <w:t>非参数动态双重差分估计结果</w:t>
      </w:r>
      <w:bookmarkEnd w:id="13"/>
    </w:p>
    <w:p>
      <w:pPr>
        <w:ind w:firstLine="0" w:firstLineChars="0"/>
        <w:jc w:val="center"/>
        <w:rPr>
          <w:rFonts w:eastAsia="仿宋" w:cs="Times New Roman"/>
          <w:sz w:val="22"/>
          <w:szCs w:val="21"/>
        </w:rPr>
      </w:pPr>
      <w:r>
        <w:rPr>
          <w:rFonts w:eastAsia="仿宋" w:cs="Times New Roman"/>
        </w:rPr>
        <w:drawing>
          <wp:inline distT="0" distB="0" distL="0" distR="0">
            <wp:extent cx="3711575" cy="269938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12140" cy="2700000"/>
                    </a:xfrm>
                    <a:prstGeom prst="rect">
                      <a:avLst/>
                    </a:prstGeom>
                    <a:noFill/>
                    <a:ln>
                      <a:noFill/>
                    </a:ln>
                  </pic:spPr>
                </pic:pic>
              </a:graphicData>
            </a:graphic>
          </wp:inline>
        </w:drawing>
      </w:r>
    </w:p>
    <w:p>
      <w:pPr>
        <w:keepNext/>
        <w:keepLines/>
        <w:snapToGrid w:val="0"/>
        <w:spacing w:after="178" w:afterLines="50"/>
        <w:ind w:firstLine="396"/>
        <w:jc w:val="center"/>
        <w:outlineLvl w:val="6"/>
        <w:rPr>
          <w:rFonts w:hint="eastAsia" w:ascii="黑体" w:hAnsi="黑体" w:eastAsia="黑体" w:cs="黑体"/>
          <w:bCs/>
          <w:kern w:val="0"/>
          <w:sz w:val="20"/>
          <w:szCs w:val="22"/>
        </w:rPr>
      </w:pPr>
      <w:bookmarkStart w:id="14" w:name="_Hlk126582356"/>
      <w:r>
        <w:rPr>
          <w:rFonts w:hint="eastAsia" w:ascii="黑体" w:hAnsi="黑体" w:eastAsia="黑体" w:cs="黑体"/>
          <w:bCs/>
          <w:kern w:val="0"/>
          <w:sz w:val="20"/>
          <w:szCs w:val="22"/>
        </w:rPr>
        <w:t>图 V1  扩招政策对城市层面劳动需求的影响：非参数动态双重差分估计结果</w:t>
      </w:r>
    </w:p>
    <w:p>
      <w:pPr>
        <w:snapToGrid w:val="0"/>
        <w:spacing w:after="178" w:afterLines="50" w:line="288" w:lineRule="auto"/>
        <w:ind w:firstLine="0" w:firstLineChars="0"/>
        <w:rPr>
          <w:rFonts w:eastAsia="仿宋" w:cs="Times New Roman"/>
          <w:bCs/>
          <w:kern w:val="0"/>
          <w:szCs w:val="21"/>
          <w:lang w:val="zh-CN"/>
        </w:rPr>
      </w:pPr>
      <w:r>
        <w:rPr>
          <w:rFonts w:eastAsia="仿宋" w:cs="Times New Roman"/>
          <w:bCs/>
          <w:sz w:val="18"/>
          <w:lang w:val="zh-CN" w:eastAsia="zh-CN"/>
        </w:rPr>
        <w:t>注：</w:t>
      </w:r>
      <w:r>
        <w:rPr>
          <w:rFonts w:eastAsia="仿宋" w:cs="Times New Roman"/>
          <w:bCs/>
          <w:sz w:val="18"/>
          <w:lang w:eastAsia="zh-CN"/>
        </w:rPr>
        <w:t>数据来源为工商注册企业数据</w:t>
      </w:r>
      <w:r>
        <w:rPr>
          <w:rFonts w:eastAsia="仿宋" w:cs="Times New Roman"/>
          <w:bCs/>
          <w:sz w:val="18"/>
        </w:rPr>
        <w:t>2000-2007年样本</w:t>
      </w:r>
      <w:r>
        <w:rPr>
          <w:rFonts w:eastAsia="仿宋" w:cs="Times New Roman"/>
          <w:bCs/>
          <w:sz w:val="18"/>
          <w:lang w:eastAsia="zh-CN"/>
        </w:rPr>
        <w:t>。</w:t>
      </w:r>
      <w:r>
        <w:rPr>
          <w:rFonts w:eastAsia="仿宋" w:cs="Times New Roman"/>
          <w:bCs/>
          <w:sz w:val="18"/>
          <w:lang w:val="zh-CN" w:eastAsia="zh-CN"/>
        </w:rPr>
        <w:t>非参数动态双重差分估计</w:t>
      </w:r>
      <w:r>
        <w:rPr>
          <w:rFonts w:hint="eastAsia" w:eastAsia="仿宋" w:cs="Times New Roman"/>
          <w:bCs/>
          <w:sz w:val="18"/>
          <w:lang w:val="zh-CN"/>
        </w:rPr>
        <w:t>结果</w:t>
      </w:r>
      <w:r>
        <w:rPr>
          <w:rFonts w:eastAsia="仿宋" w:cs="Times New Roman"/>
          <w:bCs/>
          <w:sz w:val="18"/>
          <w:lang w:eastAsia="zh-CN"/>
        </w:rPr>
        <w:t>为根据正文模型（2）进行估计得到，阴影区域为系数的95%置信区间。</w:t>
      </w:r>
    </w:p>
    <w:bookmarkEnd w:id="14"/>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p>
    <w:p>
      <w:pPr>
        <w:spacing w:line="360" w:lineRule="auto"/>
        <w:ind w:firstLine="396"/>
        <w:jc w:val="center"/>
        <w:rPr>
          <w:rFonts w:eastAsia="仿宋" w:cs="Times New Roman"/>
          <w:b/>
          <w:kern w:val="0"/>
          <w:szCs w:val="21"/>
        </w:rPr>
      </w:pPr>
      <w:r>
        <w:rPr>
          <w:rFonts w:eastAsia="仿宋" w:cs="Times New Roman"/>
        </w:rPr>
        <w:drawing>
          <wp:inline distT="0" distB="0" distL="0" distR="0">
            <wp:extent cx="2474595" cy="179959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5137" cy="1800000"/>
                    </a:xfrm>
                    <a:prstGeom prst="rect">
                      <a:avLst/>
                    </a:prstGeom>
                    <a:noFill/>
                    <a:ln>
                      <a:noFill/>
                    </a:ln>
                  </pic:spPr>
                </pic:pic>
              </a:graphicData>
            </a:graphic>
          </wp:inline>
        </w:drawing>
      </w:r>
      <w:r>
        <w:rPr>
          <w:rFonts w:eastAsia="仿宋" w:cs="Times New Roman"/>
        </w:rPr>
        <w:drawing>
          <wp:inline distT="0" distB="0" distL="0" distR="0">
            <wp:extent cx="2474595" cy="179959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75137" cy="1800000"/>
                    </a:xfrm>
                    <a:prstGeom prst="rect">
                      <a:avLst/>
                    </a:prstGeom>
                    <a:noFill/>
                    <a:ln>
                      <a:noFill/>
                    </a:ln>
                  </pic:spPr>
                </pic:pic>
              </a:graphicData>
            </a:graphic>
          </wp:inline>
        </w:drawing>
      </w:r>
    </w:p>
    <w:p>
      <w:pPr>
        <w:keepNext/>
        <w:keepLines/>
        <w:snapToGrid w:val="0"/>
        <w:spacing w:after="178" w:afterLines="50"/>
        <w:ind w:firstLine="396"/>
        <w:jc w:val="center"/>
        <w:outlineLvl w:val="6"/>
        <w:rPr>
          <w:rFonts w:hint="eastAsia" w:ascii="黑体" w:hAnsi="黑体" w:eastAsia="黑体" w:cs="黑体"/>
          <w:bCs/>
          <w:kern w:val="0"/>
          <w:sz w:val="20"/>
          <w:szCs w:val="22"/>
        </w:rPr>
      </w:pPr>
      <w:bookmarkStart w:id="15" w:name="_Hlk124543354"/>
      <w:r>
        <w:rPr>
          <w:rFonts w:hint="eastAsia" w:ascii="黑体" w:hAnsi="黑体" w:eastAsia="黑体" w:cs="黑体"/>
          <w:bCs/>
          <w:kern w:val="0"/>
          <w:sz w:val="20"/>
          <w:szCs w:val="22"/>
        </w:rPr>
        <w:t xml:space="preserve">图 V2  </w:t>
      </w:r>
      <w:bookmarkStart w:id="16" w:name="_Hlk125479140"/>
      <w:r>
        <w:rPr>
          <w:rFonts w:hint="eastAsia" w:ascii="黑体" w:hAnsi="黑体" w:eastAsia="黑体" w:cs="黑体"/>
          <w:bCs/>
          <w:kern w:val="0"/>
          <w:sz w:val="20"/>
          <w:szCs w:val="22"/>
        </w:rPr>
        <w:t>扩招政策对城市产业结构</w:t>
      </w:r>
      <w:bookmarkEnd w:id="16"/>
      <w:r>
        <w:rPr>
          <w:rFonts w:hint="eastAsia" w:ascii="黑体" w:hAnsi="黑体" w:eastAsia="黑体" w:cs="黑体"/>
          <w:bCs/>
          <w:kern w:val="0"/>
          <w:sz w:val="20"/>
          <w:szCs w:val="22"/>
        </w:rPr>
        <w:t>的影响：非参数动态双重差分估计结果</w:t>
      </w:r>
    </w:p>
    <w:p>
      <w:pPr>
        <w:snapToGrid w:val="0"/>
        <w:spacing w:after="178" w:afterLines="50" w:line="288" w:lineRule="auto"/>
        <w:ind w:firstLine="0" w:firstLineChars="0"/>
        <w:rPr>
          <w:rFonts w:eastAsia="仿宋" w:cs="Times New Roman"/>
          <w:bCs/>
          <w:kern w:val="0"/>
          <w:szCs w:val="21"/>
          <w:lang w:val="zh-CN"/>
        </w:rPr>
      </w:pPr>
      <w:r>
        <w:rPr>
          <w:rFonts w:eastAsia="仿宋" w:cs="Times New Roman"/>
          <w:bCs/>
          <w:sz w:val="18"/>
          <w:lang w:val="zh-CN" w:eastAsia="zh-CN"/>
        </w:rPr>
        <w:t>注：</w:t>
      </w:r>
      <w:r>
        <w:rPr>
          <w:rFonts w:eastAsia="仿宋" w:cs="Times New Roman"/>
          <w:bCs/>
          <w:sz w:val="18"/>
          <w:lang w:eastAsia="zh-CN"/>
        </w:rPr>
        <w:t>数据来源为</w:t>
      </w:r>
      <w:r>
        <w:rPr>
          <w:rFonts w:eastAsia="仿宋" w:cs="Times New Roman"/>
          <w:bCs/>
          <w:sz w:val="18"/>
        </w:rPr>
        <w:t>城市统计年鉴数据1999-2007年样本</w:t>
      </w:r>
      <w:r>
        <w:rPr>
          <w:rFonts w:eastAsia="仿宋" w:cs="Times New Roman"/>
          <w:bCs/>
          <w:sz w:val="18"/>
          <w:lang w:eastAsia="zh-CN"/>
        </w:rPr>
        <w:t>。非参数动态双重差分估计结果为根据正文模型（2）进行估计得到，阴影区域为系数的95%置信区间。</w:t>
      </w:r>
    </w:p>
    <w:bookmarkEnd w:id="15"/>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p>
    <w:p>
      <w:pPr>
        <w:spacing w:line="360" w:lineRule="auto"/>
        <w:ind w:firstLine="396"/>
        <w:jc w:val="center"/>
        <w:rPr>
          <w:rFonts w:eastAsia="仿宋" w:cs="Times New Roman"/>
          <w:bCs/>
          <w:kern w:val="0"/>
          <w:szCs w:val="21"/>
        </w:rPr>
      </w:pPr>
      <w:r>
        <w:rPr>
          <w:rFonts w:eastAsia="仿宋" w:cs="Times New Roman"/>
        </w:rPr>
        <w:drawing>
          <wp:inline distT="0" distB="0" distL="0" distR="0">
            <wp:extent cx="3712210" cy="26993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12706" cy="2700000"/>
                    </a:xfrm>
                    <a:prstGeom prst="rect">
                      <a:avLst/>
                    </a:prstGeom>
                    <a:noFill/>
                    <a:ln>
                      <a:noFill/>
                    </a:ln>
                  </pic:spPr>
                </pic:pic>
              </a:graphicData>
            </a:graphic>
          </wp:inline>
        </w:drawing>
      </w:r>
    </w:p>
    <w:p>
      <w:pPr>
        <w:keepNext/>
        <w:keepLines/>
        <w:snapToGrid w:val="0"/>
        <w:spacing w:after="178" w:afterLines="50"/>
        <w:ind w:firstLine="396"/>
        <w:jc w:val="center"/>
        <w:outlineLvl w:val="6"/>
        <w:rPr>
          <w:rFonts w:hint="eastAsia" w:ascii="黑体" w:hAnsi="黑体" w:eastAsia="黑体" w:cs="黑体"/>
          <w:bCs/>
          <w:kern w:val="0"/>
          <w:sz w:val="20"/>
          <w:szCs w:val="22"/>
        </w:rPr>
      </w:pPr>
      <w:bookmarkStart w:id="17" w:name="_Hlk124543248"/>
      <w:r>
        <w:rPr>
          <w:rFonts w:hint="eastAsia" w:ascii="黑体" w:hAnsi="黑体" w:eastAsia="黑体" w:cs="黑体"/>
          <w:bCs/>
          <w:kern w:val="0"/>
          <w:sz w:val="20"/>
          <w:szCs w:val="22"/>
        </w:rPr>
        <w:t xml:space="preserve">图 V3  </w:t>
      </w:r>
      <w:bookmarkStart w:id="18" w:name="_Hlk125479115"/>
      <w:r>
        <w:rPr>
          <w:rFonts w:hint="eastAsia" w:ascii="黑体" w:hAnsi="黑体" w:eastAsia="黑体" w:cs="黑体"/>
          <w:bCs/>
          <w:kern w:val="0"/>
          <w:sz w:val="20"/>
          <w:szCs w:val="22"/>
        </w:rPr>
        <w:t>扩招政策对城市工业发展的影响</w:t>
      </w:r>
      <w:bookmarkEnd w:id="18"/>
      <w:r>
        <w:rPr>
          <w:rFonts w:hint="eastAsia" w:ascii="黑体" w:hAnsi="黑体" w:eastAsia="黑体" w:cs="黑体"/>
          <w:bCs/>
          <w:kern w:val="0"/>
          <w:sz w:val="20"/>
          <w:szCs w:val="22"/>
        </w:rPr>
        <w:t>：非参数动态双重差分估计结果</w:t>
      </w:r>
    </w:p>
    <w:p>
      <w:pPr>
        <w:snapToGrid w:val="0"/>
        <w:spacing w:after="178" w:afterLines="50" w:line="288" w:lineRule="auto"/>
        <w:ind w:firstLine="0" w:firstLineChars="0"/>
        <w:rPr>
          <w:rFonts w:eastAsia="仿宋" w:cs="Times New Roman"/>
          <w:bCs/>
          <w:kern w:val="0"/>
          <w:szCs w:val="21"/>
          <w:lang w:val="zh-CN"/>
        </w:rPr>
      </w:pPr>
      <w:r>
        <w:rPr>
          <w:rFonts w:eastAsia="仿宋" w:cs="Times New Roman"/>
          <w:bCs/>
          <w:sz w:val="18"/>
          <w:lang w:val="zh-CN" w:eastAsia="zh-CN"/>
        </w:rPr>
        <w:t>注：</w:t>
      </w:r>
      <w:r>
        <w:rPr>
          <w:rFonts w:eastAsia="仿宋" w:cs="Times New Roman"/>
          <w:bCs/>
          <w:sz w:val="18"/>
          <w:lang w:eastAsia="zh-CN"/>
        </w:rPr>
        <w:t>数据来源为</w:t>
      </w:r>
      <w:r>
        <w:rPr>
          <w:rFonts w:eastAsia="仿宋" w:cs="Times New Roman"/>
          <w:bCs/>
          <w:sz w:val="18"/>
        </w:rPr>
        <w:t>城市统计年鉴数据1999-2007年样本</w:t>
      </w:r>
      <w:r>
        <w:rPr>
          <w:rFonts w:eastAsia="仿宋" w:cs="Times New Roman"/>
          <w:bCs/>
          <w:sz w:val="18"/>
          <w:lang w:eastAsia="zh-CN"/>
        </w:rPr>
        <w:t>。非参数动态双重差分估计结果为根据</w:t>
      </w:r>
      <w:r>
        <w:rPr>
          <w:rFonts w:eastAsia="仿宋" w:cs="Times New Roman"/>
          <w:bCs/>
          <w:sz w:val="18"/>
        </w:rPr>
        <w:t>正</w:t>
      </w:r>
      <w:r>
        <w:rPr>
          <w:rFonts w:eastAsia="仿宋" w:cs="Times New Roman"/>
          <w:bCs/>
          <w:sz w:val="18"/>
          <w:lang w:eastAsia="zh-CN"/>
        </w:rPr>
        <w:t>文模型（2）进行估计得到，阴影区域为系数的95%置信区间。</w:t>
      </w:r>
      <w:bookmarkEnd w:id="17"/>
    </w:p>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p>
    <w:p>
      <w:pPr>
        <w:widowControl/>
        <w:ind w:firstLine="0" w:firstLineChars="0"/>
        <w:contextualSpacing w:val="0"/>
        <w:jc w:val="left"/>
        <w:rPr>
          <w:rFonts w:eastAsia="仿宋" w:cs="Times New Roman"/>
          <w:b/>
          <w:sz w:val="28"/>
          <w:szCs w:val="18"/>
          <w:lang w:val="zh-CN"/>
        </w:rPr>
      </w:pPr>
      <w:r>
        <w:rPr>
          <w:rFonts w:eastAsia="仿宋" w:cs="Times New Roman"/>
          <w:b/>
          <w:sz w:val="28"/>
          <w:szCs w:val="18"/>
          <w:lang w:val="zh-CN"/>
        </w:rPr>
        <w:br w:type="page"/>
      </w:r>
    </w:p>
    <w:p>
      <w:pPr>
        <w:pStyle w:val="23"/>
        <w:jc w:val="center"/>
        <w:rPr>
          <w:rFonts w:hint="eastAsia" w:ascii="楷体" w:hAnsi="楷体" w:eastAsia="楷体" w:cs="楷体"/>
          <w:b w:val="0"/>
          <w:bCs w:val="0"/>
          <w:sz w:val="28"/>
          <w:szCs w:val="36"/>
        </w:rPr>
      </w:pPr>
      <w:bookmarkStart w:id="19" w:name="_Toc161668794"/>
      <w:r>
        <w:rPr>
          <w:rFonts w:hint="eastAsia" w:ascii="楷体" w:hAnsi="楷体" w:eastAsia="楷体" w:cs="楷体"/>
          <w:b w:val="0"/>
          <w:bCs w:val="0"/>
          <w:sz w:val="28"/>
          <w:szCs w:val="36"/>
        </w:rPr>
        <w:t>附录VI 关于大学教育回报的进一步讨论：分析框架和估计结果</w:t>
      </w:r>
      <w:bookmarkEnd w:id="19"/>
    </w:p>
    <w:p>
      <w:pPr>
        <w:keepLines/>
        <w:spacing w:before="178" w:beforeLines="50"/>
        <w:ind w:firstLine="0" w:firstLineChars="0"/>
        <w:contextualSpacing w:val="0"/>
        <w:jc w:val="center"/>
        <w:outlineLvl w:val="8"/>
        <w:rPr>
          <w:rFonts w:hint="eastAsia" w:ascii="黑体" w:hAnsi="黑体" w:eastAsia="黑体" w:cs="黑体"/>
          <w:b/>
          <w:kern w:val="0"/>
          <w:sz w:val="20"/>
          <w:szCs w:val="20"/>
          <w:lang w:val="zh-CN"/>
        </w:rPr>
      </w:pPr>
      <w:r>
        <w:rPr>
          <w:rFonts w:hint="eastAsia" w:ascii="黑体" w:hAnsi="黑体" w:eastAsia="黑体" w:cs="黑体"/>
          <w:b/>
          <w:kern w:val="0"/>
          <w:sz w:val="20"/>
          <w:szCs w:val="20"/>
          <w:lang w:val="zh-CN"/>
        </w:rPr>
        <w:t>表 VI1  扩招政策外溢效应的分析框架</w:t>
      </w:r>
    </w:p>
    <w:tbl>
      <w:tblPr>
        <w:tblStyle w:val="2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01"/>
        <w:gridCol w:w="1617"/>
        <w:gridCol w:w="1659"/>
        <w:gridCol w:w="1659"/>
        <w:gridCol w:w="16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1" w:type="dxa"/>
            <w:tcBorders>
              <w:top w:val="single" w:color="auto" w:sz="8" w:space="0"/>
              <w:bottom w:val="single" w:color="auto" w:sz="8" w:space="0"/>
              <w:right w:val="single" w:color="auto" w:sz="8" w:space="0"/>
            </w:tcBorders>
            <w:vAlign w:val="center"/>
          </w:tcPr>
          <w:p>
            <w:pPr>
              <w:pStyle w:val="16"/>
              <w:rPr>
                <w:rFonts w:eastAsia="仿宋" w:cs="Times New Roman"/>
              </w:rPr>
            </w:pPr>
            <w:r>
              <w:rPr>
                <w:rFonts w:eastAsia="仿宋" w:cs="Times New Roman"/>
                <w:szCs w:val="18"/>
                <w:lang w:val="en-US" w:eastAsia="zh-CN"/>
              </w:rPr>
              <w:t>处理组城市相对控制组城市</w:t>
            </w:r>
          </w:p>
        </w:tc>
        <w:tc>
          <w:tcPr>
            <w:tcW w:w="3276" w:type="dxa"/>
            <w:gridSpan w:val="2"/>
            <w:tcBorders>
              <w:top w:val="single" w:color="auto" w:sz="8" w:space="0"/>
              <w:left w:val="single" w:color="auto" w:sz="8" w:space="0"/>
              <w:bottom w:val="single" w:color="auto" w:sz="8" w:space="0"/>
              <w:right w:val="single" w:color="auto" w:sz="8" w:space="0"/>
            </w:tcBorders>
            <w:vAlign w:val="center"/>
          </w:tcPr>
          <w:p>
            <w:pPr>
              <w:pStyle w:val="16"/>
              <w:rPr>
                <w:rFonts w:eastAsia="仿宋" w:cs="Times New Roman"/>
                <w:lang w:eastAsia="zh-CN"/>
              </w:rPr>
            </w:pPr>
            <w:r>
              <w:rPr>
                <w:rFonts w:eastAsia="仿宋" w:cs="Times New Roman"/>
                <w:lang w:eastAsia="zh-CN"/>
              </w:rPr>
              <w:t>无外溢效应</w:t>
            </w:r>
          </w:p>
        </w:tc>
        <w:tc>
          <w:tcPr>
            <w:tcW w:w="3319" w:type="dxa"/>
            <w:gridSpan w:val="2"/>
            <w:tcBorders>
              <w:top w:val="single" w:color="auto" w:sz="8" w:space="0"/>
              <w:left w:val="single" w:color="auto" w:sz="8" w:space="0"/>
              <w:bottom w:val="single" w:color="auto" w:sz="8" w:space="0"/>
            </w:tcBorders>
            <w:vAlign w:val="center"/>
          </w:tcPr>
          <w:p>
            <w:pPr>
              <w:pStyle w:val="16"/>
              <w:rPr>
                <w:rFonts w:eastAsia="仿宋" w:cs="Times New Roman"/>
                <w:lang w:eastAsia="zh-CN"/>
              </w:rPr>
            </w:pPr>
            <w:r>
              <w:rPr>
                <w:rFonts w:eastAsia="仿宋" w:cs="Times New Roman"/>
                <w:lang w:eastAsia="zh-CN"/>
              </w:rPr>
              <w:t>存在外溢效应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1" w:type="dxa"/>
            <w:tcBorders>
              <w:top w:val="single" w:color="auto" w:sz="8" w:space="0"/>
              <w:bottom w:val="single" w:color="auto" w:sz="8" w:space="0"/>
              <w:right w:val="single" w:color="auto" w:sz="8" w:space="0"/>
            </w:tcBorders>
            <w:vAlign w:val="center"/>
          </w:tcPr>
          <w:p>
            <w:pPr>
              <w:pStyle w:val="16"/>
              <w:ind w:firstLine="396"/>
              <w:jc w:val="left"/>
              <w:rPr>
                <w:rFonts w:eastAsia="仿宋" w:cs="Times New Roman"/>
              </w:rPr>
            </w:pPr>
          </w:p>
        </w:tc>
        <w:tc>
          <w:tcPr>
            <w:tcW w:w="1617" w:type="dxa"/>
            <w:tcBorders>
              <w:top w:val="single" w:color="auto" w:sz="8" w:space="0"/>
              <w:left w:val="single" w:color="auto" w:sz="8" w:space="0"/>
              <w:bottom w:val="single" w:color="auto" w:sz="8" w:space="0"/>
              <w:right w:val="single" w:color="auto" w:sz="8" w:space="0"/>
            </w:tcBorders>
            <w:vAlign w:val="center"/>
          </w:tcPr>
          <w:p>
            <w:pPr>
              <w:pStyle w:val="16"/>
              <w:rPr>
                <w:rFonts w:eastAsia="仿宋" w:cs="Times New Roman"/>
              </w:rPr>
            </w:pPr>
            <w:r>
              <w:rPr>
                <w:rFonts w:eastAsia="仿宋" w:cs="Times New Roman"/>
                <w:lang w:eastAsia="zh-CN"/>
              </w:rPr>
              <w:t>扩招前</w:t>
            </w:r>
          </w:p>
        </w:tc>
        <w:tc>
          <w:tcPr>
            <w:tcW w:w="1659" w:type="dxa"/>
            <w:tcBorders>
              <w:top w:val="single" w:color="auto" w:sz="8" w:space="0"/>
              <w:left w:val="single" w:color="auto" w:sz="8" w:space="0"/>
              <w:bottom w:val="single" w:color="auto" w:sz="8" w:space="0"/>
              <w:right w:val="single" w:color="auto" w:sz="8" w:space="0"/>
            </w:tcBorders>
            <w:vAlign w:val="center"/>
          </w:tcPr>
          <w:p>
            <w:pPr>
              <w:pStyle w:val="16"/>
              <w:rPr>
                <w:rFonts w:eastAsia="仿宋" w:cs="Times New Roman"/>
              </w:rPr>
            </w:pPr>
            <w:r>
              <w:rPr>
                <w:rFonts w:eastAsia="仿宋" w:cs="Times New Roman"/>
                <w:lang w:eastAsia="zh-CN"/>
              </w:rPr>
              <w:t>扩招后</w:t>
            </w:r>
          </w:p>
        </w:tc>
        <w:tc>
          <w:tcPr>
            <w:tcW w:w="1659" w:type="dxa"/>
            <w:tcBorders>
              <w:top w:val="single" w:color="auto" w:sz="8" w:space="0"/>
              <w:left w:val="single" w:color="auto" w:sz="8" w:space="0"/>
              <w:bottom w:val="single" w:color="auto" w:sz="8" w:space="0"/>
              <w:right w:val="single" w:color="auto" w:sz="8" w:space="0"/>
            </w:tcBorders>
            <w:vAlign w:val="center"/>
          </w:tcPr>
          <w:p>
            <w:pPr>
              <w:pStyle w:val="16"/>
              <w:rPr>
                <w:rFonts w:eastAsia="仿宋" w:cs="Times New Roman"/>
              </w:rPr>
            </w:pPr>
            <w:r>
              <w:rPr>
                <w:rFonts w:eastAsia="仿宋" w:cs="Times New Roman"/>
                <w:lang w:eastAsia="zh-CN"/>
              </w:rPr>
              <w:t>扩招前</w:t>
            </w:r>
          </w:p>
        </w:tc>
        <w:tc>
          <w:tcPr>
            <w:tcW w:w="1660" w:type="dxa"/>
            <w:tcBorders>
              <w:top w:val="single" w:color="auto" w:sz="8" w:space="0"/>
              <w:left w:val="single" w:color="auto" w:sz="8" w:space="0"/>
              <w:bottom w:val="single" w:color="auto" w:sz="8" w:space="0"/>
            </w:tcBorders>
            <w:vAlign w:val="center"/>
          </w:tcPr>
          <w:p>
            <w:pPr>
              <w:pStyle w:val="16"/>
              <w:rPr>
                <w:rFonts w:eastAsia="仿宋" w:cs="Times New Roman"/>
              </w:rPr>
            </w:pPr>
            <w:r>
              <w:rPr>
                <w:rFonts w:eastAsia="仿宋" w:cs="Times New Roman"/>
                <w:lang w:eastAsia="zh-CN"/>
              </w:rPr>
              <w:t>扩招后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1" w:type="dxa"/>
            <w:tcBorders>
              <w:top w:val="single" w:color="auto" w:sz="8" w:space="0"/>
              <w:bottom w:val="single" w:color="auto" w:sz="8" w:space="0"/>
              <w:right w:val="single" w:color="auto" w:sz="8" w:space="0"/>
            </w:tcBorders>
            <w:vAlign w:val="center"/>
          </w:tcPr>
          <w:p>
            <w:pPr>
              <w:pStyle w:val="16"/>
              <w:rPr>
                <w:rFonts w:eastAsia="仿宋" w:cs="Times New Roman"/>
                <w:szCs w:val="18"/>
                <w:lang w:val="en-US" w:eastAsia="zh-CN"/>
              </w:rPr>
            </w:pPr>
            <w:r>
              <w:rPr>
                <w:rFonts w:eastAsia="仿宋" w:cs="Times New Roman"/>
                <w:szCs w:val="18"/>
                <w:lang w:val="en-US" w:eastAsia="zh-CN"/>
              </w:rPr>
              <w:t>受政策直接影响群体</w:t>
            </w:r>
          </w:p>
        </w:tc>
        <w:tc>
          <w:tcPr>
            <w:tcW w:w="1617" w:type="dxa"/>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T</m:t>
                    </m:r>
                    <m:ctrlPr>
                      <w:rPr>
                        <w:rFonts w:ascii="Cambria Math" w:hAnsi="Cambria Math" w:eastAsia="仿宋" w:cs="Times New Roman"/>
                        <w:i/>
                      </w:rPr>
                    </m:ctrlPr>
                  </m:sup>
                </m:sSup>
              </m:oMath>
            </m:oMathPara>
          </w:p>
        </w:tc>
        <w:tc>
          <w:tcPr>
            <w:tcW w:w="1659" w:type="dxa"/>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T</m:t>
                    </m:r>
                    <m:ctrlPr>
                      <w:rPr>
                        <w:rFonts w:ascii="Cambria Math" w:hAnsi="Cambria Math" w:eastAsia="仿宋" w:cs="Times New Roman"/>
                        <w:i/>
                      </w:rPr>
                    </m:ctrlPr>
                  </m:sup>
                </m:sSup>
                <m:r>
                  <m:rPr/>
                  <w:rPr>
                    <w:rFonts w:ascii="Cambria Math" w:hAnsi="Cambria Math" w:eastAsia="仿宋" w:cs="Times New Roman"/>
                  </w:rPr>
                  <m:t>+α</m:t>
                </m:r>
              </m:oMath>
            </m:oMathPara>
          </w:p>
        </w:tc>
        <w:tc>
          <w:tcPr>
            <w:tcW w:w="1659" w:type="dxa"/>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T</m:t>
                    </m:r>
                    <m:ctrlPr>
                      <w:rPr>
                        <w:rFonts w:ascii="Cambria Math" w:hAnsi="Cambria Math" w:eastAsia="仿宋" w:cs="Times New Roman"/>
                        <w:i/>
                      </w:rPr>
                    </m:ctrlPr>
                  </m:sup>
                </m:sSup>
              </m:oMath>
            </m:oMathPara>
          </w:p>
        </w:tc>
        <w:tc>
          <w:tcPr>
            <w:tcW w:w="1660" w:type="dxa"/>
            <w:tcBorders>
              <w:top w:val="single" w:color="auto" w:sz="8" w:space="0"/>
              <w:left w:val="single" w:color="auto" w:sz="8" w:space="0"/>
              <w:bottom w:val="single" w:color="auto" w:sz="8" w:space="0"/>
            </w:tcBorders>
            <w:vAlign w:val="center"/>
          </w:tcPr>
          <w:p>
            <w:pPr>
              <w:pStyle w:val="16"/>
              <w:ind w:firstLine="396"/>
              <w:rPr>
                <w:rFonts w:eastAsia="仿宋" w:cs="Times New Roman"/>
                <w:lang w:eastAsia="zh-C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T</m:t>
                    </m:r>
                    <m:ctrlPr>
                      <w:rPr>
                        <w:rFonts w:ascii="Cambria Math" w:hAnsi="Cambria Math" w:eastAsia="仿宋" w:cs="Times New Roman"/>
                        <w:i/>
                      </w:rPr>
                    </m:ctrlPr>
                  </m:sup>
                </m:sSup>
                <m:r>
                  <m:rPr/>
                  <w:rPr>
                    <w:rFonts w:ascii="Cambria Math" w:hAnsi="Cambria Math" w:eastAsia="仿宋" w:cs="Times New Roman"/>
                  </w:rPr>
                  <m:t>+(α+</m:t>
                </m:r>
                <m:r>
                  <m:rPr/>
                  <w:rPr>
                    <w:rFonts w:ascii="Cambria Math" w:hAnsi="Cambria Math" w:eastAsia="仿宋" w:cs="Times New Roman"/>
                    <w:lang w:eastAsia="zh-CN"/>
                  </w:rPr>
                  <m:t>γ</m:t>
                </m:r>
                <m:r>
                  <m:rPr/>
                  <w:rPr>
                    <w:rFonts w:ascii="Cambria Math" w:hAnsi="Cambria Math" w:eastAsia="仿宋" w:cs="Times New Roman"/>
                  </w:rPr>
                  <m:t>)</m:t>
                </m:r>
              </m:oMath>
            </m:oMathPara>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1" w:type="dxa"/>
            <w:tcBorders>
              <w:top w:val="single" w:color="auto" w:sz="8" w:space="0"/>
              <w:bottom w:val="single" w:color="auto" w:sz="8" w:space="0"/>
              <w:right w:val="single" w:color="auto" w:sz="8" w:space="0"/>
            </w:tcBorders>
            <w:vAlign w:val="center"/>
          </w:tcPr>
          <w:p>
            <w:pPr>
              <w:pStyle w:val="16"/>
              <w:jc w:val="left"/>
              <w:rPr>
                <w:rFonts w:eastAsia="仿宋" w:cs="Times New Roman"/>
                <w:szCs w:val="18"/>
                <w:lang w:val="en-US" w:eastAsia="zh-CN"/>
              </w:rPr>
            </w:pPr>
            <w:r>
              <w:rPr>
                <w:rFonts w:eastAsia="仿宋" w:cs="Times New Roman"/>
                <w:szCs w:val="18"/>
                <w:lang w:val="en-US" w:eastAsia="zh-CN"/>
              </w:rPr>
              <w:t>未受政策直接影响群体</w:t>
            </w:r>
          </w:p>
        </w:tc>
        <w:tc>
          <w:tcPr>
            <w:tcW w:w="1617" w:type="dxa"/>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C</m:t>
                    </m:r>
                    <m:ctrlPr>
                      <w:rPr>
                        <w:rFonts w:ascii="Cambria Math" w:hAnsi="Cambria Math" w:eastAsia="仿宋" w:cs="Times New Roman"/>
                        <w:i/>
                      </w:rPr>
                    </m:ctrlPr>
                  </m:sup>
                </m:sSup>
              </m:oMath>
            </m:oMathPara>
          </w:p>
        </w:tc>
        <w:tc>
          <w:tcPr>
            <w:tcW w:w="1659" w:type="dxa"/>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C</m:t>
                    </m:r>
                    <m:ctrlPr>
                      <w:rPr>
                        <w:rFonts w:ascii="Cambria Math" w:hAnsi="Cambria Math" w:eastAsia="仿宋" w:cs="Times New Roman"/>
                        <w:i/>
                      </w:rPr>
                    </m:ctrlPr>
                  </m:sup>
                </m:sSup>
              </m:oMath>
            </m:oMathPara>
          </w:p>
        </w:tc>
        <w:tc>
          <w:tcPr>
            <w:tcW w:w="1659" w:type="dxa"/>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C</m:t>
                    </m:r>
                    <m:ctrlPr>
                      <w:rPr>
                        <w:rFonts w:ascii="Cambria Math" w:hAnsi="Cambria Math" w:eastAsia="仿宋" w:cs="Times New Roman"/>
                        <w:i/>
                      </w:rPr>
                    </m:ctrlPr>
                  </m:sup>
                </m:sSup>
              </m:oMath>
            </m:oMathPara>
          </w:p>
        </w:tc>
        <w:tc>
          <w:tcPr>
            <w:tcW w:w="1660" w:type="dxa"/>
            <w:tcBorders>
              <w:top w:val="single" w:color="auto" w:sz="8" w:space="0"/>
              <w:left w:val="single" w:color="auto" w:sz="8" w:space="0"/>
            </w:tcBorders>
            <w:vAlign w:val="center"/>
          </w:tcPr>
          <w:p>
            <w:pPr>
              <w:pStyle w:val="16"/>
              <w:ind w:firstLine="396"/>
              <w:rPr>
                <w:rFonts w:eastAsia="仿宋" w:cs="Times New Roman"/>
              </w:rPr>
            </w:pPr>
            <m:oMathPara>
              <m:oMath>
                <m:sSup>
                  <m:sSupPr>
                    <m:ctrlPr>
                      <w:rPr>
                        <w:rFonts w:ascii="Cambria Math" w:hAnsi="Cambria Math" w:eastAsia="仿宋" w:cs="Times New Roman"/>
                        <w:i/>
                      </w:rPr>
                    </m:ctrlPr>
                  </m:sSupPr>
                  <m:e>
                    <m:r>
                      <m:rPr/>
                      <w:rPr>
                        <w:rFonts w:ascii="Cambria Math" w:hAnsi="Cambria Math" w:eastAsia="仿宋" w:cs="Times New Roman"/>
                      </w:rPr>
                      <m:t>income</m:t>
                    </m:r>
                    <m:ctrlPr>
                      <w:rPr>
                        <w:rFonts w:ascii="Cambria Math" w:hAnsi="Cambria Math" w:eastAsia="仿宋" w:cs="Times New Roman"/>
                        <w:i/>
                      </w:rPr>
                    </m:ctrlPr>
                  </m:e>
                  <m:sup>
                    <m:r>
                      <m:rPr/>
                      <w:rPr>
                        <w:rFonts w:ascii="Cambria Math" w:hAnsi="Cambria Math" w:eastAsia="仿宋" w:cs="Times New Roman"/>
                      </w:rPr>
                      <m:t>C</m:t>
                    </m:r>
                    <m:ctrlPr>
                      <w:rPr>
                        <w:rFonts w:ascii="Cambria Math" w:hAnsi="Cambria Math" w:eastAsia="仿宋" w:cs="Times New Roman"/>
                        <w:i/>
                      </w:rPr>
                    </m:ctrlPr>
                  </m:sup>
                </m:sSup>
                <m:r>
                  <m:rPr/>
                  <w:rPr>
                    <w:rFonts w:ascii="Cambria Math" w:hAnsi="Cambria Math" w:eastAsia="仿宋" w:cs="Times New Roman"/>
                  </w:rPr>
                  <m:t>+</m:t>
                </m:r>
                <m:r>
                  <m:rPr/>
                  <w:rPr>
                    <w:rFonts w:ascii="Cambria Math" w:hAnsi="Cambria Math" w:eastAsia="仿宋" w:cs="Times New Roman"/>
                    <w:lang w:val="en-US"/>
                  </w:rPr>
                  <m:t>η</m:t>
                </m:r>
              </m:oMath>
            </m:oMathPara>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1" w:type="dxa"/>
            <w:tcBorders>
              <w:top w:val="single" w:color="auto" w:sz="8" w:space="0"/>
              <w:bottom w:val="single" w:color="auto" w:sz="8" w:space="0"/>
              <w:right w:val="single" w:color="auto" w:sz="8" w:space="0"/>
            </w:tcBorders>
            <w:vAlign w:val="center"/>
          </w:tcPr>
          <w:p>
            <w:pPr>
              <w:pStyle w:val="16"/>
              <w:ind w:firstLine="396"/>
              <w:jc w:val="left"/>
              <w:rPr>
                <w:rFonts w:eastAsia="仿宋" w:cs="Times New Roman"/>
                <w:szCs w:val="18"/>
                <w:lang w:val="en-US" w:eastAsia="zh-CN"/>
              </w:rPr>
            </w:pPr>
            <w:r>
              <w:rPr>
                <w:rFonts w:eastAsia="仿宋" w:cs="Times New Roman"/>
                <w:szCs w:val="18"/>
                <w:lang w:val="en-US" w:eastAsia="zh-CN"/>
              </w:rPr>
              <w:t>OLS估计结果</w:t>
            </w:r>
          </w:p>
        </w:tc>
        <w:tc>
          <w:tcPr>
            <w:tcW w:w="3276" w:type="dxa"/>
            <w:gridSpan w:val="2"/>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lang w:eastAsia="zh-CN"/>
              </w:rPr>
            </w:pPr>
            <m:oMathPara>
              <m:oMath>
                <m:r>
                  <m:rPr/>
                  <w:rPr>
                    <w:rFonts w:ascii="Cambria Math" w:hAnsi="Cambria Math" w:eastAsia="仿宋" w:cs="Times New Roman"/>
                    <w:lang w:eastAsia="zh-CN"/>
                  </w:rPr>
                  <m:t>α</m:t>
                </m:r>
              </m:oMath>
            </m:oMathPara>
          </w:p>
        </w:tc>
        <w:tc>
          <w:tcPr>
            <w:tcW w:w="3319" w:type="dxa"/>
            <w:gridSpan w:val="2"/>
            <w:tcBorders>
              <w:top w:val="single" w:color="auto" w:sz="8" w:space="0"/>
              <w:left w:val="single" w:color="auto" w:sz="8" w:space="0"/>
              <w:bottom w:val="single" w:color="auto" w:sz="8" w:space="0"/>
            </w:tcBorders>
            <w:vAlign w:val="center"/>
          </w:tcPr>
          <w:p>
            <w:pPr>
              <w:pStyle w:val="16"/>
              <w:ind w:firstLine="396"/>
              <w:rPr>
                <w:rFonts w:eastAsia="仿宋" w:cs="Times New Roman"/>
              </w:rPr>
            </w:pPr>
            <m:oMathPara>
              <m:oMath>
                <m:r>
                  <m:rPr/>
                  <w:rPr>
                    <w:rFonts w:ascii="Cambria Math" w:hAnsi="Cambria Math" w:eastAsia="仿宋" w:cs="Times New Roman"/>
                    <w:lang w:eastAsia="zh-CN"/>
                  </w:rPr>
                  <m:t>α</m:t>
                </m:r>
              </m:oMath>
            </m:oMathPara>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1" w:type="dxa"/>
            <w:tcBorders>
              <w:top w:val="single" w:color="auto" w:sz="8" w:space="0"/>
              <w:bottom w:val="single" w:color="auto" w:sz="8" w:space="0"/>
              <w:right w:val="single" w:color="auto" w:sz="8" w:space="0"/>
            </w:tcBorders>
            <w:vAlign w:val="center"/>
          </w:tcPr>
          <w:p>
            <w:pPr>
              <w:pStyle w:val="16"/>
              <w:ind w:firstLine="396"/>
              <w:jc w:val="left"/>
              <w:rPr>
                <w:rFonts w:eastAsia="仿宋" w:cs="Times New Roman"/>
              </w:rPr>
            </w:pPr>
            <w:r>
              <w:rPr>
                <w:rFonts w:eastAsia="仿宋" w:cs="Times New Roman"/>
                <w:szCs w:val="18"/>
                <w:lang w:val="en-US" w:eastAsia="zh-CN"/>
              </w:rPr>
              <w:t>平均处理效应</w:t>
            </w:r>
          </w:p>
        </w:tc>
        <w:tc>
          <w:tcPr>
            <w:tcW w:w="3276" w:type="dxa"/>
            <w:gridSpan w:val="2"/>
            <w:tcBorders>
              <w:top w:val="single" w:color="auto" w:sz="8" w:space="0"/>
              <w:left w:val="single" w:color="auto" w:sz="8" w:space="0"/>
              <w:bottom w:val="single" w:color="auto" w:sz="8" w:space="0"/>
              <w:right w:val="single" w:color="auto" w:sz="8" w:space="0"/>
            </w:tcBorders>
            <w:vAlign w:val="center"/>
          </w:tcPr>
          <w:p>
            <w:pPr>
              <w:pStyle w:val="16"/>
              <w:ind w:firstLine="396"/>
              <w:rPr>
                <w:rFonts w:eastAsia="仿宋" w:cs="Times New Roman"/>
                <w:lang w:eastAsia="zh-CN"/>
              </w:rPr>
            </w:pPr>
            <m:oMathPara>
              <m:oMath>
                <m:r>
                  <m:rPr>
                    <m:sty m:val="p"/>
                  </m:rPr>
                  <w:rPr>
                    <w:rFonts w:ascii="Cambria Math" w:hAnsi="Cambria Math" w:eastAsia="仿宋" w:cs="Times New Roman"/>
                    <w:lang w:val="en-US" w:eastAsia="zh-CN"/>
                  </w:rPr>
                  <m:t>Δ</m:t>
                </m:r>
                <m:sSup>
                  <m:sSupPr>
                    <m:ctrlPr>
                      <w:rPr>
                        <w:rFonts w:ascii="Cambria Math" w:hAnsi="Cambria Math" w:eastAsia="仿宋" w:cs="Times New Roman"/>
                        <w:i/>
                        <w:lang w:val="en-US" w:eastAsia="zh-CN"/>
                      </w:rPr>
                    </m:ctrlPr>
                  </m:sSupPr>
                  <m:e>
                    <m:r>
                      <m:rPr/>
                      <w:rPr>
                        <w:rFonts w:ascii="Cambria Math" w:hAnsi="Cambria Math" w:eastAsia="仿宋" w:cs="Times New Roman"/>
                        <w:lang w:val="en-US" w:eastAsia="zh-CN"/>
                      </w:rPr>
                      <m:t>W</m:t>
                    </m:r>
                    <m:ctrlPr>
                      <w:rPr>
                        <w:rFonts w:ascii="Cambria Math" w:hAnsi="Cambria Math" w:eastAsia="仿宋" w:cs="Times New Roman"/>
                        <w:i/>
                        <w:lang w:val="en-US" w:eastAsia="zh-CN"/>
                      </w:rPr>
                    </m:ctrlPr>
                  </m:e>
                  <m:sup>
                    <m:r>
                      <m:rPr/>
                      <w:rPr>
                        <w:rFonts w:ascii="Cambria Math" w:hAnsi="Cambria Math" w:eastAsia="仿宋" w:cs="Times New Roman"/>
                        <w:lang w:val="en-US" w:eastAsia="zh-CN"/>
                      </w:rPr>
                      <m:t>T</m:t>
                    </m:r>
                    <m:ctrlPr>
                      <w:rPr>
                        <w:rFonts w:ascii="Cambria Math" w:hAnsi="Cambria Math" w:eastAsia="仿宋" w:cs="Times New Roman"/>
                        <w:i/>
                        <w:lang w:val="en-US" w:eastAsia="zh-CN"/>
                      </w:rPr>
                    </m:ctrlPr>
                  </m:sup>
                </m:sSup>
                <m:r>
                  <m:rPr/>
                  <w:rPr>
                    <w:rFonts w:ascii="Cambria Math" w:hAnsi="Cambria Math" w:eastAsia="仿宋" w:cs="Times New Roman"/>
                    <w:lang w:val="en-US" w:eastAsia="zh-CN"/>
                  </w:rPr>
                  <m:t>×α</m:t>
                </m:r>
              </m:oMath>
            </m:oMathPara>
          </w:p>
        </w:tc>
        <w:tc>
          <w:tcPr>
            <w:tcW w:w="3319" w:type="dxa"/>
            <w:gridSpan w:val="2"/>
            <w:tcBorders>
              <w:top w:val="single" w:color="auto" w:sz="8" w:space="0"/>
              <w:left w:val="single" w:color="auto" w:sz="8" w:space="0"/>
              <w:bottom w:val="single" w:color="auto" w:sz="8" w:space="0"/>
            </w:tcBorders>
            <w:vAlign w:val="center"/>
          </w:tcPr>
          <w:p>
            <w:pPr>
              <w:pStyle w:val="16"/>
              <w:ind w:firstLine="396"/>
              <w:rPr>
                <w:rFonts w:eastAsia="仿宋" w:cs="Times New Roman"/>
              </w:rPr>
            </w:pPr>
            <m:oMath>
              <m:r>
                <m:rPr/>
                <w:rPr>
                  <w:rFonts w:ascii="Cambria Math" w:hAnsi="Cambria Math" w:eastAsia="仿宋" w:cs="Times New Roman"/>
                  <w:lang w:val="en-US"/>
                </w:rPr>
                <m:t>Δ</m:t>
              </m:r>
              <m:sSup>
                <m:sSupPr>
                  <m:ctrlPr>
                    <w:rPr>
                      <w:rFonts w:ascii="Cambria Math" w:hAnsi="Cambria Math" w:eastAsia="仿宋" w:cs="Times New Roman"/>
                      <w:i/>
                      <w:lang w:val="en-US"/>
                    </w:rPr>
                  </m:ctrlPr>
                </m:sSupPr>
                <m:e>
                  <m:r>
                    <m:rPr/>
                    <w:rPr>
                      <w:rFonts w:ascii="Cambria Math" w:hAnsi="Cambria Math" w:eastAsia="仿宋" w:cs="Times New Roman"/>
                      <w:lang w:val="en-US"/>
                    </w:rPr>
                    <m:t>W</m:t>
                  </m:r>
                  <m:ctrlPr>
                    <w:rPr>
                      <w:rFonts w:ascii="Cambria Math" w:hAnsi="Cambria Math" w:eastAsia="仿宋" w:cs="Times New Roman"/>
                      <w:i/>
                      <w:lang w:val="en-US"/>
                    </w:rPr>
                  </m:ctrlPr>
                </m:e>
                <m:sup>
                  <m:r>
                    <m:rPr/>
                    <w:rPr>
                      <w:rFonts w:ascii="Cambria Math" w:hAnsi="Cambria Math" w:eastAsia="仿宋" w:cs="Times New Roman"/>
                      <w:lang w:val="en-US"/>
                    </w:rPr>
                    <m:t>T</m:t>
                  </m:r>
                  <m:ctrlPr>
                    <w:rPr>
                      <w:rFonts w:ascii="Cambria Math" w:hAnsi="Cambria Math" w:eastAsia="仿宋" w:cs="Times New Roman"/>
                      <w:i/>
                      <w:lang w:val="en-US"/>
                    </w:rPr>
                  </m:ctrlPr>
                </m:sup>
              </m:sSup>
              <m:r>
                <m:rPr/>
                <w:rPr>
                  <w:rFonts w:ascii="Cambria Math" w:hAnsi="Cambria Math" w:eastAsia="仿宋" w:cs="Times New Roman"/>
                  <w:lang w:val="en-US"/>
                </w:rPr>
                <m:t>×(α+δ)</m:t>
              </m:r>
            </m:oMath>
            <w:r>
              <w:rPr>
                <w:rFonts w:eastAsia="仿宋" w:cs="Times New Roman"/>
                <w:i/>
                <w:lang w:val="en-US"/>
              </w:rPr>
              <w:t xml:space="preserve"> </w:t>
            </w:r>
          </w:p>
        </w:tc>
      </w:tr>
    </w:tbl>
    <w:p>
      <w:pPr>
        <w:pStyle w:val="16"/>
        <w:jc w:val="both"/>
        <w:rPr>
          <w:rFonts w:eastAsia="仿宋" w:cs="Times New Roman"/>
          <w:bCs/>
          <w:szCs w:val="22"/>
          <w:lang w:val="en-US" w:eastAsia="zh-CN"/>
        </w:rPr>
      </w:pPr>
      <w:r>
        <w:rPr>
          <w:rFonts w:eastAsia="仿宋" w:cs="Times New Roman"/>
          <w:bCs/>
          <w:szCs w:val="22"/>
        </w:rPr>
        <w:t>注：</w:t>
      </w:r>
      <w:r>
        <w:rPr>
          <w:rFonts w:eastAsia="仿宋" w:cs="Times New Roman"/>
          <w:bCs/>
          <w:szCs w:val="22"/>
          <w:lang w:eastAsia="zh-CN"/>
        </w:rPr>
        <w:t>在本文中，</w:t>
      </w:r>
      <w:r>
        <w:rPr>
          <w:rFonts w:eastAsia="仿宋" w:cs="Times New Roman"/>
          <w:bCs/>
          <w:szCs w:val="22"/>
          <w:lang w:val="en-US" w:eastAsia="zh-CN"/>
        </w:rPr>
        <w:t>经典双重差分模型的两个差分维度分别为年份层面（根据2003年前后划分）和城市层面（根据1998年城市高校数量划分），因此</w:t>
      </w:r>
      <w:r>
        <w:rPr>
          <w:rFonts w:eastAsia="仿宋" w:cs="Times New Roman"/>
          <w:bCs/>
          <w:szCs w:val="22"/>
        </w:rPr>
        <w:t>表中</w:t>
      </w:r>
      <m:oMath>
        <m:sSup>
          <m:sSupPr>
            <m:ctrlPr>
              <w:rPr>
                <w:rFonts w:ascii="Cambria Math" w:hAnsi="Cambria Math" w:eastAsia="仿宋" w:cs="Times New Roman"/>
                <w:bCs/>
                <w:i/>
                <w:szCs w:val="22"/>
              </w:rPr>
            </m:ctrlPr>
          </m:sSupPr>
          <m:e>
            <m:r>
              <m:rPr/>
              <w:rPr>
                <w:rFonts w:ascii="Cambria Math" w:hAnsi="Cambria Math" w:eastAsia="仿宋" w:cs="Times New Roman"/>
                <w:szCs w:val="22"/>
              </w:rPr>
              <m:t>income</m:t>
            </m:r>
            <m:ctrlPr>
              <w:rPr>
                <w:rFonts w:ascii="Cambria Math" w:hAnsi="Cambria Math" w:eastAsia="仿宋" w:cs="Times New Roman"/>
                <w:bCs/>
                <w:i/>
                <w:szCs w:val="22"/>
              </w:rPr>
            </m:ctrlPr>
          </m:e>
          <m:sup>
            <m:r>
              <m:rPr/>
              <w:rPr>
                <w:rFonts w:ascii="Cambria Math" w:hAnsi="Cambria Math" w:eastAsia="仿宋" w:cs="Times New Roman"/>
                <w:szCs w:val="22"/>
              </w:rPr>
              <m:t>T</m:t>
            </m:r>
            <m:ctrlPr>
              <w:rPr>
                <w:rFonts w:ascii="Cambria Math" w:hAnsi="Cambria Math" w:eastAsia="仿宋" w:cs="Times New Roman"/>
                <w:bCs/>
                <w:i/>
                <w:szCs w:val="22"/>
              </w:rPr>
            </m:ctrlPr>
          </m:sup>
        </m:sSup>
      </m:oMath>
      <w:r>
        <w:rPr>
          <w:rFonts w:eastAsia="仿宋" w:cs="Times New Roman"/>
          <w:bCs/>
          <w:szCs w:val="22"/>
          <w:lang w:eastAsia="zh-CN"/>
        </w:rPr>
        <w:t>、</w:t>
      </w:r>
      <m:oMath>
        <m:sSup>
          <m:sSupPr>
            <m:ctrlPr>
              <w:rPr>
                <w:rFonts w:ascii="Cambria Math" w:hAnsi="Cambria Math" w:eastAsia="仿宋" w:cs="Times New Roman"/>
                <w:bCs/>
                <w:i/>
                <w:szCs w:val="22"/>
                <w:lang w:val="en-US" w:eastAsia="zh-CN"/>
              </w:rPr>
            </m:ctrlPr>
          </m:sSupPr>
          <m:e>
            <m:r>
              <m:rPr/>
              <w:rPr>
                <w:rFonts w:ascii="Cambria Math" w:hAnsi="Cambria Math" w:eastAsia="仿宋" w:cs="Times New Roman"/>
                <w:szCs w:val="22"/>
                <w:lang w:val="en-US" w:eastAsia="zh-CN"/>
              </w:rPr>
              <m:t>income</m:t>
            </m:r>
            <m:ctrlPr>
              <w:rPr>
                <w:rFonts w:ascii="Cambria Math" w:hAnsi="Cambria Math" w:eastAsia="仿宋" w:cs="Times New Roman"/>
                <w:bCs/>
                <w:i/>
                <w:szCs w:val="22"/>
                <w:lang w:val="en-US" w:eastAsia="zh-CN"/>
              </w:rPr>
            </m:ctrlPr>
          </m:e>
          <m:sup>
            <m:r>
              <m:rPr/>
              <w:rPr>
                <w:rFonts w:ascii="Cambria Math" w:hAnsi="Cambria Math" w:eastAsia="仿宋" w:cs="Times New Roman"/>
                <w:szCs w:val="22"/>
                <w:lang w:val="en-US" w:eastAsia="zh-CN"/>
              </w:rPr>
              <m:t>C</m:t>
            </m:r>
            <m:ctrlPr>
              <w:rPr>
                <w:rFonts w:ascii="Cambria Math" w:hAnsi="Cambria Math" w:eastAsia="仿宋" w:cs="Times New Roman"/>
                <w:bCs/>
                <w:i/>
                <w:szCs w:val="22"/>
                <w:lang w:val="en-US" w:eastAsia="zh-CN"/>
              </w:rPr>
            </m:ctrlPr>
          </m:sup>
        </m:sSup>
      </m:oMath>
      <w:r>
        <w:rPr>
          <w:rFonts w:eastAsia="仿宋" w:cs="Times New Roman"/>
          <w:bCs/>
          <w:szCs w:val="22"/>
          <w:lang w:val="en-US" w:eastAsia="zh-CN"/>
        </w:rPr>
        <w:t>均为城市层面的组间差异（收入差分后结果），前者</w:t>
      </w:r>
      <w:r>
        <w:rPr>
          <w:rFonts w:eastAsia="仿宋" w:cs="Times New Roman"/>
          <w:bCs/>
          <w:szCs w:val="22"/>
        </w:rPr>
        <w:t>表示</w:t>
      </w:r>
      <w:r>
        <w:rPr>
          <w:rFonts w:eastAsia="仿宋" w:cs="Times New Roman"/>
          <w:bCs/>
          <w:szCs w:val="22"/>
          <w:lang w:eastAsia="zh-CN"/>
        </w:rPr>
        <w:t>2003年之前，</w:t>
      </w:r>
      <w:r>
        <w:rPr>
          <w:rFonts w:eastAsia="仿宋" w:cs="Times New Roman"/>
          <w:bCs/>
          <w:szCs w:val="22"/>
          <w:lang w:val="en-US"/>
        </w:rPr>
        <w:t>处理组城市</w:t>
      </w:r>
      <w:r>
        <w:rPr>
          <w:rFonts w:eastAsia="仿宋" w:cs="Times New Roman"/>
          <w:bCs/>
          <w:szCs w:val="22"/>
        </w:rPr>
        <w:t>与</w:t>
      </w:r>
      <w:r>
        <w:rPr>
          <w:rFonts w:eastAsia="仿宋" w:cs="Times New Roman"/>
          <w:bCs/>
          <w:szCs w:val="22"/>
          <w:lang w:val="en-US"/>
        </w:rPr>
        <w:t>控制组城市</w:t>
      </w:r>
      <w:r>
        <w:rPr>
          <w:rFonts w:eastAsia="仿宋" w:cs="Times New Roman"/>
          <w:bCs/>
          <w:szCs w:val="22"/>
        </w:rPr>
        <w:t>中</w:t>
      </w:r>
      <w:r>
        <w:rPr>
          <w:rFonts w:eastAsia="仿宋" w:cs="Times New Roman"/>
          <w:szCs w:val="18"/>
          <w:lang w:val="en-US" w:eastAsia="zh-CN"/>
        </w:rPr>
        <w:t>受政策直接影响群体的平均收入</w:t>
      </w:r>
      <w:r>
        <w:rPr>
          <w:rFonts w:eastAsia="仿宋" w:cs="Times New Roman"/>
          <w:bCs/>
          <w:szCs w:val="22"/>
          <w:lang w:eastAsia="zh-CN"/>
        </w:rPr>
        <w:t>之差，后者表示</w:t>
      </w:r>
      <w:r>
        <w:rPr>
          <w:rFonts w:eastAsia="仿宋" w:cs="Times New Roman"/>
          <w:bCs/>
          <w:szCs w:val="22"/>
          <w:lang w:val="en-US" w:eastAsia="zh-CN"/>
        </w:rPr>
        <w:t>2003年之前，处理组城市与控制组城市中</w:t>
      </w:r>
      <w:r>
        <w:rPr>
          <w:rFonts w:eastAsia="仿宋" w:cs="Times New Roman"/>
          <w:szCs w:val="18"/>
          <w:lang w:val="en-US" w:eastAsia="zh-CN"/>
        </w:rPr>
        <w:t>未受政策直接影响群体</w:t>
      </w:r>
      <w:r>
        <w:rPr>
          <w:rFonts w:eastAsia="仿宋" w:cs="Times New Roman"/>
          <w:bCs/>
          <w:szCs w:val="22"/>
          <w:lang w:val="en-US" w:eastAsia="zh-CN"/>
        </w:rPr>
        <w:t>的平均收入之差。此外，由于</w:t>
      </w:r>
      <m:oMath>
        <m:r>
          <m:rPr/>
          <w:rPr>
            <w:rFonts w:ascii="Cambria Math" w:hAnsi="Cambria Math" w:eastAsia="仿宋" w:cs="Times New Roman"/>
            <w:szCs w:val="22"/>
            <w:lang w:val="en-US" w:eastAsia="zh-CN"/>
          </w:rPr>
          <m:t>δ</m:t>
        </m:r>
      </m:oMath>
      <w:r>
        <w:rPr>
          <w:rFonts w:eastAsia="仿宋" w:cs="Times New Roman"/>
          <w:bCs/>
          <w:szCs w:val="22"/>
          <w:lang w:val="en-US" w:eastAsia="zh-CN"/>
        </w:rPr>
        <w:t>表示每个大学生带来的对自身和其他人收入改善的总效果，因此所有受政策直接影响群体带来的溢出效应效果</w:t>
      </w:r>
      <m:oMath>
        <m:sSup>
          <m:sSupPr>
            <m:ctrlPr>
              <w:rPr>
                <w:rFonts w:ascii="Cambria Math" w:hAnsi="Cambria Math" w:eastAsia="仿宋" w:cs="Times New Roman"/>
                <w:bCs/>
                <w:i/>
                <w:szCs w:val="22"/>
                <w:lang w:val="en-US" w:eastAsia="zh-CN"/>
              </w:rPr>
            </m:ctrlPr>
          </m:sSupPr>
          <m:e>
            <m:r>
              <m:rPr/>
              <w:rPr>
                <w:rFonts w:ascii="Cambria Math" w:hAnsi="Cambria Math" w:eastAsia="仿宋" w:cs="Times New Roman"/>
                <w:szCs w:val="22"/>
                <w:lang w:val="en-US" w:eastAsia="zh-CN"/>
              </w:rPr>
              <m:t>△W</m:t>
            </m:r>
            <m:ctrlPr>
              <w:rPr>
                <w:rFonts w:ascii="Cambria Math" w:hAnsi="Cambria Math" w:eastAsia="仿宋" w:cs="Times New Roman"/>
                <w:bCs/>
                <w:i/>
                <w:szCs w:val="22"/>
                <w:lang w:val="en-US" w:eastAsia="zh-CN"/>
              </w:rPr>
            </m:ctrlPr>
          </m:e>
          <m:sup>
            <m:r>
              <m:rPr/>
              <w:rPr>
                <w:rFonts w:ascii="Cambria Math" w:hAnsi="Cambria Math" w:eastAsia="仿宋" w:cs="Times New Roman"/>
                <w:szCs w:val="22"/>
                <w:lang w:val="en-US" w:eastAsia="zh-CN"/>
              </w:rPr>
              <m:t>T</m:t>
            </m:r>
            <m:ctrlPr>
              <w:rPr>
                <w:rFonts w:ascii="Cambria Math" w:hAnsi="Cambria Math" w:eastAsia="仿宋" w:cs="Times New Roman"/>
                <w:bCs/>
                <w:i/>
                <w:szCs w:val="22"/>
                <w:lang w:val="en-US" w:eastAsia="zh-CN"/>
              </w:rPr>
            </m:ctrlPr>
          </m:sup>
        </m:sSup>
        <m:r>
          <m:rPr/>
          <w:rPr>
            <w:rFonts w:ascii="Cambria Math" w:hAnsi="Cambria Math" w:eastAsia="仿宋" w:cs="Times New Roman"/>
            <w:szCs w:val="22"/>
            <w:lang w:val="en-US" w:eastAsia="zh-CN"/>
          </w:rPr>
          <m:t>×δ</m:t>
        </m:r>
      </m:oMath>
      <w:r>
        <w:rPr>
          <w:rFonts w:eastAsia="仿宋" w:cs="Times New Roman"/>
          <w:bCs/>
          <w:szCs w:val="22"/>
          <w:lang w:val="en-US" w:eastAsia="zh-CN"/>
        </w:rPr>
        <w:t>等价于政策实施时未完成教育群体的额外人均收入增加</w:t>
      </w:r>
      <m:oMath>
        <m:r>
          <m:rPr/>
          <w:rPr>
            <w:rFonts w:ascii="Cambria Math" w:hAnsi="Cambria Math" w:eastAsia="仿宋" w:cs="Times New Roman"/>
            <w:szCs w:val="22"/>
            <w:lang w:val="en-US" w:eastAsia="zh-CN"/>
          </w:rPr>
          <m:t>△</m:t>
        </m:r>
        <m:sSup>
          <m:sSupPr>
            <m:ctrlPr>
              <w:rPr>
                <w:rFonts w:ascii="Cambria Math" w:hAnsi="Cambria Math" w:eastAsia="仿宋" w:cs="Times New Roman"/>
                <w:bCs/>
                <w:i/>
                <w:szCs w:val="22"/>
                <w:lang w:val="en-US" w:eastAsia="zh-CN"/>
              </w:rPr>
            </m:ctrlPr>
          </m:sSupPr>
          <m:e>
            <m:r>
              <m:rPr/>
              <w:rPr>
                <w:rFonts w:ascii="Cambria Math" w:hAnsi="Cambria Math" w:eastAsia="仿宋" w:cs="Times New Roman"/>
                <w:szCs w:val="22"/>
                <w:lang w:val="en-US" w:eastAsia="zh-CN"/>
              </w:rPr>
              <m:t>W</m:t>
            </m:r>
            <m:ctrlPr>
              <w:rPr>
                <w:rFonts w:ascii="Cambria Math" w:hAnsi="Cambria Math" w:eastAsia="仿宋" w:cs="Times New Roman"/>
                <w:bCs/>
                <w:i/>
                <w:szCs w:val="22"/>
                <w:lang w:val="en-US" w:eastAsia="zh-CN"/>
              </w:rPr>
            </m:ctrlPr>
          </m:e>
          <m:sup>
            <m:r>
              <m:rPr/>
              <w:rPr>
                <w:rFonts w:ascii="Cambria Math" w:hAnsi="Cambria Math" w:eastAsia="仿宋" w:cs="Times New Roman"/>
                <w:szCs w:val="22"/>
                <w:lang w:val="en-US" w:eastAsia="zh-CN"/>
              </w:rPr>
              <m:t>T</m:t>
            </m:r>
            <m:ctrlPr>
              <w:rPr>
                <w:rFonts w:ascii="Cambria Math" w:hAnsi="Cambria Math" w:eastAsia="仿宋" w:cs="Times New Roman"/>
                <w:bCs/>
                <w:i/>
                <w:szCs w:val="22"/>
                <w:lang w:val="en-US" w:eastAsia="zh-CN"/>
              </w:rPr>
            </m:ctrlPr>
          </m:sup>
        </m:sSup>
        <m:r>
          <m:rPr/>
          <w:rPr>
            <w:rFonts w:ascii="Cambria Math" w:hAnsi="Cambria Math" w:eastAsia="仿宋" w:cs="Times New Roman"/>
            <w:szCs w:val="22"/>
            <w:lang w:val="en-US" w:eastAsia="zh-CN"/>
          </w:rPr>
          <m:t>×γ</m:t>
        </m:r>
      </m:oMath>
      <w:r>
        <w:rPr>
          <w:rFonts w:eastAsia="仿宋" w:cs="Times New Roman"/>
          <w:bCs/>
          <w:szCs w:val="22"/>
          <w:lang w:val="en-US" w:eastAsia="zh-CN"/>
        </w:rPr>
        <w:t>与政策实施时已完成教育群体的额外人均收入增加</w:t>
      </w:r>
      <m:oMath>
        <m:d>
          <m:dPr>
            <m:ctrlPr>
              <w:rPr>
                <w:rFonts w:ascii="Cambria Math" w:hAnsi="Cambria Math" w:eastAsia="仿宋" w:cs="Times New Roman"/>
                <w:bCs/>
                <w:i/>
                <w:szCs w:val="22"/>
                <w:lang w:val="en-US" w:eastAsia="zh-CN"/>
              </w:rPr>
            </m:ctrlPr>
          </m:dPr>
          <m:e>
            <m:r>
              <m:rPr/>
              <w:rPr>
                <w:rFonts w:ascii="Cambria Math" w:hAnsi="Cambria Math" w:eastAsia="仿宋" w:cs="Times New Roman"/>
                <w:szCs w:val="22"/>
                <w:lang w:val="en-US" w:eastAsia="zh-CN"/>
              </w:rPr>
              <m:t>1−△</m:t>
            </m:r>
            <m:sSup>
              <m:sSupPr>
                <m:ctrlPr>
                  <w:rPr>
                    <w:rFonts w:ascii="Cambria Math" w:hAnsi="Cambria Math" w:eastAsia="仿宋" w:cs="Times New Roman"/>
                    <w:bCs/>
                    <w:i/>
                    <w:szCs w:val="22"/>
                    <w:lang w:val="en-US" w:eastAsia="zh-CN"/>
                  </w:rPr>
                </m:ctrlPr>
              </m:sSupPr>
              <m:e>
                <m:r>
                  <m:rPr/>
                  <w:rPr>
                    <w:rFonts w:ascii="Cambria Math" w:hAnsi="Cambria Math" w:eastAsia="仿宋" w:cs="Times New Roman"/>
                    <w:szCs w:val="22"/>
                    <w:lang w:val="en-US" w:eastAsia="zh-CN"/>
                  </w:rPr>
                  <m:t>W</m:t>
                </m:r>
                <m:ctrlPr>
                  <w:rPr>
                    <w:rFonts w:ascii="Cambria Math" w:hAnsi="Cambria Math" w:eastAsia="仿宋" w:cs="Times New Roman"/>
                    <w:bCs/>
                    <w:i/>
                    <w:szCs w:val="22"/>
                    <w:lang w:val="en-US" w:eastAsia="zh-CN"/>
                  </w:rPr>
                </m:ctrlPr>
              </m:e>
              <m:sup>
                <m:r>
                  <m:rPr/>
                  <w:rPr>
                    <w:rFonts w:ascii="Cambria Math" w:hAnsi="Cambria Math" w:eastAsia="仿宋" w:cs="Times New Roman"/>
                    <w:szCs w:val="22"/>
                    <w:lang w:val="en-US" w:eastAsia="zh-CN"/>
                  </w:rPr>
                  <m:t>T</m:t>
                </m:r>
                <m:ctrlPr>
                  <w:rPr>
                    <w:rFonts w:ascii="Cambria Math" w:hAnsi="Cambria Math" w:eastAsia="仿宋" w:cs="Times New Roman"/>
                    <w:bCs/>
                    <w:i/>
                    <w:szCs w:val="22"/>
                    <w:lang w:val="en-US" w:eastAsia="zh-CN"/>
                  </w:rPr>
                </m:ctrlPr>
              </m:sup>
            </m:sSup>
            <m:ctrlPr>
              <w:rPr>
                <w:rFonts w:ascii="Cambria Math" w:hAnsi="Cambria Math" w:eastAsia="仿宋" w:cs="Times New Roman"/>
                <w:bCs/>
                <w:i/>
                <w:szCs w:val="22"/>
                <w:lang w:val="en-US" w:eastAsia="zh-CN"/>
              </w:rPr>
            </m:ctrlPr>
          </m:e>
        </m:d>
        <m:r>
          <m:rPr/>
          <w:rPr>
            <w:rFonts w:ascii="Cambria Math" w:hAnsi="Cambria Math" w:eastAsia="仿宋" w:cs="Times New Roman"/>
            <w:szCs w:val="22"/>
            <w:lang w:val="en-US" w:eastAsia="zh-CN"/>
          </w:rPr>
          <m:t>×η</m:t>
        </m:r>
      </m:oMath>
      <w:r>
        <w:rPr>
          <w:rFonts w:eastAsia="仿宋" w:cs="Times New Roman"/>
          <w:bCs/>
          <w:szCs w:val="22"/>
          <w:lang w:val="en-US" w:eastAsia="zh-CN"/>
        </w:rPr>
        <w:t>之和</w:t>
      </w:r>
      <w:r>
        <w:rPr>
          <w:rFonts w:hint="eastAsia" w:eastAsia="仿宋" w:cs="Times New Roman"/>
          <w:bCs/>
          <w:szCs w:val="22"/>
          <w:lang w:val="en-US" w:eastAsia="zh-CN"/>
        </w:rPr>
        <w:t>。</w:t>
      </w:r>
    </w:p>
    <w:p>
      <w:pPr>
        <w:ind w:firstLine="0" w:firstLineChars="0"/>
        <w:rPr>
          <w:rFonts w:eastAsia="仿宋" w:cs="Times New Roman"/>
          <w:b/>
          <w:bCs/>
        </w:rPr>
      </w:pPr>
    </w:p>
    <w:p>
      <w:pPr>
        <w:ind w:firstLine="396"/>
        <w:rPr>
          <w:rFonts w:eastAsia="仿宋" w:cs="Times New Roman"/>
        </w:rPr>
      </w:pPr>
      <w:r>
        <w:rPr>
          <w:rFonts w:eastAsia="仿宋" w:cs="Times New Roman"/>
        </w:rPr>
        <w:t>我们基于Wald统计量的概念，分别使用两类“工具变量”进行2SLS估计，一类为二元分组变量（根据城市1998年高等院校数构建得到）与2003年前后的交互项，相应结果记为2SLS-1并报告在表</w:t>
      </w:r>
      <w:r>
        <w:rPr>
          <w:rFonts w:hint="eastAsia" w:eastAsia="仿宋" w:cs="Times New Roman"/>
        </w:rPr>
        <w:t>V</w:t>
      </w:r>
      <w:r>
        <w:rPr>
          <w:rFonts w:eastAsia="仿宋" w:cs="Times New Roman"/>
        </w:rPr>
        <w:t>2的第（2）列和第（5）列中；另一类为连续强度变量（城市1998年高等院校数）与2003年前后的交互项，相应结果记为2SLS-2并报告在第（3）列和第（6）列中 。结果显示，在全样本中，每个大学生每年带来的人力资本外溢效应约为56,000~76,000元，且扩招政策带来的人力资本个人回报均明显低于社会回报（约为后者的9%~13%），与正文结论基本保持一致，进一步证实了人力资本外溢效应的存在和教育回报的低估问题。此外，在出生于1960年后的子样本中，我们也发现了类似结论，证实了结论的稳健性。</w:t>
      </w:r>
    </w:p>
    <w:p>
      <w:pPr>
        <w:keepLines/>
        <w:spacing w:before="178" w:beforeLines="50"/>
        <w:ind w:firstLine="0" w:firstLineChars="0"/>
        <w:contextualSpacing w:val="0"/>
        <w:jc w:val="center"/>
        <w:outlineLvl w:val="8"/>
        <w:rPr>
          <w:rFonts w:hint="eastAsia" w:ascii="黑体" w:hAnsi="黑体" w:eastAsia="黑体" w:cs="黑体"/>
          <w:sz w:val="20"/>
          <w:szCs w:val="18"/>
        </w:rPr>
      </w:pPr>
      <w:r>
        <w:rPr>
          <w:rFonts w:hint="eastAsia" w:ascii="黑体" w:hAnsi="黑体" w:eastAsia="黑体" w:cs="黑体"/>
          <w:b/>
          <w:kern w:val="0"/>
          <w:sz w:val="20"/>
          <w:szCs w:val="20"/>
          <w:lang w:val="zh-CN"/>
        </w:rPr>
        <w:t>表 VI2  人力资本个人回报和社会回报的估计结果</w:t>
      </w:r>
    </w:p>
    <w:tbl>
      <w:tblPr>
        <w:tblStyle w:val="28"/>
        <w:tblW w:w="9026" w:type="dxa"/>
        <w:tblInd w:w="0" w:type="dxa"/>
        <w:tblLayout w:type="autofit"/>
        <w:tblCellMar>
          <w:top w:w="0" w:type="dxa"/>
          <w:left w:w="108" w:type="dxa"/>
          <w:bottom w:w="0" w:type="dxa"/>
          <w:right w:w="108" w:type="dxa"/>
        </w:tblCellMar>
      </w:tblPr>
      <w:tblGrid>
        <w:gridCol w:w="994"/>
        <w:gridCol w:w="1185"/>
        <w:gridCol w:w="304"/>
        <w:gridCol w:w="1047"/>
        <w:gridCol w:w="270"/>
        <w:gridCol w:w="1081"/>
        <w:gridCol w:w="223"/>
        <w:gridCol w:w="998"/>
        <w:gridCol w:w="201"/>
        <w:gridCol w:w="1150"/>
        <w:gridCol w:w="168"/>
        <w:gridCol w:w="1183"/>
        <w:gridCol w:w="222"/>
      </w:tblGrid>
      <w:tr>
        <w:tblPrEx>
          <w:tblCellMar>
            <w:top w:w="0" w:type="dxa"/>
            <w:left w:w="108" w:type="dxa"/>
            <w:bottom w:w="0" w:type="dxa"/>
            <w:right w:w="108" w:type="dxa"/>
          </w:tblCellMar>
        </w:tblPrEx>
        <w:trPr>
          <w:gridAfter w:val="1"/>
          <w:wAfter w:w="222" w:type="dxa"/>
          <w:trHeight w:val="240" w:hRule="atLeast"/>
        </w:trPr>
        <w:tc>
          <w:tcPr>
            <w:tcW w:w="994" w:type="dxa"/>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　</w:t>
            </w:r>
          </w:p>
        </w:tc>
        <w:tc>
          <w:tcPr>
            <w:tcW w:w="1185" w:type="dxa"/>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w:t>
            </w:r>
          </w:p>
        </w:tc>
        <w:tc>
          <w:tcPr>
            <w:tcW w:w="1351" w:type="dxa"/>
            <w:gridSpan w:val="2"/>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(2)</w:t>
            </w:r>
          </w:p>
        </w:tc>
        <w:tc>
          <w:tcPr>
            <w:tcW w:w="1351" w:type="dxa"/>
            <w:gridSpan w:val="2"/>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(3)</w:t>
            </w:r>
          </w:p>
        </w:tc>
        <w:tc>
          <w:tcPr>
            <w:tcW w:w="1221" w:type="dxa"/>
            <w:gridSpan w:val="2"/>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(4)</w:t>
            </w:r>
          </w:p>
        </w:tc>
        <w:tc>
          <w:tcPr>
            <w:tcW w:w="1351" w:type="dxa"/>
            <w:gridSpan w:val="2"/>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(5)</w:t>
            </w:r>
          </w:p>
        </w:tc>
        <w:tc>
          <w:tcPr>
            <w:tcW w:w="1351" w:type="dxa"/>
            <w:gridSpan w:val="2"/>
            <w:tcBorders>
              <w:top w:val="double" w:color="auto" w:sz="6" w:space="0"/>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6"/>
              </w:rPr>
            </w:pPr>
            <w:r>
              <w:rPr>
                <w:rFonts w:eastAsia="仿宋" w:cs="Times New Roman"/>
                <w:sz w:val="18"/>
                <w:szCs w:val="16"/>
              </w:rPr>
              <w:t>(6)</w:t>
            </w:r>
          </w:p>
        </w:tc>
      </w:tr>
      <w:tr>
        <w:tblPrEx>
          <w:tblCellMar>
            <w:top w:w="0" w:type="dxa"/>
            <w:left w:w="108" w:type="dxa"/>
            <w:bottom w:w="0" w:type="dxa"/>
            <w:right w:w="108" w:type="dxa"/>
          </w:tblCellMar>
        </w:tblPrEx>
        <w:trPr>
          <w:gridAfter w:val="1"/>
          <w:wAfter w:w="222" w:type="dxa"/>
          <w:trHeight w:val="240" w:hRule="atLeast"/>
        </w:trPr>
        <w:tc>
          <w:tcPr>
            <w:tcW w:w="99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变量</w:t>
            </w:r>
          </w:p>
        </w:tc>
        <w:tc>
          <w:tcPr>
            <w:tcW w:w="7810" w:type="dxa"/>
            <w:gridSpan w:val="11"/>
            <w:tcBorders>
              <w:top w:val="nil"/>
              <w:left w:val="nil"/>
              <w:bottom w:val="single" w:color="auto" w:sz="8"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个人收入 （元）</w:t>
            </w:r>
          </w:p>
        </w:tc>
      </w:tr>
      <w:tr>
        <w:tblPrEx>
          <w:tblCellMar>
            <w:top w:w="0" w:type="dxa"/>
            <w:left w:w="108" w:type="dxa"/>
            <w:bottom w:w="0" w:type="dxa"/>
            <w:right w:w="108" w:type="dxa"/>
          </w:tblCellMar>
        </w:tblPrEx>
        <w:trPr>
          <w:gridAfter w:val="1"/>
          <w:wAfter w:w="222" w:type="dxa"/>
          <w:trHeight w:val="240" w:hRule="atLeast"/>
        </w:trPr>
        <w:tc>
          <w:tcPr>
            <w:tcW w:w="994" w:type="dxa"/>
            <w:tcBorders>
              <w:top w:val="nil"/>
              <w:left w:val="nil"/>
              <w:bottom w:val="nil"/>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样本</w:t>
            </w:r>
          </w:p>
        </w:tc>
        <w:tc>
          <w:tcPr>
            <w:tcW w:w="3887" w:type="dxa"/>
            <w:gridSpan w:val="5"/>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lang w:val="zh-CN"/>
              </w:rPr>
              <w:t>全样本</w:t>
            </w:r>
          </w:p>
        </w:tc>
        <w:tc>
          <w:tcPr>
            <w:tcW w:w="3923" w:type="dxa"/>
            <w:gridSpan w:val="6"/>
            <w:tcBorders>
              <w:top w:val="nil"/>
              <w:left w:val="nil"/>
              <w:bottom w:val="single" w:color="auto" w:sz="8" w:space="0"/>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生于1960年后</w:t>
            </w:r>
          </w:p>
        </w:tc>
      </w:tr>
      <w:tr>
        <w:tblPrEx>
          <w:tblCellMar>
            <w:top w:w="0" w:type="dxa"/>
            <w:left w:w="108" w:type="dxa"/>
            <w:bottom w:w="0" w:type="dxa"/>
            <w:right w:w="108" w:type="dxa"/>
          </w:tblCellMar>
        </w:tblPrEx>
        <w:trPr>
          <w:trHeight w:val="240" w:hRule="atLeast"/>
        </w:trPr>
        <w:tc>
          <w:tcPr>
            <w:tcW w:w="994" w:type="dxa"/>
            <w:tcBorders>
              <w:top w:val="nil"/>
              <w:left w:val="nil"/>
              <w:bottom w:val="nil"/>
              <w:right w:val="nil"/>
            </w:tcBorders>
            <w:shd w:val="clear" w:color="auto" w:fill="auto"/>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估计方法</w:t>
            </w:r>
          </w:p>
        </w:tc>
        <w:tc>
          <w:tcPr>
            <w:tcW w:w="1489" w:type="dxa"/>
            <w:gridSpan w:val="2"/>
            <w:tcBorders>
              <w:top w:val="nil"/>
              <w:left w:val="nil"/>
              <w:bottom w:val="single" w:color="auto" w:sz="8" w:space="0"/>
              <w:right w:val="nil"/>
            </w:tcBorders>
            <w:shd w:val="clear" w:color="auto" w:fill="auto"/>
            <w:vAlign w:val="bottom"/>
          </w:tcPr>
          <w:p>
            <w:pPr>
              <w:widowControl/>
              <w:ind w:firstLine="0" w:firstLineChars="0"/>
              <w:contextualSpacing w:val="0"/>
              <w:jc w:val="center"/>
              <w:rPr>
                <w:rFonts w:eastAsia="仿宋" w:cs="Times New Roman"/>
                <w:kern w:val="0"/>
                <w:sz w:val="18"/>
                <w:szCs w:val="24"/>
                <w:lang w:val="zh-CN" w:eastAsia="zh-CN"/>
              </w:rPr>
            </w:pPr>
            <w:r>
              <w:rPr>
                <w:rFonts w:eastAsia="仿宋" w:cs="Times New Roman"/>
                <w:kern w:val="0"/>
                <w:sz w:val="18"/>
                <w:szCs w:val="24"/>
                <w:lang w:val="zh-CN" w:eastAsia="zh-CN"/>
              </w:rPr>
              <w:t>OLS</w:t>
            </w:r>
          </w:p>
        </w:tc>
        <w:tc>
          <w:tcPr>
            <w:tcW w:w="1317" w:type="dxa"/>
            <w:gridSpan w:val="2"/>
            <w:tcBorders>
              <w:top w:val="nil"/>
              <w:left w:val="nil"/>
              <w:bottom w:val="single" w:color="auto" w:sz="8" w:space="0"/>
              <w:right w:val="nil"/>
            </w:tcBorders>
            <w:shd w:val="clear" w:color="auto" w:fill="auto"/>
            <w:vAlign w:val="bottom"/>
          </w:tcPr>
          <w:p>
            <w:pPr>
              <w:widowControl/>
              <w:ind w:firstLine="0" w:firstLineChars="0"/>
              <w:contextualSpacing w:val="0"/>
              <w:jc w:val="center"/>
              <w:rPr>
                <w:rFonts w:eastAsia="仿宋" w:cs="Times New Roman"/>
                <w:kern w:val="0"/>
                <w:sz w:val="18"/>
                <w:szCs w:val="24"/>
                <w:lang w:val="zh-CN" w:eastAsia="zh-CN"/>
              </w:rPr>
            </w:pPr>
            <w:r>
              <w:rPr>
                <w:rFonts w:eastAsia="仿宋" w:cs="Times New Roman"/>
                <w:kern w:val="0"/>
                <w:sz w:val="18"/>
                <w:szCs w:val="24"/>
                <w:lang w:val="zh-CN" w:eastAsia="zh-CN"/>
              </w:rPr>
              <w:t>2SLS</w:t>
            </w:r>
            <w:r>
              <w:rPr>
                <w:rFonts w:eastAsia="仿宋" w:cs="Times New Roman"/>
                <w:kern w:val="0"/>
                <w:sz w:val="18"/>
                <w:szCs w:val="24"/>
                <w:lang w:val="zh-CN"/>
              </w:rPr>
              <w:t>-</w:t>
            </w:r>
            <w:r>
              <w:rPr>
                <w:rFonts w:eastAsia="仿宋" w:cs="Times New Roman"/>
                <w:kern w:val="0"/>
                <w:sz w:val="18"/>
                <w:szCs w:val="24"/>
                <w:lang w:val="zh-CN" w:eastAsia="zh-CN"/>
              </w:rPr>
              <w:t>1</w:t>
            </w:r>
          </w:p>
        </w:tc>
        <w:tc>
          <w:tcPr>
            <w:tcW w:w="1304" w:type="dxa"/>
            <w:gridSpan w:val="2"/>
            <w:tcBorders>
              <w:top w:val="nil"/>
              <w:left w:val="nil"/>
              <w:bottom w:val="single" w:color="auto" w:sz="8" w:space="0"/>
              <w:right w:val="nil"/>
            </w:tcBorders>
            <w:shd w:val="clear" w:color="auto" w:fill="auto"/>
            <w:vAlign w:val="bottom"/>
          </w:tcPr>
          <w:p>
            <w:pPr>
              <w:widowControl/>
              <w:ind w:firstLine="0" w:firstLineChars="0"/>
              <w:contextualSpacing w:val="0"/>
              <w:jc w:val="center"/>
              <w:rPr>
                <w:rFonts w:eastAsia="仿宋" w:cs="Times New Roman"/>
                <w:kern w:val="0"/>
                <w:sz w:val="18"/>
                <w:szCs w:val="24"/>
                <w:lang w:val="zh-CN" w:eastAsia="zh-CN"/>
              </w:rPr>
            </w:pPr>
            <w:r>
              <w:rPr>
                <w:rFonts w:eastAsia="仿宋" w:cs="Times New Roman"/>
                <w:kern w:val="0"/>
                <w:sz w:val="18"/>
                <w:szCs w:val="24"/>
                <w:lang w:val="zh-CN" w:eastAsia="zh-CN"/>
              </w:rPr>
              <w:t>2SLS</w:t>
            </w:r>
            <w:r>
              <w:rPr>
                <w:rFonts w:eastAsia="仿宋" w:cs="Times New Roman"/>
                <w:kern w:val="0"/>
                <w:sz w:val="18"/>
                <w:szCs w:val="24"/>
                <w:lang w:val="zh-CN"/>
              </w:rPr>
              <w:t>-</w:t>
            </w:r>
            <w:r>
              <w:rPr>
                <w:rFonts w:eastAsia="仿宋" w:cs="Times New Roman"/>
                <w:kern w:val="0"/>
                <w:sz w:val="18"/>
                <w:szCs w:val="24"/>
                <w:lang w:val="zh-CN" w:eastAsia="zh-CN"/>
              </w:rPr>
              <w:t>2</w:t>
            </w:r>
          </w:p>
        </w:tc>
        <w:tc>
          <w:tcPr>
            <w:tcW w:w="1199" w:type="dxa"/>
            <w:gridSpan w:val="2"/>
            <w:tcBorders>
              <w:top w:val="nil"/>
              <w:left w:val="nil"/>
              <w:bottom w:val="single" w:color="auto" w:sz="8" w:space="0"/>
              <w:right w:val="nil"/>
            </w:tcBorders>
            <w:shd w:val="clear" w:color="auto" w:fill="auto"/>
            <w:vAlign w:val="bottom"/>
          </w:tcPr>
          <w:p>
            <w:pPr>
              <w:widowControl/>
              <w:ind w:firstLine="0" w:firstLineChars="0"/>
              <w:contextualSpacing w:val="0"/>
              <w:jc w:val="center"/>
              <w:rPr>
                <w:rFonts w:eastAsia="仿宋" w:cs="Times New Roman"/>
                <w:kern w:val="0"/>
                <w:sz w:val="18"/>
                <w:szCs w:val="24"/>
                <w:lang w:val="zh-CN" w:eastAsia="zh-CN"/>
              </w:rPr>
            </w:pPr>
            <w:r>
              <w:rPr>
                <w:rFonts w:eastAsia="仿宋" w:cs="Times New Roman"/>
                <w:kern w:val="0"/>
                <w:sz w:val="18"/>
                <w:szCs w:val="24"/>
                <w:lang w:val="zh-CN" w:eastAsia="zh-CN"/>
              </w:rPr>
              <w:t>OLS</w:t>
            </w:r>
          </w:p>
        </w:tc>
        <w:tc>
          <w:tcPr>
            <w:tcW w:w="1318" w:type="dxa"/>
            <w:gridSpan w:val="2"/>
            <w:tcBorders>
              <w:top w:val="nil"/>
              <w:left w:val="nil"/>
              <w:bottom w:val="single" w:color="auto" w:sz="8" w:space="0"/>
              <w:right w:val="nil"/>
            </w:tcBorders>
            <w:shd w:val="clear" w:color="auto" w:fill="auto"/>
            <w:vAlign w:val="bottom"/>
          </w:tcPr>
          <w:p>
            <w:pPr>
              <w:widowControl/>
              <w:ind w:firstLine="0" w:firstLineChars="0"/>
              <w:contextualSpacing w:val="0"/>
              <w:jc w:val="center"/>
              <w:rPr>
                <w:rFonts w:eastAsia="仿宋" w:cs="Times New Roman"/>
                <w:kern w:val="0"/>
                <w:sz w:val="18"/>
                <w:szCs w:val="24"/>
                <w:lang w:val="zh-CN" w:eastAsia="zh-CN"/>
              </w:rPr>
            </w:pPr>
            <w:r>
              <w:rPr>
                <w:rFonts w:eastAsia="仿宋" w:cs="Times New Roman"/>
                <w:kern w:val="0"/>
                <w:sz w:val="18"/>
                <w:szCs w:val="24"/>
                <w:lang w:val="zh-CN" w:eastAsia="zh-CN"/>
              </w:rPr>
              <w:t>2SLS</w:t>
            </w:r>
            <w:r>
              <w:rPr>
                <w:rFonts w:eastAsia="仿宋" w:cs="Times New Roman"/>
                <w:kern w:val="0"/>
                <w:sz w:val="18"/>
                <w:szCs w:val="24"/>
                <w:lang w:val="zh-CN"/>
              </w:rPr>
              <w:t>-</w:t>
            </w:r>
            <w:r>
              <w:rPr>
                <w:rFonts w:eastAsia="仿宋" w:cs="Times New Roman"/>
                <w:kern w:val="0"/>
                <w:sz w:val="18"/>
                <w:szCs w:val="24"/>
                <w:lang w:val="zh-CN" w:eastAsia="zh-CN"/>
              </w:rPr>
              <w:t>1</w:t>
            </w:r>
          </w:p>
        </w:tc>
        <w:tc>
          <w:tcPr>
            <w:tcW w:w="1183" w:type="dxa"/>
            <w:tcBorders>
              <w:top w:val="nil"/>
              <w:left w:val="nil"/>
              <w:bottom w:val="single" w:color="auto" w:sz="8" w:space="0"/>
              <w:right w:val="nil"/>
            </w:tcBorders>
            <w:shd w:val="clear" w:color="auto" w:fill="auto"/>
            <w:vAlign w:val="bottom"/>
          </w:tcPr>
          <w:p>
            <w:pPr>
              <w:widowControl/>
              <w:ind w:firstLine="0" w:firstLineChars="0"/>
              <w:contextualSpacing w:val="0"/>
              <w:jc w:val="center"/>
              <w:rPr>
                <w:rFonts w:eastAsia="仿宋" w:cs="Times New Roman"/>
                <w:kern w:val="0"/>
                <w:sz w:val="18"/>
                <w:szCs w:val="24"/>
                <w:lang w:val="zh-CN" w:eastAsia="zh-CN"/>
              </w:rPr>
            </w:pPr>
            <w:r>
              <w:rPr>
                <w:rFonts w:eastAsia="仿宋" w:cs="Times New Roman"/>
                <w:kern w:val="0"/>
                <w:sz w:val="18"/>
                <w:szCs w:val="24"/>
                <w:lang w:val="zh-CN" w:eastAsia="zh-CN"/>
              </w:rPr>
              <w:t>2SLS</w:t>
            </w:r>
            <w:r>
              <w:rPr>
                <w:rFonts w:eastAsia="仿宋" w:cs="Times New Roman"/>
                <w:kern w:val="0"/>
                <w:sz w:val="18"/>
                <w:szCs w:val="24"/>
                <w:lang w:val="zh-CN"/>
              </w:rPr>
              <w:t>-</w:t>
            </w:r>
            <w:r>
              <w:rPr>
                <w:rFonts w:eastAsia="仿宋" w:cs="Times New Roman"/>
                <w:kern w:val="0"/>
                <w:sz w:val="18"/>
                <w:szCs w:val="24"/>
                <w:lang w:val="zh-CN" w:eastAsia="zh-CN"/>
              </w:rPr>
              <w:t>2</w:t>
            </w:r>
          </w:p>
        </w:tc>
        <w:tc>
          <w:tcPr>
            <w:tcW w:w="222" w:type="dxa"/>
            <w:vAlign w:val="bottom"/>
          </w:tcPr>
          <w:p>
            <w:pPr>
              <w:widowControl/>
              <w:ind w:firstLine="0" w:firstLineChars="0"/>
              <w:contextualSpacing w:val="0"/>
              <w:jc w:val="left"/>
              <w:rPr>
                <w:rFonts w:eastAsia="仿宋" w:cs="Times New Roman"/>
                <w:kern w:val="0"/>
                <w:sz w:val="18"/>
                <w:szCs w:val="18"/>
              </w:rPr>
            </w:pPr>
          </w:p>
        </w:tc>
      </w:tr>
      <w:tr>
        <w:tblPrEx>
          <w:tblCellMar>
            <w:top w:w="0" w:type="dxa"/>
            <w:left w:w="108" w:type="dxa"/>
            <w:bottom w:w="0" w:type="dxa"/>
            <w:right w:w="108" w:type="dxa"/>
          </w:tblCellMar>
        </w:tblPrEx>
        <w:trPr>
          <w:gridAfter w:val="1"/>
          <w:wAfter w:w="222" w:type="dxa"/>
          <w:trHeight w:val="233" w:hRule="atLeast"/>
        </w:trPr>
        <w:tc>
          <w:tcPr>
            <w:tcW w:w="3530" w:type="dxa"/>
            <w:gridSpan w:val="4"/>
            <w:tcBorders>
              <w:top w:val="single" w:color="auto" w:sz="8" w:space="0"/>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　</w:t>
            </w:r>
          </w:p>
        </w:tc>
        <w:tc>
          <w:tcPr>
            <w:tcW w:w="1221" w:type="dxa"/>
            <w:gridSpan w:val="2"/>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　</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　</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left"/>
              <w:rPr>
                <w:rFonts w:eastAsia="仿宋" w:cs="Times New Roman"/>
                <w:b/>
                <w:bCs/>
                <w:kern w:val="0"/>
                <w:sz w:val="18"/>
                <w:szCs w:val="18"/>
              </w:rPr>
            </w:pPr>
            <w:r>
              <w:rPr>
                <w:rFonts w:eastAsia="仿宋" w:cs="Times New Roman"/>
                <w:b/>
                <w:bCs/>
                <w:kern w:val="0"/>
                <w:sz w:val="18"/>
                <w:szCs w:val="18"/>
              </w:rPr>
              <w:t>　</w:t>
            </w:r>
          </w:p>
        </w:tc>
      </w:tr>
      <w:tr>
        <w:tblPrEx>
          <w:tblCellMar>
            <w:top w:w="0" w:type="dxa"/>
            <w:left w:w="108" w:type="dxa"/>
            <w:bottom w:w="0" w:type="dxa"/>
            <w:right w:w="108" w:type="dxa"/>
          </w:tblCellMar>
        </w:tblPrEx>
        <w:trPr>
          <w:trHeight w:val="233" w:hRule="atLeast"/>
        </w:trPr>
        <w:tc>
          <w:tcPr>
            <w:tcW w:w="99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上过大学</w:t>
            </w:r>
          </w:p>
        </w:tc>
        <w:tc>
          <w:tcPr>
            <w:tcW w:w="1185" w:type="dxa"/>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6,507***</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56,837***</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76,747***</w:t>
            </w:r>
          </w:p>
        </w:tc>
        <w:tc>
          <w:tcPr>
            <w:tcW w:w="122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5,627***</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30,192***</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38,639***</w:t>
            </w:r>
          </w:p>
        </w:tc>
        <w:tc>
          <w:tcPr>
            <w:tcW w:w="222" w:type="dxa"/>
            <w:vAlign w:val="bottom"/>
          </w:tcPr>
          <w:p>
            <w:pPr>
              <w:widowControl/>
              <w:ind w:firstLine="0" w:firstLineChars="0"/>
              <w:contextualSpacing w:val="0"/>
              <w:jc w:val="center"/>
              <w:rPr>
                <w:rFonts w:eastAsia="仿宋" w:cs="Times New Roman"/>
                <w:kern w:val="0"/>
                <w:sz w:val="18"/>
                <w:szCs w:val="18"/>
              </w:rPr>
            </w:pPr>
          </w:p>
        </w:tc>
      </w:tr>
      <w:tr>
        <w:tblPrEx>
          <w:tblCellMar>
            <w:top w:w="0" w:type="dxa"/>
            <w:left w:w="108" w:type="dxa"/>
            <w:bottom w:w="0" w:type="dxa"/>
            <w:right w:w="108" w:type="dxa"/>
          </w:tblCellMar>
        </w:tblPrEx>
        <w:trPr>
          <w:trHeight w:val="233" w:hRule="atLeast"/>
        </w:trPr>
        <w:tc>
          <w:tcPr>
            <w:tcW w:w="99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（是=1）</w:t>
            </w:r>
          </w:p>
        </w:tc>
        <w:tc>
          <w:tcPr>
            <w:tcW w:w="1185" w:type="dxa"/>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(439.4)</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(19,251)</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(20,452)</w:t>
            </w:r>
          </w:p>
        </w:tc>
        <w:tc>
          <w:tcPr>
            <w:tcW w:w="122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(396.0)</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(8,678)</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(8,832)</w:t>
            </w:r>
          </w:p>
        </w:tc>
        <w:tc>
          <w:tcPr>
            <w:tcW w:w="222" w:type="dxa"/>
            <w:vAlign w:val="bottom"/>
          </w:tcPr>
          <w:p>
            <w:pPr>
              <w:widowControl/>
              <w:ind w:firstLine="0" w:firstLineChars="0"/>
              <w:contextualSpacing w:val="0"/>
              <w:jc w:val="center"/>
              <w:rPr>
                <w:rFonts w:eastAsia="仿宋" w:cs="Times New Roman"/>
                <w:kern w:val="0"/>
                <w:sz w:val="18"/>
                <w:szCs w:val="18"/>
              </w:rPr>
            </w:pPr>
          </w:p>
        </w:tc>
      </w:tr>
      <w:tr>
        <w:tblPrEx>
          <w:tblCellMar>
            <w:top w:w="0" w:type="dxa"/>
            <w:left w:w="108" w:type="dxa"/>
            <w:bottom w:w="0" w:type="dxa"/>
            <w:right w:w="108" w:type="dxa"/>
          </w:tblCellMar>
        </w:tblPrEx>
        <w:trPr>
          <w:trHeight w:val="233" w:hRule="atLeast"/>
        </w:trPr>
        <w:tc>
          <w:tcPr>
            <w:tcW w:w="99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185"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351" w:type="dxa"/>
            <w:gridSpan w:val="2"/>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351" w:type="dxa"/>
            <w:gridSpan w:val="2"/>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221" w:type="dxa"/>
            <w:gridSpan w:val="2"/>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351" w:type="dxa"/>
            <w:gridSpan w:val="2"/>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p>
        </w:tc>
        <w:tc>
          <w:tcPr>
            <w:tcW w:w="1573" w:type="dxa"/>
            <w:gridSpan w:val="3"/>
            <w:vAlign w:val="bottom"/>
          </w:tcPr>
          <w:p>
            <w:pPr>
              <w:widowControl/>
              <w:ind w:firstLine="0" w:firstLineChars="0"/>
              <w:contextualSpacing w:val="0"/>
              <w:jc w:val="center"/>
              <w:rPr>
                <w:rFonts w:eastAsia="仿宋" w:cs="Times New Roman"/>
                <w:kern w:val="0"/>
                <w:sz w:val="18"/>
                <w:szCs w:val="18"/>
              </w:rPr>
            </w:pPr>
          </w:p>
        </w:tc>
      </w:tr>
      <w:tr>
        <w:tblPrEx>
          <w:tblCellMar>
            <w:top w:w="0" w:type="dxa"/>
            <w:left w:w="108" w:type="dxa"/>
            <w:bottom w:w="0" w:type="dxa"/>
            <w:right w:w="108" w:type="dxa"/>
          </w:tblCellMar>
        </w:tblPrEx>
        <w:trPr>
          <w:trHeight w:val="233" w:hRule="atLeast"/>
        </w:trPr>
        <w:tc>
          <w:tcPr>
            <w:tcW w:w="99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Hansen</w:t>
            </w:r>
          </w:p>
        </w:tc>
        <w:tc>
          <w:tcPr>
            <w:tcW w:w="1185"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1.304</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1.977</w:t>
            </w:r>
          </w:p>
        </w:tc>
        <w:tc>
          <w:tcPr>
            <w:tcW w:w="1221" w:type="dxa"/>
            <w:gridSpan w:val="2"/>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3.593</w:t>
            </w:r>
          </w:p>
        </w:tc>
        <w:tc>
          <w:tcPr>
            <w:tcW w:w="1573" w:type="dxa"/>
            <w:gridSpan w:val="3"/>
          </w:tcPr>
          <w:p>
            <w:pPr>
              <w:widowControl/>
              <w:ind w:firstLine="0" w:firstLineChars="0"/>
              <w:contextualSpacing w:val="0"/>
              <w:jc w:val="center"/>
              <w:rPr>
                <w:rFonts w:eastAsia="仿宋" w:cs="Times New Roman"/>
                <w:kern w:val="0"/>
                <w:sz w:val="18"/>
                <w:szCs w:val="16"/>
              </w:rPr>
            </w:pPr>
            <w:r>
              <w:rPr>
                <w:rFonts w:eastAsia="仿宋" w:cs="Times New Roman"/>
                <w:sz w:val="18"/>
                <w:szCs w:val="16"/>
              </w:rPr>
              <w:t>3.426</w:t>
            </w:r>
          </w:p>
        </w:tc>
      </w:tr>
      <w:tr>
        <w:tblPrEx>
          <w:tblCellMar>
            <w:top w:w="0" w:type="dxa"/>
            <w:left w:w="108" w:type="dxa"/>
            <w:bottom w:w="0" w:type="dxa"/>
            <w:right w:w="108" w:type="dxa"/>
          </w:tblCellMar>
        </w:tblPrEx>
        <w:trPr>
          <w:trHeight w:val="233" w:hRule="atLeast"/>
        </w:trPr>
        <w:tc>
          <w:tcPr>
            <w:tcW w:w="994"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rPr>
              <w:t>P</w:t>
            </w:r>
            <w:r>
              <w:rPr>
                <w:rFonts w:eastAsia="仿宋" w:cs="Times New Roman"/>
                <w:kern w:val="0"/>
                <w:sz w:val="18"/>
                <w:szCs w:val="24"/>
                <w:lang w:val="zh-CN" w:eastAsia="zh-CN"/>
              </w:rPr>
              <w:t>值</w:t>
            </w:r>
          </w:p>
        </w:tc>
        <w:tc>
          <w:tcPr>
            <w:tcW w:w="1185" w:type="dxa"/>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0.861</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0.740</w:t>
            </w:r>
          </w:p>
        </w:tc>
        <w:tc>
          <w:tcPr>
            <w:tcW w:w="1221" w:type="dxa"/>
            <w:gridSpan w:val="2"/>
            <w:tcBorders>
              <w:top w:val="nil"/>
              <w:left w:val="nil"/>
              <w:bottom w:val="nil"/>
              <w:right w:val="nil"/>
            </w:tcBorders>
            <w:shd w:val="clear" w:color="auto" w:fill="auto"/>
            <w:noWrap/>
            <w:vAlign w:val="bottom"/>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24"/>
                <w:lang w:val="zh-CN" w:eastAsia="zh-CN"/>
              </w:rPr>
              <w:t>--</w:t>
            </w:r>
          </w:p>
        </w:tc>
        <w:tc>
          <w:tcPr>
            <w:tcW w:w="1351" w:type="dxa"/>
            <w:gridSpan w:val="2"/>
            <w:tcBorders>
              <w:top w:val="nil"/>
              <w:left w:val="nil"/>
              <w:bottom w:val="nil"/>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0.464</w:t>
            </w:r>
          </w:p>
        </w:tc>
        <w:tc>
          <w:tcPr>
            <w:tcW w:w="1573" w:type="dxa"/>
            <w:gridSpan w:val="3"/>
          </w:tcPr>
          <w:p>
            <w:pPr>
              <w:widowControl/>
              <w:ind w:firstLine="0" w:firstLineChars="0"/>
              <w:contextualSpacing w:val="0"/>
              <w:jc w:val="center"/>
              <w:rPr>
                <w:rFonts w:eastAsia="仿宋" w:cs="Times New Roman"/>
                <w:kern w:val="0"/>
                <w:sz w:val="18"/>
                <w:szCs w:val="16"/>
              </w:rPr>
            </w:pPr>
            <w:r>
              <w:rPr>
                <w:rFonts w:eastAsia="仿宋" w:cs="Times New Roman"/>
                <w:sz w:val="18"/>
                <w:szCs w:val="16"/>
              </w:rPr>
              <w:t>0.489</w:t>
            </w:r>
          </w:p>
        </w:tc>
      </w:tr>
      <w:tr>
        <w:tblPrEx>
          <w:tblCellMar>
            <w:top w:w="0" w:type="dxa"/>
            <w:left w:w="108" w:type="dxa"/>
            <w:bottom w:w="0" w:type="dxa"/>
            <w:right w:w="108" w:type="dxa"/>
          </w:tblCellMar>
        </w:tblPrEx>
        <w:trPr>
          <w:gridAfter w:val="1"/>
          <w:wAfter w:w="222" w:type="dxa"/>
          <w:trHeight w:val="240" w:hRule="atLeast"/>
        </w:trPr>
        <w:tc>
          <w:tcPr>
            <w:tcW w:w="994" w:type="dxa"/>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c>
          <w:tcPr>
            <w:tcW w:w="1185" w:type="dxa"/>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c>
          <w:tcPr>
            <w:tcW w:w="1351" w:type="dxa"/>
            <w:gridSpan w:val="2"/>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c>
          <w:tcPr>
            <w:tcW w:w="1351" w:type="dxa"/>
            <w:gridSpan w:val="2"/>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c>
          <w:tcPr>
            <w:tcW w:w="1221" w:type="dxa"/>
            <w:gridSpan w:val="2"/>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c>
          <w:tcPr>
            <w:tcW w:w="1351" w:type="dxa"/>
            <w:gridSpan w:val="2"/>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c>
          <w:tcPr>
            <w:tcW w:w="1351" w:type="dxa"/>
            <w:gridSpan w:val="2"/>
            <w:tcBorders>
              <w:top w:val="nil"/>
              <w:left w:val="nil"/>
              <w:bottom w:val="single" w:color="auto" w:sz="8" w:space="0"/>
              <w:right w:val="nil"/>
            </w:tcBorders>
            <w:shd w:val="clear" w:color="auto" w:fill="auto"/>
            <w:noWrap/>
            <w:vAlign w:val="bottom"/>
          </w:tcPr>
          <w:p>
            <w:pPr>
              <w:widowControl/>
              <w:ind w:firstLine="0" w:firstLineChars="0"/>
              <w:contextualSpacing w:val="0"/>
              <w:jc w:val="left"/>
              <w:rPr>
                <w:rFonts w:eastAsia="仿宋" w:cs="Times New Roman"/>
                <w:kern w:val="0"/>
                <w:sz w:val="18"/>
                <w:szCs w:val="18"/>
              </w:rPr>
            </w:pPr>
            <w:r>
              <w:rPr>
                <w:rFonts w:eastAsia="仿宋" w:cs="Times New Roman"/>
                <w:kern w:val="0"/>
                <w:sz w:val="18"/>
                <w:szCs w:val="18"/>
              </w:rPr>
              <w:t>　</w:t>
            </w:r>
          </w:p>
        </w:tc>
      </w:tr>
      <w:tr>
        <w:tblPrEx>
          <w:tblCellMar>
            <w:top w:w="0" w:type="dxa"/>
            <w:left w:w="108" w:type="dxa"/>
            <w:bottom w:w="0" w:type="dxa"/>
            <w:right w:w="108" w:type="dxa"/>
          </w:tblCellMar>
        </w:tblPrEx>
        <w:trPr>
          <w:gridAfter w:val="1"/>
          <w:wAfter w:w="222" w:type="dxa"/>
          <w:trHeight w:val="233" w:hRule="atLeast"/>
        </w:trPr>
        <w:tc>
          <w:tcPr>
            <w:tcW w:w="99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城市和年份固定效应</w:t>
            </w:r>
          </w:p>
        </w:tc>
        <w:tc>
          <w:tcPr>
            <w:tcW w:w="1185"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r>
      <w:tr>
        <w:tblPrEx>
          <w:tblCellMar>
            <w:top w:w="0" w:type="dxa"/>
            <w:left w:w="108" w:type="dxa"/>
            <w:bottom w:w="0" w:type="dxa"/>
            <w:right w:w="108" w:type="dxa"/>
          </w:tblCellMar>
        </w:tblPrEx>
        <w:trPr>
          <w:gridAfter w:val="1"/>
          <w:wAfter w:w="222" w:type="dxa"/>
          <w:trHeight w:val="240" w:hRule="atLeast"/>
        </w:trPr>
        <w:tc>
          <w:tcPr>
            <w:tcW w:w="994"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性别、年龄及交互项</w:t>
            </w:r>
          </w:p>
        </w:tc>
        <w:tc>
          <w:tcPr>
            <w:tcW w:w="1185" w:type="dxa"/>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22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c>
          <w:tcPr>
            <w:tcW w:w="1351" w:type="dxa"/>
            <w:gridSpan w:val="2"/>
            <w:tcBorders>
              <w:top w:val="nil"/>
              <w:left w:val="nil"/>
              <w:bottom w:val="nil"/>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是</w:t>
            </w:r>
          </w:p>
        </w:tc>
      </w:tr>
      <w:tr>
        <w:tblPrEx>
          <w:tblCellMar>
            <w:top w:w="0" w:type="dxa"/>
            <w:left w:w="108" w:type="dxa"/>
            <w:bottom w:w="0" w:type="dxa"/>
            <w:right w:w="108" w:type="dxa"/>
          </w:tblCellMar>
        </w:tblPrEx>
        <w:trPr>
          <w:gridAfter w:val="1"/>
          <w:wAfter w:w="222" w:type="dxa"/>
          <w:trHeight w:val="240" w:hRule="atLeast"/>
        </w:trPr>
        <w:tc>
          <w:tcPr>
            <w:tcW w:w="994" w:type="dxa"/>
            <w:tcBorders>
              <w:top w:val="nil"/>
              <w:left w:val="nil"/>
              <w:bottom w:val="double" w:color="auto" w:sz="6" w:space="0"/>
              <w:right w:val="nil"/>
            </w:tcBorders>
            <w:shd w:val="clear" w:color="auto" w:fill="auto"/>
            <w:noWrap/>
            <w:vAlign w:val="center"/>
          </w:tcPr>
          <w:p>
            <w:pPr>
              <w:widowControl/>
              <w:ind w:firstLine="0" w:firstLineChars="0"/>
              <w:contextualSpacing w:val="0"/>
              <w:jc w:val="center"/>
              <w:rPr>
                <w:rFonts w:eastAsia="仿宋" w:cs="Times New Roman"/>
                <w:kern w:val="0"/>
                <w:sz w:val="18"/>
                <w:szCs w:val="18"/>
              </w:rPr>
            </w:pPr>
            <w:r>
              <w:rPr>
                <w:rFonts w:eastAsia="仿宋" w:cs="Times New Roman"/>
                <w:kern w:val="0"/>
                <w:sz w:val="18"/>
                <w:szCs w:val="18"/>
              </w:rPr>
              <w:t>样本量</w:t>
            </w:r>
          </w:p>
        </w:tc>
        <w:tc>
          <w:tcPr>
            <w:tcW w:w="1185" w:type="dxa"/>
            <w:tcBorders>
              <w:top w:val="nil"/>
              <w:left w:val="nil"/>
              <w:bottom w:val="double" w:color="auto" w:sz="6" w:space="0"/>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275,998</w:t>
            </w:r>
          </w:p>
        </w:tc>
        <w:tc>
          <w:tcPr>
            <w:tcW w:w="1351" w:type="dxa"/>
            <w:gridSpan w:val="2"/>
            <w:tcBorders>
              <w:top w:val="nil"/>
              <w:left w:val="nil"/>
              <w:bottom w:val="double" w:color="auto" w:sz="6" w:space="0"/>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275,998</w:t>
            </w:r>
          </w:p>
        </w:tc>
        <w:tc>
          <w:tcPr>
            <w:tcW w:w="1351" w:type="dxa"/>
            <w:gridSpan w:val="2"/>
            <w:tcBorders>
              <w:top w:val="nil"/>
              <w:left w:val="nil"/>
              <w:bottom w:val="double" w:color="auto" w:sz="6" w:space="0"/>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275,998</w:t>
            </w:r>
          </w:p>
        </w:tc>
        <w:tc>
          <w:tcPr>
            <w:tcW w:w="1221" w:type="dxa"/>
            <w:gridSpan w:val="2"/>
            <w:tcBorders>
              <w:top w:val="nil"/>
              <w:left w:val="nil"/>
              <w:bottom w:val="double" w:color="auto" w:sz="6" w:space="0"/>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156,765</w:t>
            </w:r>
          </w:p>
        </w:tc>
        <w:tc>
          <w:tcPr>
            <w:tcW w:w="1351" w:type="dxa"/>
            <w:gridSpan w:val="2"/>
            <w:tcBorders>
              <w:top w:val="nil"/>
              <w:left w:val="nil"/>
              <w:bottom w:val="double" w:color="auto" w:sz="6" w:space="0"/>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156,765</w:t>
            </w:r>
          </w:p>
        </w:tc>
        <w:tc>
          <w:tcPr>
            <w:tcW w:w="1351" w:type="dxa"/>
            <w:gridSpan w:val="2"/>
            <w:tcBorders>
              <w:top w:val="nil"/>
              <w:left w:val="nil"/>
              <w:bottom w:val="double" w:color="auto" w:sz="6" w:space="0"/>
              <w:right w:val="nil"/>
            </w:tcBorders>
            <w:shd w:val="clear" w:color="auto" w:fill="auto"/>
            <w:noWrap/>
          </w:tcPr>
          <w:p>
            <w:pPr>
              <w:widowControl/>
              <w:ind w:firstLine="0" w:firstLineChars="0"/>
              <w:contextualSpacing w:val="0"/>
              <w:jc w:val="center"/>
              <w:rPr>
                <w:rFonts w:eastAsia="仿宋" w:cs="Times New Roman"/>
                <w:kern w:val="0"/>
                <w:sz w:val="18"/>
                <w:szCs w:val="16"/>
              </w:rPr>
            </w:pPr>
            <w:r>
              <w:rPr>
                <w:rFonts w:eastAsia="仿宋" w:cs="Times New Roman"/>
                <w:sz w:val="18"/>
                <w:szCs w:val="16"/>
              </w:rPr>
              <w:t>156,765</w:t>
            </w:r>
          </w:p>
        </w:tc>
      </w:tr>
    </w:tbl>
    <w:p>
      <w:pPr>
        <w:pStyle w:val="16"/>
        <w:jc w:val="both"/>
        <w:rPr>
          <w:rFonts w:eastAsia="仿宋" w:cs="Times New Roman"/>
          <w:bCs/>
          <w:szCs w:val="22"/>
          <w:lang w:val="en-US" w:eastAsia="zh-CN"/>
        </w:rPr>
      </w:pPr>
      <w:r>
        <w:rPr>
          <w:rFonts w:hint="eastAsia" w:eastAsia="仿宋" w:cs="Times New Roman"/>
          <w:bCs/>
          <w:szCs w:val="22"/>
          <w:lang w:val="en-US" w:eastAsia="zh-CN"/>
        </w:rPr>
        <w:t>注：数据来源为UHS 1999-2007年样本，相关结果为根据OLS和2SLS方法进行估计得到，其中2SLS-1基于城市1998年高等院校数的二元分组变量与2003年前后的交互项进行估计，2SLS-2基于连续强度变量与2003年前后的交互项进行估计。括号内是聚类在城市层面的稳健性标准误，*、**、***分别表示在10%、5%、1%的水平上显著。</w:t>
      </w:r>
    </w:p>
    <w:p>
      <w:pPr>
        <w:ind w:firstLine="0" w:firstLineChars="0"/>
        <w:rPr>
          <w:rFonts w:cs="Times New Roman"/>
          <w:b/>
          <w:bCs/>
          <w:sz w:val="24"/>
          <w:szCs w:val="22"/>
        </w:rPr>
      </w:pPr>
    </w:p>
    <w:p>
      <w:pPr>
        <w:ind w:firstLine="0" w:firstLineChars="0"/>
        <w:rPr>
          <w:rFonts w:cs="Times New Roman"/>
          <w:b/>
          <w:bCs/>
          <w:sz w:val="24"/>
          <w:szCs w:val="22"/>
        </w:rPr>
      </w:pPr>
    </w:p>
    <w:p>
      <w:pPr>
        <w:ind w:firstLine="0" w:firstLineChars="0"/>
        <w:rPr>
          <w:rFonts w:cs="Times New Roman"/>
          <w:b/>
          <w:bCs/>
          <w:sz w:val="24"/>
          <w:szCs w:val="22"/>
        </w:rPr>
      </w:pPr>
    </w:p>
    <w:p>
      <w:pPr>
        <w:ind w:firstLine="0" w:firstLineChars="0"/>
        <w:jc w:val="center"/>
        <w:rPr>
          <w:rFonts w:hint="eastAsia" w:ascii="楷体" w:hAnsi="楷体" w:eastAsia="楷体" w:cs="楷体"/>
          <w:b/>
          <w:bCs/>
          <w:sz w:val="28"/>
          <w:szCs w:val="24"/>
        </w:rPr>
      </w:pPr>
      <w:r>
        <w:rPr>
          <w:rFonts w:hint="eastAsia" w:ascii="楷体" w:hAnsi="楷体" w:eastAsia="楷体" w:cs="楷体"/>
          <w:b/>
          <w:bCs/>
          <w:sz w:val="28"/>
          <w:szCs w:val="24"/>
        </w:rPr>
        <w:t>参考文献</w:t>
      </w:r>
    </w:p>
    <w:p>
      <w:pPr>
        <w:numPr>
          <w:ilvl w:val="0"/>
          <w:numId w:val="1"/>
        </w:numPr>
        <w:ind w:firstLineChars="0"/>
        <w:jc w:val="left"/>
        <w:rPr>
          <w:rFonts w:eastAsia="仿宋" w:cs="Times New Roman"/>
          <w:szCs w:val="21"/>
        </w:rPr>
      </w:pPr>
      <w:r>
        <w:rPr>
          <w:rFonts w:hint="eastAsia" w:eastAsia="仿宋" w:cs="Times New Roman"/>
          <w:szCs w:val="21"/>
        </w:rPr>
        <w:t>葛润、黄家林，“大学扩招是否影响了结婚与生育”，《经济学报》，2020年第3期，第168</w:t>
      </w:r>
      <w:r>
        <w:rPr>
          <w:rFonts w:eastAsia="仿宋" w:cs="Times New Roman"/>
          <w:szCs w:val="21"/>
        </w:rPr>
        <w:t>—</w:t>
      </w:r>
      <w:r>
        <w:rPr>
          <w:rFonts w:hint="eastAsia" w:eastAsia="仿宋" w:cs="Times New Roman"/>
          <w:szCs w:val="21"/>
        </w:rPr>
        <w:t>201页。</w:t>
      </w:r>
    </w:p>
    <w:p>
      <w:pPr>
        <w:numPr>
          <w:ilvl w:val="0"/>
          <w:numId w:val="1"/>
        </w:numPr>
        <w:ind w:firstLineChars="0"/>
        <w:jc w:val="left"/>
        <w:rPr>
          <w:rFonts w:eastAsia="仿宋" w:cs="Times New Roman"/>
          <w:szCs w:val="21"/>
        </w:rPr>
      </w:pPr>
      <w:r>
        <w:rPr>
          <w:rFonts w:hint="eastAsia" w:eastAsia="仿宋" w:cs="Times New Roman"/>
          <w:szCs w:val="21"/>
        </w:rPr>
        <w:t>宁光杰、段乐乐，“流动人口的创业选择与收入——户籍的作用及改革启示”</w:t>
      </w:r>
      <w:r>
        <w:rPr>
          <w:rFonts w:eastAsia="仿宋" w:cs="Times New Roman"/>
          <w:szCs w:val="21"/>
        </w:rPr>
        <w:t xml:space="preserve"> ，《经济学（季刊）》，</w:t>
      </w:r>
      <w:r>
        <w:rPr>
          <w:rFonts w:hint="eastAsia" w:eastAsia="仿宋" w:cs="Times New Roman"/>
          <w:szCs w:val="21"/>
        </w:rPr>
        <w:t xml:space="preserve"> 2017年第2期，第771</w:t>
      </w:r>
      <w:r>
        <w:rPr>
          <w:rFonts w:eastAsia="仿宋" w:cs="Times New Roman"/>
          <w:szCs w:val="21"/>
        </w:rPr>
        <w:t>—</w:t>
      </w:r>
      <w:r>
        <w:rPr>
          <w:rFonts w:hint="eastAsia" w:eastAsia="仿宋" w:cs="Times New Roman"/>
          <w:szCs w:val="21"/>
        </w:rPr>
        <w:t>792页。</w:t>
      </w:r>
    </w:p>
    <w:p>
      <w:pPr>
        <w:numPr>
          <w:ilvl w:val="0"/>
          <w:numId w:val="1"/>
        </w:numPr>
        <w:ind w:firstLineChars="0"/>
        <w:jc w:val="left"/>
        <w:rPr>
          <w:rFonts w:eastAsia="仿宋" w:cs="Times New Roman"/>
          <w:szCs w:val="21"/>
        </w:rPr>
      </w:pPr>
      <w:r>
        <w:rPr>
          <w:rFonts w:hint="eastAsia" w:eastAsia="仿宋" w:cs="Times New Roman"/>
          <w:szCs w:val="21"/>
        </w:rPr>
        <w:t>张原、陈建奇，“人力资本还是行业特征:中国行业间工资回报差异的成因分析”，《世界经济》，2008年第5期，第68</w:t>
      </w:r>
      <w:r>
        <w:rPr>
          <w:rFonts w:eastAsia="仿宋" w:cs="Times New Roman"/>
          <w:szCs w:val="21"/>
        </w:rPr>
        <w:t>—</w:t>
      </w:r>
      <w:r>
        <w:rPr>
          <w:rFonts w:hint="eastAsia" w:eastAsia="仿宋" w:cs="Times New Roman"/>
          <w:szCs w:val="21"/>
        </w:rPr>
        <w:t>80页。</w:t>
      </w:r>
    </w:p>
    <w:p>
      <w:pPr>
        <w:numPr>
          <w:ilvl w:val="0"/>
          <w:numId w:val="1"/>
        </w:numPr>
        <w:ind w:firstLineChars="0"/>
        <w:jc w:val="left"/>
        <w:rPr>
          <w:rFonts w:eastAsia="仿宋" w:cs="Times New Roman"/>
          <w:szCs w:val="21"/>
        </w:rPr>
      </w:pPr>
      <w:r>
        <w:rPr>
          <w:rFonts w:eastAsia="仿宋" w:cs="Times New Roman"/>
          <w:szCs w:val="21"/>
        </w:rPr>
        <w:t>周茂、李雨浓、姚星、陆毅，“人力资本扩张与中国城市制造业出口升级：来自高校扩招的证据”，《管理世界》，2019年第5期，第64—77+198—199页。</w:t>
      </w:r>
    </w:p>
    <w:p>
      <w:pPr>
        <w:ind w:firstLine="0" w:firstLineChars="0"/>
        <w:rPr>
          <w:rFonts w:eastAsia="仿宋" w:cs="Times New Roman"/>
          <w:bCs/>
          <w:kern w:val="0"/>
          <w:sz w:val="18"/>
          <w:szCs w:val="22"/>
        </w:rPr>
      </w:pPr>
    </w:p>
    <w:p>
      <w:pPr>
        <w:ind w:firstLine="0" w:firstLineChars="0"/>
        <w:rPr>
          <w:rFonts w:eastAsia="仿宋" w:cs="Times New Roman"/>
          <w:bCs/>
          <w:kern w:val="0"/>
          <w:sz w:val="18"/>
          <w:szCs w:val="22"/>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宋体" w:hAnsi="宋体" w:cs="Arial"/>
          <w:b/>
          <w:bCs/>
          <w:color w:val="auto"/>
          <w:kern w:val="0"/>
          <w:szCs w:val="21"/>
        </w:rPr>
      </w:pPr>
      <w:r>
        <w:rPr>
          <w:rFonts w:hint="eastAsia" w:ascii="Calibri" w:hAnsi="Calibri" w:cs="Times New Roman"/>
          <w:b/>
          <w:color w:val="auto"/>
          <w:szCs w:val="22"/>
        </w:rPr>
        <w:t>注：该附录是期刊所发表论文的组成部分，同样视为作者公开发表的内容。如研究中使用该附录中的内容，</w:t>
      </w:r>
      <w:r>
        <w:rPr>
          <w:rFonts w:hint="eastAsia" w:ascii="宋体" w:hAnsi="宋体" w:cs="Arial"/>
          <w:b/>
          <w:bCs/>
          <w:color w:val="auto"/>
          <w:kern w:val="0"/>
          <w:szCs w:val="21"/>
        </w:rPr>
        <w:t>请务必在研究成果上注明</w:t>
      </w:r>
      <w:r>
        <w:rPr>
          <w:rFonts w:hint="eastAsia" w:ascii="宋体" w:hAnsi="宋体" w:cs="Arial"/>
          <w:b/>
          <w:bCs/>
          <w:color w:val="auto"/>
          <w:kern w:val="0"/>
          <w:szCs w:val="21"/>
          <w:lang w:val="en-US" w:eastAsia="zh-CN"/>
        </w:rPr>
        <w:t>附录</w:t>
      </w:r>
      <w:r>
        <w:rPr>
          <w:rFonts w:hint="eastAsia" w:ascii="宋体" w:hAnsi="宋体" w:cs="Arial"/>
          <w:b/>
          <w:bCs/>
          <w:color w:val="auto"/>
          <w:kern w:val="0"/>
          <w:szCs w:val="21"/>
        </w:rPr>
        <w:t>下载出处</w:t>
      </w:r>
      <w:r>
        <w:rPr>
          <w:rFonts w:hint="eastAsia" w:ascii="宋体" w:hAnsi="宋体" w:cs="Arial"/>
          <w:color w:val="auto"/>
          <w:kern w:val="0"/>
          <w:szCs w:val="21"/>
        </w:rPr>
        <w:t>。</w:t>
      </w:r>
    </w:p>
    <w:p>
      <w:pPr>
        <w:ind w:firstLine="0" w:firstLineChars="0"/>
        <w:rPr>
          <w:rFonts w:eastAsia="仿宋" w:cs="Times New Roman"/>
          <w:bCs/>
          <w:kern w:val="0"/>
          <w:sz w:val="18"/>
          <w:szCs w:val="22"/>
        </w:rPr>
      </w:pPr>
    </w:p>
    <w:sectPr>
      <w:footerReference r:id="rId11" w:type="default"/>
      <w:pgSz w:w="11906" w:h="16838"/>
      <w:pgMar w:top="1440" w:right="1440" w:bottom="1440" w:left="1440" w:header="851" w:footer="992" w:gutter="0"/>
      <w:pgNumType w:start="1"/>
      <w:cols w:space="425" w:num="1"/>
      <w:docGrid w:type="linesAndChars" w:linePitch="357" w:charSpace="-24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396"/>
      </w:pPr>
      <w:r>
        <w:separator/>
      </w:r>
    </w:p>
  </w:endnote>
  <w:endnote w:type="continuationSeparator" w:id="1">
    <w:p>
      <w:pPr>
        <w:ind w:firstLine="39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Light">
    <w:altName w:val="宋体"/>
    <w:panose1 w:val="00000000000000000000"/>
    <w:charset w:val="86"/>
    <w:family w:val="roman"/>
    <w:pitch w:val="default"/>
    <w:sig w:usb0="00000000" w:usb1="00000000" w:usb2="00000016" w:usb3="00000000" w:csb0="00060107"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LM Roman 10">
    <w:altName w:val="Segoe Print"/>
    <w:panose1 w:val="00000000000000000000"/>
    <w:charset w:val="00"/>
    <w:family w:val="modern"/>
    <w:pitch w:val="default"/>
    <w:sig w:usb0="00000000" w:usb1="00000000" w:usb2="00000000" w:usb3="00000000" w:csb0="00000193" w:csb1="00000000"/>
  </w:font>
  <w:font w:name="Courier New">
    <w:panose1 w:val="02070309020205020404"/>
    <w:charset w:val="00"/>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Œ¶Wˇ">
    <w:altName w:val="Segoe Print"/>
    <w:panose1 w:val="00000000000000000000"/>
    <w:charset w:val="4D"/>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6458781"/>
      <w:docPartObj>
        <w:docPartGallery w:val="autotext"/>
      </w:docPartObj>
    </w:sdtPr>
    <w:sdtContent>
      <w:p>
        <w:pPr>
          <w:pStyle w:val="19"/>
          <w:ind w:firstLine="360"/>
          <w:jc w:val="center"/>
        </w:pPr>
        <w:r>
          <w:fldChar w:fldCharType="begin"/>
        </w:r>
        <w:r>
          <w:instrText xml:space="preserve">PAGE   \* MERGEFORMAT</w:instrText>
        </w:r>
        <w:r>
          <w:fldChar w:fldCharType="separate"/>
        </w:r>
        <w:r>
          <w:rPr>
            <w:lang w:val="zh-CN"/>
          </w:rPr>
          <w:t>16</w:t>
        </w:r>
        <w:r>
          <w:fldChar w:fldCharType="end"/>
        </w:r>
      </w:p>
    </w:sdtContent>
  </w:sdt>
  <w:p>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ind w:firstLine="396"/>
      </w:pPr>
      <w:r>
        <w:separator/>
      </w:r>
    </w:p>
  </w:footnote>
  <w:footnote w:type="continuationSeparator" w:id="7">
    <w:p>
      <w:pPr>
        <w:ind w:firstLine="396"/>
      </w:pPr>
      <w:r>
        <w:continuationSeparator/>
      </w:r>
    </w:p>
  </w:footnote>
  <w:footnote w:id="0">
    <w:p>
      <w:pPr>
        <w:pStyle w:val="24"/>
        <w:ind w:firstLine="336"/>
      </w:pPr>
      <w:r>
        <w:rPr>
          <w:rStyle w:val="37"/>
        </w:rPr>
        <w:footnoteRef/>
      </w:r>
      <w:r>
        <w:t xml:space="preserve"> </w:t>
      </w:r>
      <w:r>
        <w:rPr>
          <w:rFonts w:hint="eastAsia" w:eastAsia="仿宋" w:cs="Times New Roman"/>
          <w:lang w:eastAsia="zh-CN"/>
        </w:rPr>
        <w:t xml:space="preserve"> 在</w:t>
      </w:r>
      <w:r>
        <w:rPr>
          <w:rFonts w:eastAsia="仿宋" w:cs="Times New Roman"/>
          <w:lang w:eastAsia="zh-CN"/>
        </w:rPr>
        <w:t>1999</w:t>
      </w:r>
      <w:r>
        <w:rPr>
          <w:rFonts w:hint="eastAsia" w:eastAsia="仿宋" w:cs="Times New Roman"/>
          <w:lang w:eastAsia="zh-CN"/>
        </w:rPr>
        <w:t>年推动的高校扩招等大学教育改革中，其中的高等院校既包括大学等本科院校，也包括职业学院等专科院校。因此，为了尽可能准确地捕捉政策影响，我们将受教育程度为大学专科及以上的群体均定义为大学毕业生。</w:t>
      </w:r>
    </w:p>
  </w:footnote>
  <w:footnote w:id="1">
    <w:p>
      <w:pPr>
        <w:pStyle w:val="24"/>
        <w:ind w:firstLine="336"/>
        <w:rPr>
          <w:rFonts w:eastAsia="仿宋" w:cs="Times New Roman"/>
          <w:lang w:eastAsia="zh-CN"/>
        </w:rPr>
      </w:pPr>
      <w:r>
        <w:rPr>
          <w:rStyle w:val="37"/>
        </w:rPr>
        <w:footnoteRef/>
      </w:r>
      <w:r>
        <w:t xml:space="preserve"> </w:t>
      </w:r>
      <w:r>
        <w:rPr>
          <w:rFonts w:hint="eastAsia" w:eastAsia="仿宋" w:cs="Times New Roman"/>
          <w:lang w:eastAsia="zh-CN"/>
        </w:rPr>
        <w:t>个人收入变量为包含工薪收入、经营净收入、财产性收入、转移性收入等的总收入，且该变量是在年份层面进行测度。我们选择个人总收入的原因在于该指标能够较为全面地反映个体收入的变化，进而保证人力资本外溢效应效果估计的准确性。</w:t>
      </w:r>
    </w:p>
  </w:footnote>
  <w:footnote w:id="2">
    <w:p>
      <w:pPr>
        <w:pStyle w:val="24"/>
        <w:ind w:firstLine="336"/>
        <w:rPr>
          <w:lang w:eastAsia="zh-CN"/>
        </w:rPr>
      </w:pPr>
      <w:r>
        <w:rPr>
          <w:rStyle w:val="37"/>
        </w:rPr>
        <w:footnoteRef/>
      </w:r>
      <w:r>
        <w:t xml:space="preserve"> </w:t>
      </w:r>
      <w:r>
        <w:rPr>
          <w:rFonts w:hint="eastAsia" w:eastAsia="仿宋" w:cs="Times New Roman"/>
          <w:lang w:val="en-US"/>
        </w:rPr>
        <w:t>例如，对于一个子代出生于</w:t>
      </w:r>
      <w:r>
        <w:rPr>
          <w:rFonts w:eastAsia="仿宋" w:cs="Times New Roman"/>
          <w:lang w:val="en-US"/>
        </w:rPr>
        <w:t>1960</w:t>
      </w:r>
      <w:r>
        <w:rPr>
          <w:rFonts w:hint="eastAsia" w:eastAsia="仿宋" w:cs="Times New Roman"/>
          <w:lang w:val="en-US"/>
        </w:rPr>
        <w:t>年后</w:t>
      </w:r>
      <w:r>
        <w:rPr>
          <w:rFonts w:hint="eastAsia" w:eastAsia="仿宋" w:cs="Times New Roman"/>
          <w:lang w:val="en-US" w:eastAsia="zh-CN"/>
        </w:rPr>
        <w:t>、</w:t>
      </w:r>
      <w:r>
        <w:rPr>
          <w:rFonts w:hint="eastAsia" w:eastAsia="仿宋" w:cs="Times New Roman"/>
          <w:lang w:val="en-US"/>
        </w:rPr>
        <w:t>父代出生于</w:t>
      </w:r>
      <w:r>
        <w:rPr>
          <w:rFonts w:eastAsia="仿宋" w:cs="Times New Roman"/>
          <w:lang w:val="en-US"/>
        </w:rPr>
        <w:t>1960</w:t>
      </w:r>
      <w:r>
        <w:rPr>
          <w:rFonts w:hint="eastAsia" w:eastAsia="仿宋" w:cs="Times New Roman"/>
          <w:lang w:val="en-US"/>
        </w:rPr>
        <w:t>年前的家庭而言，尽管父代不会因直接受到扩招政策影响而获得人力资本提高以及个人收入改善，但由于子代在获得人力资本提高后可以通过家庭内部的人力资本溢出效应途径改善父代的收入状况，因此最终可以观察到，扩招政策使得出生于</w:t>
      </w:r>
      <w:r>
        <w:rPr>
          <w:rFonts w:eastAsia="仿宋" w:cs="Times New Roman"/>
          <w:lang w:val="en-US"/>
        </w:rPr>
        <w:t>1960</w:t>
      </w:r>
      <w:r>
        <w:rPr>
          <w:rFonts w:hint="eastAsia" w:eastAsia="仿宋" w:cs="Times New Roman"/>
          <w:lang w:val="en-US"/>
        </w:rPr>
        <w:t>年前队列中处理组的个人收入也出现了显著提高。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0" w:leftChars="0" w:firstLine="0" w:firstLineChars="0"/>
      <w:rPr>
        <w:rFonts w:hint="eastAsia" w:ascii="仿宋" w:hAnsi="仿宋" w:eastAsia="仿宋" w:cs="仿宋"/>
        <w:sz w:val="18"/>
        <w:szCs w:val="16"/>
        <w:lang w:val="en-US" w:eastAsia="zh-CN"/>
      </w:rPr>
    </w:pPr>
    <w:r>
      <w:rPr>
        <w:rFonts w:hint="eastAsia" w:ascii="仿宋" w:hAnsi="仿宋" w:eastAsia="仿宋" w:cs="仿宋"/>
        <w:sz w:val="18"/>
        <w:szCs w:val="16"/>
        <w:lang w:eastAsia="zh-CN"/>
      </w:rPr>
      <w:t>《</w:t>
    </w:r>
    <w:r>
      <w:rPr>
        <w:rFonts w:hint="eastAsia" w:ascii="仿宋" w:hAnsi="仿宋" w:eastAsia="仿宋" w:cs="仿宋"/>
        <w:sz w:val="18"/>
        <w:szCs w:val="16"/>
        <w:lang w:val="en-US" w:eastAsia="zh-CN"/>
      </w:rPr>
      <w:t>经济学</w:t>
    </w:r>
    <w:r>
      <w:rPr>
        <w:rFonts w:hint="eastAsia" w:ascii="仿宋" w:hAnsi="仿宋" w:eastAsia="仿宋" w:cs="仿宋"/>
        <w:sz w:val="18"/>
        <w:szCs w:val="16"/>
        <w:lang w:eastAsia="zh-CN"/>
      </w:rPr>
      <w:t>》（</w:t>
    </w:r>
    <w:r>
      <w:rPr>
        <w:rFonts w:hint="eastAsia" w:ascii="仿宋" w:hAnsi="仿宋" w:eastAsia="仿宋" w:cs="仿宋"/>
        <w:sz w:val="18"/>
        <w:szCs w:val="16"/>
        <w:lang w:val="en-US" w:eastAsia="zh-CN"/>
      </w:rPr>
      <w:t>季刊</w:t>
    </w:r>
    <w:r>
      <w:rPr>
        <w:rFonts w:hint="eastAsia" w:ascii="仿宋" w:hAnsi="仿宋" w:eastAsia="仿宋" w:cs="仿宋"/>
        <w:sz w:val="18"/>
        <w:szCs w:val="16"/>
        <w:lang w:eastAsia="zh-CN"/>
      </w:rPr>
      <w:t>）</w:t>
    </w:r>
    <w:r>
      <w:rPr>
        <w:rFonts w:hint="eastAsia" w:ascii="仿宋" w:hAnsi="仿宋" w:eastAsia="仿宋" w:cs="仿宋"/>
        <w:sz w:val="18"/>
        <w:szCs w:val="16"/>
        <w:lang w:val="en-US" w:eastAsia="zh-CN"/>
      </w:rPr>
      <w:t xml:space="preserve">                                                                      2024年第2期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DF553B"/>
    <w:multiLevelType w:val="multilevel"/>
    <w:tmpl w:val="57DF553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drawingGridHorizontalSpacing w:val="99"/>
  <w:drawingGridVerticalSpacing w:val="357"/>
  <w:displayHorizontalDrawingGridEvery w:val="2"/>
  <w:characterSpacingControl w:val="doNotCompress"/>
  <w:footnotePr>
    <w:footnote w:id="6"/>
    <w:footnote w:id="7"/>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cwNjc0NDA3MzI1NjBQ0lEKTi0uzszPAykwNK0FAPJH1GQtAAAA"/>
    <w:docVar w:name="commondata" w:val="eyJoZGlkIjoiZDAxNWZhMmRiMTY5YWI4NjAwOTAyNmUyMjJkNDE2NTcifQ=="/>
  </w:docVars>
  <w:rsids>
    <w:rsidRoot w:val="00D14D49"/>
    <w:rsid w:val="00000400"/>
    <w:rsid w:val="00000535"/>
    <w:rsid w:val="00000723"/>
    <w:rsid w:val="0000093D"/>
    <w:rsid w:val="00000F9A"/>
    <w:rsid w:val="000010A9"/>
    <w:rsid w:val="000020D6"/>
    <w:rsid w:val="00002243"/>
    <w:rsid w:val="00002435"/>
    <w:rsid w:val="00002597"/>
    <w:rsid w:val="00002E41"/>
    <w:rsid w:val="00003FB0"/>
    <w:rsid w:val="000049EC"/>
    <w:rsid w:val="000050E7"/>
    <w:rsid w:val="000057F2"/>
    <w:rsid w:val="00005B33"/>
    <w:rsid w:val="00005B8D"/>
    <w:rsid w:val="00005D00"/>
    <w:rsid w:val="00006374"/>
    <w:rsid w:val="00006CF4"/>
    <w:rsid w:val="000076F7"/>
    <w:rsid w:val="00007773"/>
    <w:rsid w:val="00010874"/>
    <w:rsid w:val="0001091A"/>
    <w:rsid w:val="000126DA"/>
    <w:rsid w:val="0001291F"/>
    <w:rsid w:val="00014063"/>
    <w:rsid w:val="00014DEF"/>
    <w:rsid w:val="00015A85"/>
    <w:rsid w:val="00015AAA"/>
    <w:rsid w:val="00015F4E"/>
    <w:rsid w:val="00015FF6"/>
    <w:rsid w:val="000162BB"/>
    <w:rsid w:val="00016A6A"/>
    <w:rsid w:val="0001702D"/>
    <w:rsid w:val="000171CD"/>
    <w:rsid w:val="00017B1C"/>
    <w:rsid w:val="000202D0"/>
    <w:rsid w:val="0002129D"/>
    <w:rsid w:val="00022731"/>
    <w:rsid w:val="00023C64"/>
    <w:rsid w:val="00023FCF"/>
    <w:rsid w:val="00024287"/>
    <w:rsid w:val="0002450A"/>
    <w:rsid w:val="0002541F"/>
    <w:rsid w:val="00025441"/>
    <w:rsid w:val="000254F9"/>
    <w:rsid w:val="0002696F"/>
    <w:rsid w:val="00026BAD"/>
    <w:rsid w:val="00026D14"/>
    <w:rsid w:val="00026FDB"/>
    <w:rsid w:val="0002770C"/>
    <w:rsid w:val="000279AF"/>
    <w:rsid w:val="0003028F"/>
    <w:rsid w:val="00030ADC"/>
    <w:rsid w:val="00030B10"/>
    <w:rsid w:val="00031B98"/>
    <w:rsid w:val="00032162"/>
    <w:rsid w:val="000326BE"/>
    <w:rsid w:val="00032762"/>
    <w:rsid w:val="00032DC2"/>
    <w:rsid w:val="000330BB"/>
    <w:rsid w:val="0003363E"/>
    <w:rsid w:val="0003365A"/>
    <w:rsid w:val="000339AB"/>
    <w:rsid w:val="00033C0C"/>
    <w:rsid w:val="00033FF7"/>
    <w:rsid w:val="00034491"/>
    <w:rsid w:val="0003588C"/>
    <w:rsid w:val="000359FF"/>
    <w:rsid w:val="00035B4E"/>
    <w:rsid w:val="00035D0E"/>
    <w:rsid w:val="00035EA4"/>
    <w:rsid w:val="00035F22"/>
    <w:rsid w:val="0003638B"/>
    <w:rsid w:val="00036A73"/>
    <w:rsid w:val="00037987"/>
    <w:rsid w:val="00040D16"/>
    <w:rsid w:val="00040F25"/>
    <w:rsid w:val="000412F3"/>
    <w:rsid w:val="00041436"/>
    <w:rsid w:val="0004149A"/>
    <w:rsid w:val="000431E9"/>
    <w:rsid w:val="00043312"/>
    <w:rsid w:val="0004448A"/>
    <w:rsid w:val="0004483A"/>
    <w:rsid w:val="00044C20"/>
    <w:rsid w:val="00044EF3"/>
    <w:rsid w:val="00045512"/>
    <w:rsid w:val="00045982"/>
    <w:rsid w:val="00046B5F"/>
    <w:rsid w:val="00047A5C"/>
    <w:rsid w:val="000508ED"/>
    <w:rsid w:val="000521E9"/>
    <w:rsid w:val="0005262C"/>
    <w:rsid w:val="00053182"/>
    <w:rsid w:val="000532AE"/>
    <w:rsid w:val="000539F9"/>
    <w:rsid w:val="00053DF7"/>
    <w:rsid w:val="00054149"/>
    <w:rsid w:val="0005433C"/>
    <w:rsid w:val="00054359"/>
    <w:rsid w:val="00054EA3"/>
    <w:rsid w:val="00054F85"/>
    <w:rsid w:val="00055B8E"/>
    <w:rsid w:val="0005697C"/>
    <w:rsid w:val="00056A98"/>
    <w:rsid w:val="00056E77"/>
    <w:rsid w:val="00056FE2"/>
    <w:rsid w:val="00057668"/>
    <w:rsid w:val="00057A7C"/>
    <w:rsid w:val="00057FE3"/>
    <w:rsid w:val="00060464"/>
    <w:rsid w:val="00060B5C"/>
    <w:rsid w:val="00060B71"/>
    <w:rsid w:val="00060C28"/>
    <w:rsid w:val="000615CA"/>
    <w:rsid w:val="00061C69"/>
    <w:rsid w:val="0006220F"/>
    <w:rsid w:val="000622D1"/>
    <w:rsid w:val="00062568"/>
    <w:rsid w:val="00062588"/>
    <w:rsid w:val="000637AA"/>
    <w:rsid w:val="00063A87"/>
    <w:rsid w:val="00063BA2"/>
    <w:rsid w:val="00063C2F"/>
    <w:rsid w:val="000646D2"/>
    <w:rsid w:val="00065899"/>
    <w:rsid w:val="000660D7"/>
    <w:rsid w:val="00066B6F"/>
    <w:rsid w:val="00067B69"/>
    <w:rsid w:val="00067DD1"/>
    <w:rsid w:val="00070530"/>
    <w:rsid w:val="00070722"/>
    <w:rsid w:val="00070945"/>
    <w:rsid w:val="000712CC"/>
    <w:rsid w:val="000712DE"/>
    <w:rsid w:val="0007197D"/>
    <w:rsid w:val="000720FA"/>
    <w:rsid w:val="000744EB"/>
    <w:rsid w:val="00074B08"/>
    <w:rsid w:val="000757BB"/>
    <w:rsid w:val="000763C1"/>
    <w:rsid w:val="0007741D"/>
    <w:rsid w:val="0007752A"/>
    <w:rsid w:val="00077860"/>
    <w:rsid w:val="00077BA5"/>
    <w:rsid w:val="00080675"/>
    <w:rsid w:val="00080A18"/>
    <w:rsid w:val="00080D65"/>
    <w:rsid w:val="00080DC1"/>
    <w:rsid w:val="000812A9"/>
    <w:rsid w:val="00081EDB"/>
    <w:rsid w:val="000826EE"/>
    <w:rsid w:val="00082A90"/>
    <w:rsid w:val="000830F6"/>
    <w:rsid w:val="00083E57"/>
    <w:rsid w:val="00084091"/>
    <w:rsid w:val="000842D2"/>
    <w:rsid w:val="00084A5B"/>
    <w:rsid w:val="00084FD3"/>
    <w:rsid w:val="000855D0"/>
    <w:rsid w:val="0008572A"/>
    <w:rsid w:val="00085BA1"/>
    <w:rsid w:val="00085D26"/>
    <w:rsid w:val="0008611D"/>
    <w:rsid w:val="0008666C"/>
    <w:rsid w:val="00086720"/>
    <w:rsid w:val="00086824"/>
    <w:rsid w:val="00086C40"/>
    <w:rsid w:val="0008713F"/>
    <w:rsid w:val="0008723B"/>
    <w:rsid w:val="00087469"/>
    <w:rsid w:val="00087957"/>
    <w:rsid w:val="00087A49"/>
    <w:rsid w:val="00087CB5"/>
    <w:rsid w:val="00090282"/>
    <w:rsid w:val="0009058B"/>
    <w:rsid w:val="000907D4"/>
    <w:rsid w:val="00090804"/>
    <w:rsid w:val="00090819"/>
    <w:rsid w:val="00090D57"/>
    <w:rsid w:val="00090DA0"/>
    <w:rsid w:val="00091D6C"/>
    <w:rsid w:val="00092030"/>
    <w:rsid w:val="000920AA"/>
    <w:rsid w:val="0009252A"/>
    <w:rsid w:val="000925B3"/>
    <w:rsid w:val="000927B6"/>
    <w:rsid w:val="00092829"/>
    <w:rsid w:val="00092BE9"/>
    <w:rsid w:val="00092BFB"/>
    <w:rsid w:val="000942BC"/>
    <w:rsid w:val="00094528"/>
    <w:rsid w:val="00094903"/>
    <w:rsid w:val="00094E1E"/>
    <w:rsid w:val="00095134"/>
    <w:rsid w:val="000957DA"/>
    <w:rsid w:val="00095AA4"/>
    <w:rsid w:val="00095D57"/>
    <w:rsid w:val="00096120"/>
    <w:rsid w:val="00096AA3"/>
    <w:rsid w:val="00096B54"/>
    <w:rsid w:val="00096ED4"/>
    <w:rsid w:val="0009721E"/>
    <w:rsid w:val="000A03AE"/>
    <w:rsid w:val="000A03FE"/>
    <w:rsid w:val="000A0849"/>
    <w:rsid w:val="000A1472"/>
    <w:rsid w:val="000A171D"/>
    <w:rsid w:val="000A1944"/>
    <w:rsid w:val="000A1ACA"/>
    <w:rsid w:val="000A1CAD"/>
    <w:rsid w:val="000A2092"/>
    <w:rsid w:val="000A26C5"/>
    <w:rsid w:val="000A29FB"/>
    <w:rsid w:val="000A31F6"/>
    <w:rsid w:val="000A31FD"/>
    <w:rsid w:val="000A3370"/>
    <w:rsid w:val="000A36B9"/>
    <w:rsid w:val="000A4858"/>
    <w:rsid w:val="000A4A98"/>
    <w:rsid w:val="000A4AB0"/>
    <w:rsid w:val="000A4B8F"/>
    <w:rsid w:val="000A5C86"/>
    <w:rsid w:val="000A6063"/>
    <w:rsid w:val="000A79E8"/>
    <w:rsid w:val="000A7DFB"/>
    <w:rsid w:val="000B041E"/>
    <w:rsid w:val="000B180F"/>
    <w:rsid w:val="000B1F19"/>
    <w:rsid w:val="000B22A7"/>
    <w:rsid w:val="000B2C6C"/>
    <w:rsid w:val="000B44F0"/>
    <w:rsid w:val="000B4EEB"/>
    <w:rsid w:val="000B51C9"/>
    <w:rsid w:val="000B53D3"/>
    <w:rsid w:val="000B54A3"/>
    <w:rsid w:val="000B5C55"/>
    <w:rsid w:val="000B7251"/>
    <w:rsid w:val="000B726E"/>
    <w:rsid w:val="000B7512"/>
    <w:rsid w:val="000C088B"/>
    <w:rsid w:val="000C0F40"/>
    <w:rsid w:val="000C14CC"/>
    <w:rsid w:val="000C1D79"/>
    <w:rsid w:val="000C2DAB"/>
    <w:rsid w:val="000C32B3"/>
    <w:rsid w:val="000C343F"/>
    <w:rsid w:val="000C3934"/>
    <w:rsid w:val="000C4ADD"/>
    <w:rsid w:val="000C50BE"/>
    <w:rsid w:val="000C50FE"/>
    <w:rsid w:val="000C5161"/>
    <w:rsid w:val="000C54D4"/>
    <w:rsid w:val="000C58D8"/>
    <w:rsid w:val="000C6ABA"/>
    <w:rsid w:val="000C6BC6"/>
    <w:rsid w:val="000C6DAB"/>
    <w:rsid w:val="000C74F8"/>
    <w:rsid w:val="000C75F8"/>
    <w:rsid w:val="000C78B8"/>
    <w:rsid w:val="000D0BEB"/>
    <w:rsid w:val="000D0C59"/>
    <w:rsid w:val="000D146B"/>
    <w:rsid w:val="000D17C6"/>
    <w:rsid w:val="000D18E5"/>
    <w:rsid w:val="000D1920"/>
    <w:rsid w:val="000D199C"/>
    <w:rsid w:val="000D240E"/>
    <w:rsid w:val="000D29AC"/>
    <w:rsid w:val="000D34D9"/>
    <w:rsid w:val="000D3B79"/>
    <w:rsid w:val="000D4A11"/>
    <w:rsid w:val="000D51C7"/>
    <w:rsid w:val="000D5355"/>
    <w:rsid w:val="000D5C4B"/>
    <w:rsid w:val="000D610D"/>
    <w:rsid w:val="000D6800"/>
    <w:rsid w:val="000D689E"/>
    <w:rsid w:val="000D6A26"/>
    <w:rsid w:val="000D78B2"/>
    <w:rsid w:val="000E032F"/>
    <w:rsid w:val="000E0917"/>
    <w:rsid w:val="000E0A9E"/>
    <w:rsid w:val="000E14A7"/>
    <w:rsid w:val="000E1866"/>
    <w:rsid w:val="000E1BC5"/>
    <w:rsid w:val="000E20B6"/>
    <w:rsid w:val="000E2894"/>
    <w:rsid w:val="000E29A3"/>
    <w:rsid w:val="000E2C2F"/>
    <w:rsid w:val="000E2C93"/>
    <w:rsid w:val="000E2CB0"/>
    <w:rsid w:val="000E35DB"/>
    <w:rsid w:val="000E3662"/>
    <w:rsid w:val="000E3F09"/>
    <w:rsid w:val="000E4561"/>
    <w:rsid w:val="000E497B"/>
    <w:rsid w:val="000E4B5B"/>
    <w:rsid w:val="000E5543"/>
    <w:rsid w:val="000E5773"/>
    <w:rsid w:val="000E5864"/>
    <w:rsid w:val="000E5C22"/>
    <w:rsid w:val="000E5F9F"/>
    <w:rsid w:val="000E668F"/>
    <w:rsid w:val="000E7165"/>
    <w:rsid w:val="000E75C4"/>
    <w:rsid w:val="000F0087"/>
    <w:rsid w:val="000F0139"/>
    <w:rsid w:val="000F08E7"/>
    <w:rsid w:val="000F0C9C"/>
    <w:rsid w:val="000F1847"/>
    <w:rsid w:val="000F1D9A"/>
    <w:rsid w:val="000F20E2"/>
    <w:rsid w:val="000F38A1"/>
    <w:rsid w:val="000F3D07"/>
    <w:rsid w:val="000F42EA"/>
    <w:rsid w:val="000F44B6"/>
    <w:rsid w:val="000F46C1"/>
    <w:rsid w:val="000F4CCC"/>
    <w:rsid w:val="000F55DE"/>
    <w:rsid w:val="000F5B7E"/>
    <w:rsid w:val="000F65B9"/>
    <w:rsid w:val="000F6720"/>
    <w:rsid w:val="000F69E8"/>
    <w:rsid w:val="000F6BCB"/>
    <w:rsid w:val="000F6CE9"/>
    <w:rsid w:val="001003BA"/>
    <w:rsid w:val="00101669"/>
    <w:rsid w:val="00102293"/>
    <w:rsid w:val="001023F4"/>
    <w:rsid w:val="00103672"/>
    <w:rsid w:val="00104ABD"/>
    <w:rsid w:val="00104EE2"/>
    <w:rsid w:val="00105160"/>
    <w:rsid w:val="001052FA"/>
    <w:rsid w:val="001063E5"/>
    <w:rsid w:val="00106ADC"/>
    <w:rsid w:val="00106DB7"/>
    <w:rsid w:val="00106ECA"/>
    <w:rsid w:val="001076F1"/>
    <w:rsid w:val="00110278"/>
    <w:rsid w:val="00110370"/>
    <w:rsid w:val="001118E8"/>
    <w:rsid w:val="001128A2"/>
    <w:rsid w:val="00112ACE"/>
    <w:rsid w:val="001132DC"/>
    <w:rsid w:val="001136AE"/>
    <w:rsid w:val="001136DB"/>
    <w:rsid w:val="0011390B"/>
    <w:rsid w:val="00113BD6"/>
    <w:rsid w:val="0011411B"/>
    <w:rsid w:val="00114124"/>
    <w:rsid w:val="0011467D"/>
    <w:rsid w:val="00114B17"/>
    <w:rsid w:val="00115683"/>
    <w:rsid w:val="00115761"/>
    <w:rsid w:val="00115A74"/>
    <w:rsid w:val="00115B0E"/>
    <w:rsid w:val="00116B93"/>
    <w:rsid w:val="00116FA2"/>
    <w:rsid w:val="001206EE"/>
    <w:rsid w:val="001211A4"/>
    <w:rsid w:val="00121F27"/>
    <w:rsid w:val="00122510"/>
    <w:rsid w:val="001236FF"/>
    <w:rsid w:val="00123F68"/>
    <w:rsid w:val="00124567"/>
    <w:rsid w:val="001251CF"/>
    <w:rsid w:val="00125794"/>
    <w:rsid w:val="00125FBE"/>
    <w:rsid w:val="001271C8"/>
    <w:rsid w:val="00127EA0"/>
    <w:rsid w:val="00130012"/>
    <w:rsid w:val="00130500"/>
    <w:rsid w:val="0013053C"/>
    <w:rsid w:val="00130C51"/>
    <w:rsid w:val="00130DF4"/>
    <w:rsid w:val="00132376"/>
    <w:rsid w:val="00132939"/>
    <w:rsid w:val="00132B28"/>
    <w:rsid w:val="00133EB6"/>
    <w:rsid w:val="00133EBA"/>
    <w:rsid w:val="0013435C"/>
    <w:rsid w:val="001344AF"/>
    <w:rsid w:val="00134690"/>
    <w:rsid w:val="00134897"/>
    <w:rsid w:val="001349B8"/>
    <w:rsid w:val="001349DC"/>
    <w:rsid w:val="0013555A"/>
    <w:rsid w:val="0013572B"/>
    <w:rsid w:val="00136198"/>
    <w:rsid w:val="001366DC"/>
    <w:rsid w:val="001369D6"/>
    <w:rsid w:val="00136B6A"/>
    <w:rsid w:val="001371A0"/>
    <w:rsid w:val="001374F7"/>
    <w:rsid w:val="0013759B"/>
    <w:rsid w:val="0013777E"/>
    <w:rsid w:val="00137ED2"/>
    <w:rsid w:val="0014024B"/>
    <w:rsid w:val="00140746"/>
    <w:rsid w:val="00140FC5"/>
    <w:rsid w:val="0014174E"/>
    <w:rsid w:val="0014189E"/>
    <w:rsid w:val="00141B34"/>
    <w:rsid w:val="00142118"/>
    <w:rsid w:val="001421CA"/>
    <w:rsid w:val="001429B6"/>
    <w:rsid w:val="0014359E"/>
    <w:rsid w:val="0014461C"/>
    <w:rsid w:val="00144B06"/>
    <w:rsid w:val="00144C53"/>
    <w:rsid w:val="00144E58"/>
    <w:rsid w:val="00145691"/>
    <w:rsid w:val="00145A58"/>
    <w:rsid w:val="00146444"/>
    <w:rsid w:val="0014755B"/>
    <w:rsid w:val="00147C30"/>
    <w:rsid w:val="00147D29"/>
    <w:rsid w:val="00147F3E"/>
    <w:rsid w:val="00150084"/>
    <w:rsid w:val="00150A68"/>
    <w:rsid w:val="001516A4"/>
    <w:rsid w:val="00152339"/>
    <w:rsid w:val="00152882"/>
    <w:rsid w:val="00153A92"/>
    <w:rsid w:val="001548E8"/>
    <w:rsid w:val="00154AC8"/>
    <w:rsid w:val="00155DEF"/>
    <w:rsid w:val="00156032"/>
    <w:rsid w:val="00156048"/>
    <w:rsid w:val="00156899"/>
    <w:rsid w:val="00156F06"/>
    <w:rsid w:val="00156F80"/>
    <w:rsid w:val="001579CB"/>
    <w:rsid w:val="00157A84"/>
    <w:rsid w:val="0016034A"/>
    <w:rsid w:val="00160468"/>
    <w:rsid w:val="001604CE"/>
    <w:rsid w:val="00160A44"/>
    <w:rsid w:val="00160DE0"/>
    <w:rsid w:val="00160E0D"/>
    <w:rsid w:val="00160EA5"/>
    <w:rsid w:val="00161721"/>
    <w:rsid w:val="001624CA"/>
    <w:rsid w:val="001629F4"/>
    <w:rsid w:val="00162DE4"/>
    <w:rsid w:val="00163761"/>
    <w:rsid w:val="001639C8"/>
    <w:rsid w:val="00163C58"/>
    <w:rsid w:val="00163C6E"/>
    <w:rsid w:val="00163DA0"/>
    <w:rsid w:val="00163F11"/>
    <w:rsid w:val="001643B4"/>
    <w:rsid w:val="00164609"/>
    <w:rsid w:val="0016516E"/>
    <w:rsid w:val="00165784"/>
    <w:rsid w:val="00165AFE"/>
    <w:rsid w:val="001667F0"/>
    <w:rsid w:val="00166E69"/>
    <w:rsid w:val="0016732F"/>
    <w:rsid w:val="00167B0A"/>
    <w:rsid w:val="00167B44"/>
    <w:rsid w:val="00167C48"/>
    <w:rsid w:val="00167DAB"/>
    <w:rsid w:val="0017089E"/>
    <w:rsid w:val="001710A3"/>
    <w:rsid w:val="00171928"/>
    <w:rsid w:val="0017265B"/>
    <w:rsid w:val="00172F57"/>
    <w:rsid w:val="00173158"/>
    <w:rsid w:val="00173F21"/>
    <w:rsid w:val="001745A8"/>
    <w:rsid w:val="0017535A"/>
    <w:rsid w:val="0017549C"/>
    <w:rsid w:val="00175791"/>
    <w:rsid w:val="00175C91"/>
    <w:rsid w:val="00176D26"/>
    <w:rsid w:val="00177132"/>
    <w:rsid w:val="001778E5"/>
    <w:rsid w:val="00177E26"/>
    <w:rsid w:val="0018025B"/>
    <w:rsid w:val="001802D1"/>
    <w:rsid w:val="00180745"/>
    <w:rsid w:val="00180A21"/>
    <w:rsid w:val="001810EC"/>
    <w:rsid w:val="00181A1C"/>
    <w:rsid w:val="00181C1B"/>
    <w:rsid w:val="00182B73"/>
    <w:rsid w:val="0018338C"/>
    <w:rsid w:val="001834DC"/>
    <w:rsid w:val="001836E9"/>
    <w:rsid w:val="001853B8"/>
    <w:rsid w:val="001855DB"/>
    <w:rsid w:val="00185975"/>
    <w:rsid w:val="00185E60"/>
    <w:rsid w:val="00185FE1"/>
    <w:rsid w:val="00186051"/>
    <w:rsid w:val="00186F76"/>
    <w:rsid w:val="0018754A"/>
    <w:rsid w:val="00187AE6"/>
    <w:rsid w:val="00187DB3"/>
    <w:rsid w:val="00187F0E"/>
    <w:rsid w:val="00190046"/>
    <w:rsid w:val="001907EC"/>
    <w:rsid w:val="00190856"/>
    <w:rsid w:val="00190B90"/>
    <w:rsid w:val="00190C97"/>
    <w:rsid w:val="00191136"/>
    <w:rsid w:val="00191138"/>
    <w:rsid w:val="00191656"/>
    <w:rsid w:val="001916FF"/>
    <w:rsid w:val="0019245D"/>
    <w:rsid w:val="0019259A"/>
    <w:rsid w:val="00192F59"/>
    <w:rsid w:val="00192FDF"/>
    <w:rsid w:val="00193E5B"/>
    <w:rsid w:val="00194C5E"/>
    <w:rsid w:val="00194D61"/>
    <w:rsid w:val="00194D8F"/>
    <w:rsid w:val="00195438"/>
    <w:rsid w:val="001956A3"/>
    <w:rsid w:val="00195A1A"/>
    <w:rsid w:val="00195FAC"/>
    <w:rsid w:val="001966B7"/>
    <w:rsid w:val="0019771E"/>
    <w:rsid w:val="00197798"/>
    <w:rsid w:val="001A0584"/>
    <w:rsid w:val="001A0B66"/>
    <w:rsid w:val="001A1608"/>
    <w:rsid w:val="001A2AAE"/>
    <w:rsid w:val="001A3463"/>
    <w:rsid w:val="001A3485"/>
    <w:rsid w:val="001A3B90"/>
    <w:rsid w:val="001A3E6C"/>
    <w:rsid w:val="001A4990"/>
    <w:rsid w:val="001A49C2"/>
    <w:rsid w:val="001A5565"/>
    <w:rsid w:val="001A5C7C"/>
    <w:rsid w:val="001A5F38"/>
    <w:rsid w:val="001A5FD8"/>
    <w:rsid w:val="001A63D5"/>
    <w:rsid w:val="001A6E0B"/>
    <w:rsid w:val="001A6E16"/>
    <w:rsid w:val="001A7807"/>
    <w:rsid w:val="001A790B"/>
    <w:rsid w:val="001B05ED"/>
    <w:rsid w:val="001B0A64"/>
    <w:rsid w:val="001B0BF4"/>
    <w:rsid w:val="001B0CED"/>
    <w:rsid w:val="001B11E5"/>
    <w:rsid w:val="001B1376"/>
    <w:rsid w:val="001B196C"/>
    <w:rsid w:val="001B22B2"/>
    <w:rsid w:val="001B280E"/>
    <w:rsid w:val="001B39F5"/>
    <w:rsid w:val="001B3D03"/>
    <w:rsid w:val="001B4EFF"/>
    <w:rsid w:val="001B515B"/>
    <w:rsid w:val="001B5629"/>
    <w:rsid w:val="001B573E"/>
    <w:rsid w:val="001B5A23"/>
    <w:rsid w:val="001B5DCF"/>
    <w:rsid w:val="001B5ED5"/>
    <w:rsid w:val="001B6B91"/>
    <w:rsid w:val="001B6C8E"/>
    <w:rsid w:val="001B6EE4"/>
    <w:rsid w:val="001B70E6"/>
    <w:rsid w:val="001B7561"/>
    <w:rsid w:val="001B7865"/>
    <w:rsid w:val="001B79D8"/>
    <w:rsid w:val="001C03A3"/>
    <w:rsid w:val="001C1FC3"/>
    <w:rsid w:val="001C2079"/>
    <w:rsid w:val="001C2682"/>
    <w:rsid w:val="001C2944"/>
    <w:rsid w:val="001C2C66"/>
    <w:rsid w:val="001C33EF"/>
    <w:rsid w:val="001C3733"/>
    <w:rsid w:val="001C3760"/>
    <w:rsid w:val="001C3AD5"/>
    <w:rsid w:val="001C3D5B"/>
    <w:rsid w:val="001C3ECC"/>
    <w:rsid w:val="001C411D"/>
    <w:rsid w:val="001C45A7"/>
    <w:rsid w:val="001C4773"/>
    <w:rsid w:val="001C4F1A"/>
    <w:rsid w:val="001C5472"/>
    <w:rsid w:val="001C5915"/>
    <w:rsid w:val="001C5FDC"/>
    <w:rsid w:val="001C62C9"/>
    <w:rsid w:val="001C6B5B"/>
    <w:rsid w:val="001C6D60"/>
    <w:rsid w:val="001C7591"/>
    <w:rsid w:val="001C794F"/>
    <w:rsid w:val="001C7C45"/>
    <w:rsid w:val="001D038D"/>
    <w:rsid w:val="001D0B33"/>
    <w:rsid w:val="001D20A1"/>
    <w:rsid w:val="001D23DF"/>
    <w:rsid w:val="001D2867"/>
    <w:rsid w:val="001D2B17"/>
    <w:rsid w:val="001D38FA"/>
    <w:rsid w:val="001D444A"/>
    <w:rsid w:val="001D500E"/>
    <w:rsid w:val="001D58C9"/>
    <w:rsid w:val="001D5AA9"/>
    <w:rsid w:val="001D6031"/>
    <w:rsid w:val="001D6728"/>
    <w:rsid w:val="001D69E3"/>
    <w:rsid w:val="001D6D0A"/>
    <w:rsid w:val="001D7C9F"/>
    <w:rsid w:val="001E0E39"/>
    <w:rsid w:val="001E13EA"/>
    <w:rsid w:val="001E1746"/>
    <w:rsid w:val="001E1901"/>
    <w:rsid w:val="001E1A2F"/>
    <w:rsid w:val="001E2067"/>
    <w:rsid w:val="001E25AA"/>
    <w:rsid w:val="001E2EB4"/>
    <w:rsid w:val="001E35D1"/>
    <w:rsid w:val="001E3BC3"/>
    <w:rsid w:val="001E42E8"/>
    <w:rsid w:val="001E4D96"/>
    <w:rsid w:val="001E6146"/>
    <w:rsid w:val="001E6573"/>
    <w:rsid w:val="001E66D1"/>
    <w:rsid w:val="001E6E0C"/>
    <w:rsid w:val="001E73DA"/>
    <w:rsid w:val="001E746A"/>
    <w:rsid w:val="001F0184"/>
    <w:rsid w:val="001F0B3D"/>
    <w:rsid w:val="001F20F8"/>
    <w:rsid w:val="001F21F3"/>
    <w:rsid w:val="001F2CE3"/>
    <w:rsid w:val="001F2E0D"/>
    <w:rsid w:val="001F3AD4"/>
    <w:rsid w:val="001F3DAE"/>
    <w:rsid w:val="001F4170"/>
    <w:rsid w:val="001F4458"/>
    <w:rsid w:val="001F5E1C"/>
    <w:rsid w:val="001F64B8"/>
    <w:rsid w:val="001F6781"/>
    <w:rsid w:val="001F715C"/>
    <w:rsid w:val="001F7CE0"/>
    <w:rsid w:val="00200FD4"/>
    <w:rsid w:val="0020113F"/>
    <w:rsid w:val="00201A9E"/>
    <w:rsid w:val="00201B24"/>
    <w:rsid w:val="00202523"/>
    <w:rsid w:val="00202E01"/>
    <w:rsid w:val="00202F11"/>
    <w:rsid w:val="002036C0"/>
    <w:rsid w:val="00203767"/>
    <w:rsid w:val="00203D5B"/>
    <w:rsid w:val="00204DAC"/>
    <w:rsid w:val="00204E2D"/>
    <w:rsid w:val="00204E4A"/>
    <w:rsid w:val="002052AE"/>
    <w:rsid w:val="00205ECF"/>
    <w:rsid w:val="00206796"/>
    <w:rsid w:val="00207001"/>
    <w:rsid w:val="00207BA5"/>
    <w:rsid w:val="00211049"/>
    <w:rsid w:val="00211ACA"/>
    <w:rsid w:val="00211B74"/>
    <w:rsid w:val="0021323B"/>
    <w:rsid w:val="002136BB"/>
    <w:rsid w:val="00213EF9"/>
    <w:rsid w:val="00214090"/>
    <w:rsid w:val="00214120"/>
    <w:rsid w:val="0021465C"/>
    <w:rsid w:val="00214753"/>
    <w:rsid w:val="00214B2E"/>
    <w:rsid w:val="00214D65"/>
    <w:rsid w:val="00215105"/>
    <w:rsid w:val="0021580A"/>
    <w:rsid w:val="00215BC9"/>
    <w:rsid w:val="0021615B"/>
    <w:rsid w:val="00216382"/>
    <w:rsid w:val="00216433"/>
    <w:rsid w:val="00216E34"/>
    <w:rsid w:val="002176C1"/>
    <w:rsid w:val="00217B0B"/>
    <w:rsid w:val="0022026D"/>
    <w:rsid w:val="002202FF"/>
    <w:rsid w:val="00220381"/>
    <w:rsid w:val="00220439"/>
    <w:rsid w:val="0022064E"/>
    <w:rsid w:val="0022081A"/>
    <w:rsid w:val="00220AA3"/>
    <w:rsid w:val="00220D6F"/>
    <w:rsid w:val="00220EDD"/>
    <w:rsid w:val="00221529"/>
    <w:rsid w:val="00222697"/>
    <w:rsid w:val="00222A20"/>
    <w:rsid w:val="00222B2B"/>
    <w:rsid w:val="00223995"/>
    <w:rsid w:val="00223A62"/>
    <w:rsid w:val="00223C70"/>
    <w:rsid w:val="00223D72"/>
    <w:rsid w:val="00224356"/>
    <w:rsid w:val="00224E35"/>
    <w:rsid w:val="00226369"/>
    <w:rsid w:val="002269B7"/>
    <w:rsid w:val="00226B06"/>
    <w:rsid w:val="00226D42"/>
    <w:rsid w:val="00226D48"/>
    <w:rsid w:val="00226ED2"/>
    <w:rsid w:val="00226EDE"/>
    <w:rsid w:val="002303C8"/>
    <w:rsid w:val="00230C3A"/>
    <w:rsid w:val="00230CDC"/>
    <w:rsid w:val="002313BF"/>
    <w:rsid w:val="0023241E"/>
    <w:rsid w:val="00232A5F"/>
    <w:rsid w:val="00232B4A"/>
    <w:rsid w:val="00232EFA"/>
    <w:rsid w:val="00233426"/>
    <w:rsid w:val="002335CD"/>
    <w:rsid w:val="00233FBE"/>
    <w:rsid w:val="00234344"/>
    <w:rsid w:val="0023444C"/>
    <w:rsid w:val="002346A0"/>
    <w:rsid w:val="00235396"/>
    <w:rsid w:val="002371A5"/>
    <w:rsid w:val="0023753C"/>
    <w:rsid w:val="00237866"/>
    <w:rsid w:val="00237A7F"/>
    <w:rsid w:val="00240313"/>
    <w:rsid w:val="00240DE3"/>
    <w:rsid w:val="00241300"/>
    <w:rsid w:val="002416EE"/>
    <w:rsid w:val="00241D65"/>
    <w:rsid w:val="00241E68"/>
    <w:rsid w:val="0024385D"/>
    <w:rsid w:val="00243B13"/>
    <w:rsid w:val="00243BCE"/>
    <w:rsid w:val="00243FB3"/>
    <w:rsid w:val="002446DF"/>
    <w:rsid w:val="00244EFA"/>
    <w:rsid w:val="0024541E"/>
    <w:rsid w:val="0024555B"/>
    <w:rsid w:val="00245615"/>
    <w:rsid w:val="00245802"/>
    <w:rsid w:val="00245E73"/>
    <w:rsid w:val="00246AD7"/>
    <w:rsid w:val="00246DAD"/>
    <w:rsid w:val="00247744"/>
    <w:rsid w:val="00247975"/>
    <w:rsid w:val="002500A2"/>
    <w:rsid w:val="002506E7"/>
    <w:rsid w:val="0025084D"/>
    <w:rsid w:val="00250988"/>
    <w:rsid w:val="00250F55"/>
    <w:rsid w:val="0025100C"/>
    <w:rsid w:val="002519EE"/>
    <w:rsid w:val="00251DDA"/>
    <w:rsid w:val="00252D5F"/>
    <w:rsid w:val="00253746"/>
    <w:rsid w:val="00253838"/>
    <w:rsid w:val="00253843"/>
    <w:rsid w:val="00253A22"/>
    <w:rsid w:val="00253B8B"/>
    <w:rsid w:val="00253DC5"/>
    <w:rsid w:val="002544B8"/>
    <w:rsid w:val="002546C2"/>
    <w:rsid w:val="00255489"/>
    <w:rsid w:val="00255662"/>
    <w:rsid w:val="00255A04"/>
    <w:rsid w:val="00255AF6"/>
    <w:rsid w:val="00255B62"/>
    <w:rsid w:val="00256063"/>
    <w:rsid w:val="00256ACE"/>
    <w:rsid w:val="00256CCB"/>
    <w:rsid w:val="0025726D"/>
    <w:rsid w:val="002573F2"/>
    <w:rsid w:val="0025760C"/>
    <w:rsid w:val="00260C59"/>
    <w:rsid w:val="00260D6D"/>
    <w:rsid w:val="00260DFE"/>
    <w:rsid w:val="00261366"/>
    <w:rsid w:val="00261672"/>
    <w:rsid w:val="0026278B"/>
    <w:rsid w:val="00262A73"/>
    <w:rsid w:val="00263134"/>
    <w:rsid w:val="00263E83"/>
    <w:rsid w:val="002640F4"/>
    <w:rsid w:val="002641B9"/>
    <w:rsid w:val="0026466F"/>
    <w:rsid w:val="00264EB0"/>
    <w:rsid w:val="00265065"/>
    <w:rsid w:val="00265BDF"/>
    <w:rsid w:val="00266177"/>
    <w:rsid w:val="002663B8"/>
    <w:rsid w:val="00266E37"/>
    <w:rsid w:val="00266F7B"/>
    <w:rsid w:val="0027006E"/>
    <w:rsid w:val="002700B6"/>
    <w:rsid w:val="00270D08"/>
    <w:rsid w:val="0027176E"/>
    <w:rsid w:val="00271D95"/>
    <w:rsid w:val="00272116"/>
    <w:rsid w:val="0027213E"/>
    <w:rsid w:val="00272B52"/>
    <w:rsid w:val="00272CAD"/>
    <w:rsid w:val="002733A5"/>
    <w:rsid w:val="002733ED"/>
    <w:rsid w:val="00273E3D"/>
    <w:rsid w:val="00273E87"/>
    <w:rsid w:val="002741DF"/>
    <w:rsid w:val="00274547"/>
    <w:rsid w:val="00274B27"/>
    <w:rsid w:val="0027506C"/>
    <w:rsid w:val="00275120"/>
    <w:rsid w:val="002751DC"/>
    <w:rsid w:val="002759C0"/>
    <w:rsid w:val="00276568"/>
    <w:rsid w:val="002767FE"/>
    <w:rsid w:val="002770C7"/>
    <w:rsid w:val="002779AA"/>
    <w:rsid w:val="00277D25"/>
    <w:rsid w:val="00277D52"/>
    <w:rsid w:val="00280000"/>
    <w:rsid w:val="00281486"/>
    <w:rsid w:val="002816CF"/>
    <w:rsid w:val="00281C64"/>
    <w:rsid w:val="002820F4"/>
    <w:rsid w:val="0028251F"/>
    <w:rsid w:val="00282D46"/>
    <w:rsid w:val="002832A6"/>
    <w:rsid w:val="002832F1"/>
    <w:rsid w:val="00283A7B"/>
    <w:rsid w:val="00283E8D"/>
    <w:rsid w:val="00284815"/>
    <w:rsid w:val="0028491C"/>
    <w:rsid w:val="00284A94"/>
    <w:rsid w:val="00284C01"/>
    <w:rsid w:val="00284E31"/>
    <w:rsid w:val="00285333"/>
    <w:rsid w:val="00285536"/>
    <w:rsid w:val="00285933"/>
    <w:rsid w:val="00286C19"/>
    <w:rsid w:val="00286D31"/>
    <w:rsid w:val="0028700C"/>
    <w:rsid w:val="00287B24"/>
    <w:rsid w:val="00287C64"/>
    <w:rsid w:val="00290818"/>
    <w:rsid w:val="002923C3"/>
    <w:rsid w:val="00292AD4"/>
    <w:rsid w:val="002931DE"/>
    <w:rsid w:val="0029336D"/>
    <w:rsid w:val="00294600"/>
    <w:rsid w:val="002947B3"/>
    <w:rsid w:val="00295426"/>
    <w:rsid w:val="00295DBE"/>
    <w:rsid w:val="00296689"/>
    <w:rsid w:val="002966D9"/>
    <w:rsid w:val="0029673F"/>
    <w:rsid w:val="002967E7"/>
    <w:rsid w:val="00296886"/>
    <w:rsid w:val="00296B18"/>
    <w:rsid w:val="00296CEB"/>
    <w:rsid w:val="00296D58"/>
    <w:rsid w:val="00297209"/>
    <w:rsid w:val="002A0036"/>
    <w:rsid w:val="002A0115"/>
    <w:rsid w:val="002A12CA"/>
    <w:rsid w:val="002A1A2E"/>
    <w:rsid w:val="002A218C"/>
    <w:rsid w:val="002A2959"/>
    <w:rsid w:val="002A2C1C"/>
    <w:rsid w:val="002A3166"/>
    <w:rsid w:val="002A3245"/>
    <w:rsid w:val="002A3B13"/>
    <w:rsid w:val="002A4CA7"/>
    <w:rsid w:val="002A5086"/>
    <w:rsid w:val="002A51B9"/>
    <w:rsid w:val="002A524F"/>
    <w:rsid w:val="002A5867"/>
    <w:rsid w:val="002A5A14"/>
    <w:rsid w:val="002A5AE8"/>
    <w:rsid w:val="002A5B9D"/>
    <w:rsid w:val="002A62B7"/>
    <w:rsid w:val="002A62C0"/>
    <w:rsid w:val="002A6E63"/>
    <w:rsid w:val="002A71C5"/>
    <w:rsid w:val="002A72D0"/>
    <w:rsid w:val="002A73C1"/>
    <w:rsid w:val="002A78F1"/>
    <w:rsid w:val="002B0135"/>
    <w:rsid w:val="002B0502"/>
    <w:rsid w:val="002B05B0"/>
    <w:rsid w:val="002B07B8"/>
    <w:rsid w:val="002B088A"/>
    <w:rsid w:val="002B0AC4"/>
    <w:rsid w:val="002B0F92"/>
    <w:rsid w:val="002B18BB"/>
    <w:rsid w:val="002B1D44"/>
    <w:rsid w:val="002B201F"/>
    <w:rsid w:val="002B234C"/>
    <w:rsid w:val="002B285D"/>
    <w:rsid w:val="002B2D2A"/>
    <w:rsid w:val="002B30D2"/>
    <w:rsid w:val="002B3120"/>
    <w:rsid w:val="002B4A21"/>
    <w:rsid w:val="002B61C6"/>
    <w:rsid w:val="002B6DD9"/>
    <w:rsid w:val="002B7947"/>
    <w:rsid w:val="002C003B"/>
    <w:rsid w:val="002C2612"/>
    <w:rsid w:val="002C2B12"/>
    <w:rsid w:val="002C2E33"/>
    <w:rsid w:val="002C3988"/>
    <w:rsid w:val="002C3F24"/>
    <w:rsid w:val="002C44F5"/>
    <w:rsid w:val="002C579D"/>
    <w:rsid w:val="002C5B2E"/>
    <w:rsid w:val="002C5D98"/>
    <w:rsid w:val="002C612C"/>
    <w:rsid w:val="002C63A9"/>
    <w:rsid w:val="002C719E"/>
    <w:rsid w:val="002C794B"/>
    <w:rsid w:val="002D03B6"/>
    <w:rsid w:val="002D073A"/>
    <w:rsid w:val="002D0F63"/>
    <w:rsid w:val="002D1837"/>
    <w:rsid w:val="002D1C9C"/>
    <w:rsid w:val="002D249B"/>
    <w:rsid w:val="002D2A22"/>
    <w:rsid w:val="002D2B3B"/>
    <w:rsid w:val="002D2CA6"/>
    <w:rsid w:val="002D2FE2"/>
    <w:rsid w:val="002D381C"/>
    <w:rsid w:val="002D3DDC"/>
    <w:rsid w:val="002D481C"/>
    <w:rsid w:val="002D5518"/>
    <w:rsid w:val="002D576B"/>
    <w:rsid w:val="002D6B46"/>
    <w:rsid w:val="002D6F41"/>
    <w:rsid w:val="002D715C"/>
    <w:rsid w:val="002D7AC2"/>
    <w:rsid w:val="002D7F05"/>
    <w:rsid w:val="002E086C"/>
    <w:rsid w:val="002E13D4"/>
    <w:rsid w:val="002E1461"/>
    <w:rsid w:val="002E1AFB"/>
    <w:rsid w:val="002E1D3B"/>
    <w:rsid w:val="002E20FC"/>
    <w:rsid w:val="002E2321"/>
    <w:rsid w:val="002E2879"/>
    <w:rsid w:val="002E33B3"/>
    <w:rsid w:val="002E43B4"/>
    <w:rsid w:val="002E45B4"/>
    <w:rsid w:val="002E4693"/>
    <w:rsid w:val="002E4ED0"/>
    <w:rsid w:val="002E50F3"/>
    <w:rsid w:val="002E528F"/>
    <w:rsid w:val="002E6344"/>
    <w:rsid w:val="002E7563"/>
    <w:rsid w:val="002E772E"/>
    <w:rsid w:val="002F0B0F"/>
    <w:rsid w:val="002F0BB7"/>
    <w:rsid w:val="002F12F4"/>
    <w:rsid w:val="002F19E5"/>
    <w:rsid w:val="002F1A08"/>
    <w:rsid w:val="002F1BA9"/>
    <w:rsid w:val="002F1D28"/>
    <w:rsid w:val="002F1F5E"/>
    <w:rsid w:val="002F201B"/>
    <w:rsid w:val="002F20EA"/>
    <w:rsid w:val="002F2B3B"/>
    <w:rsid w:val="002F3134"/>
    <w:rsid w:val="002F3255"/>
    <w:rsid w:val="002F34E0"/>
    <w:rsid w:val="002F3BBA"/>
    <w:rsid w:val="002F3D0E"/>
    <w:rsid w:val="002F3EE0"/>
    <w:rsid w:val="002F4651"/>
    <w:rsid w:val="002F64A7"/>
    <w:rsid w:val="002F6667"/>
    <w:rsid w:val="0030037F"/>
    <w:rsid w:val="0030053E"/>
    <w:rsid w:val="00301BE2"/>
    <w:rsid w:val="00301DAD"/>
    <w:rsid w:val="00302931"/>
    <w:rsid w:val="00302A67"/>
    <w:rsid w:val="00303AE1"/>
    <w:rsid w:val="00303D4F"/>
    <w:rsid w:val="00303F31"/>
    <w:rsid w:val="00303F55"/>
    <w:rsid w:val="00303F65"/>
    <w:rsid w:val="0030483F"/>
    <w:rsid w:val="00304DE5"/>
    <w:rsid w:val="0030558B"/>
    <w:rsid w:val="0030562A"/>
    <w:rsid w:val="0030573D"/>
    <w:rsid w:val="003058F4"/>
    <w:rsid w:val="00305BD5"/>
    <w:rsid w:val="00306460"/>
    <w:rsid w:val="00306687"/>
    <w:rsid w:val="00306938"/>
    <w:rsid w:val="00306C0B"/>
    <w:rsid w:val="00306D28"/>
    <w:rsid w:val="00310428"/>
    <w:rsid w:val="00310958"/>
    <w:rsid w:val="00311C55"/>
    <w:rsid w:val="0031216A"/>
    <w:rsid w:val="00312370"/>
    <w:rsid w:val="00312585"/>
    <w:rsid w:val="00312A49"/>
    <w:rsid w:val="00312BB6"/>
    <w:rsid w:val="00313115"/>
    <w:rsid w:val="00313C2E"/>
    <w:rsid w:val="00313DE0"/>
    <w:rsid w:val="00314E44"/>
    <w:rsid w:val="00314E79"/>
    <w:rsid w:val="003167BF"/>
    <w:rsid w:val="00316E0B"/>
    <w:rsid w:val="00317173"/>
    <w:rsid w:val="0031788E"/>
    <w:rsid w:val="00317CB4"/>
    <w:rsid w:val="00320266"/>
    <w:rsid w:val="00320A77"/>
    <w:rsid w:val="00320DE6"/>
    <w:rsid w:val="00321126"/>
    <w:rsid w:val="003216AC"/>
    <w:rsid w:val="00321A09"/>
    <w:rsid w:val="00321AD9"/>
    <w:rsid w:val="003227FA"/>
    <w:rsid w:val="00322929"/>
    <w:rsid w:val="003229B2"/>
    <w:rsid w:val="00322D69"/>
    <w:rsid w:val="00322D95"/>
    <w:rsid w:val="00323419"/>
    <w:rsid w:val="00324523"/>
    <w:rsid w:val="003245C8"/>
    <w:rsid w:val="00324E51"/>
    <w:rsid w:val="00324F43"/>
    <w:rsid w:val="00324FDD"/>
    <w:rsid w:val="0032536E"/>
    <w:rsid w:val="0032555E"/>
    <w:rsid w:val="00325B67"/>
    <w:rsid w:val="003267F0"/>
    <w:rsid w:val="00327458"/>
    <w:rsid w:val="003275B3"/>
    <w:rsid w:val="003276C2"/>
    <w:rsid w:val="003278C9"/>
    <w:rsid w:val="003309AD"/>
    <w:rsid w:val="003318AC"/>
    <w:rsid w:val="003320E3"/>
    <w:rsid w:val="00336D5F"/>
    <w:rsid w:val="00336EE0"/>
    <w:rsid w:val="00336F2E"/>
    <w:rsid w:val="00336F9E"/>
    <w:rsid w:val="00340085"/>
    <w:rsid w:val="0034094F"/>
    <w:rsid w:val="00340DA2"/>
    <w:rsid w:val="00340E82"/>
    <w:rsid w:val="003415AD"/>
    <w:rsid w:val="003416B8"/>
    <w:rsid w:val="003416C3"/>
    <w:rsid w:val="00341F2D"/>
    <w:rsid w:val="003422B3"/>
    <w:rsid w:val="00342583"/>
    <w:rsid w:val="00342DAF"/>
    <w:rsid w:val="0034342D"/>
    <w:rsid w:val="00344984"/>
    <w:rsid w:val="00344ADD"/>
    <w:rsid w:val="003452EB"/>
    <w:rsid w:val="00345B68"/>
    <w:rsid w:val="00345EF5"/>
    <w:rsid w:val="00346059"/>
    <w:rsid w:val="00346292"/>
    <w:rsid w:val="0034664A"/>
    <w:rsid w:val="003473BA"/>
    <w:rsid w:val="003503B6"/>
    <w:rsid w:val="00350A01"/>
    <w:rsid w:val="003510FA"/>
    <w:rsid w:val="003518CD"/>
    <w:rsid w:val="0035191A"/>
    <w:rsid w:val="00351E30"/>
    <w:rsid w:val="00351EBE"/>
    <w:rsid w:val="00352575"/>
    <w:rsid w:val="00352790"/>
    <w:rsid w:val="0035367A"/>
    <w:rsid w:val="0035375E"/>
    <w:rsid w:val="00353BFE"/>
    <w:rsid w:val="00353F35"/>
    <w:rsid w:val="00354206"/>
    <w:rsid w:val="00354587"/>
    <w:rsid w:val="0035484C"/>
    <w:rsid w:val="003548FB"/>
    <w:rsid w:val="00354D72"/>
    <w:rsid w:val="0035509E"/>
    <w:rsid w:val="003553EA"/>
    <w:rsid w:val="00355707"/>
    <w:rsid w:val="003558A6"/>
    <w:rsid w:val="003559DC"/>
    <w:rsid w:val="003573F6"/>
    <w:rsid w:val="00357663"/>
    <w:rsid w:val="00357B27"/>
    <w:rsid w:val="00357F83"/>
    <w:rsid w:val="0036036B"/>
    <w:rsid w:val="003603D9"/>
    <w:rsid w:val="0036096A"/>
    <w:rsid w:val="00360A97"/>
    <w:rsid w:val="00360DFA"/>
    <w:rsid w:val="00360ECC"/>
    <w:rsid w:val="003623CC"/>
    <w:rsid w:val="003623EE"/>
    <w:rsid w:val="0036244F"/>
    <w:rsid w:val="0036249E"/>
    <w:rsid w:val="003627D8"/>
    <w:rsid w:val="0036285F"/>
    <w:rsid w:val="00363151"/>
    <w:rsid w:val="00363234"/>
    <w:rsid w:val="00363600"/>
    <w:rsid w:val="0036381D"/>
    <w:rsid w:val="00364D8E"/>
    <w:rsid w:val="003656BA"/>
    <w:rsid w:val="003658C9"/>
    <w:rsid w:val="00365FDC"/>
    <w:rsid w:val="0036629F"/>
    <w:rsid w:val="0036716B"/>
    <w:rsid w:val="003706F3"/>
    <w:rsid w:val="00370A7A"/>
    <w:rsid w:val="00371074"/>
    <w:rsid w:val="00371459"/>
    <w:rsid w:val="00371848"/>
    <w:rsid w:val="00371EB7"/>
    <w:rsid w:val="00372ACA"/>
    <w:rsid w:val="00372D0F"/>
    <w:rsid w:val="00373002"/>
    <w:rsid w:val="0037311A"/>
    <w:rsid w:val="0037322A"/>
    <w:rsid w:val="0037352F"/>
    <w:rsid w:val="00373552"/>
    <w:rsid w:val="00373582"/>
    <w:rsid w:val="00373901"/>
    <w:rsid w:val="00374252"/>
    <w:rsid w:val="00375F59"/>
    <w:rsid w:val="003764B5"/>
    <w:rsid w:val="0037661D"/>
    <w:rsid w:val="00377330"/>
    <w:rsid w:val="003775B4"/>
    <w:rsid w:val="0037764E"/>
    <w:rsid w:val="003779B4"/>
    <w:rsid w:val="0038044E"/>
    <w:rsid w:val="00380964"/>
    <w:rsid w:val="0038155E"/>
    <w:rsid w:val="003817D2"/>
    <w:rsid w:val="00381D07"/>
    <w:rsid w:val="00381D0C"/>
    <w:rsid w:val="00381F74"/>
    <w:rsid w:val="00382832"/>
    <w:rsid w:val="00382A33"/>
    <w:rsid w:val="00382DF2"/>
    <w:rsid w:val="00384368"/>
    <w:rsid w:val="0038505B"/>
    <w:rsid w:val="003856B3"/>
    <w:rsid w:val="003856C3"/>
    <w:rsid w:val="00386054"/>
    <w:rsid w:val="003861CF"/>
    <w:rsid w:val="0038696D"/>
    <w:rsid w:val="00386B10"/>
    <w:rsid w:val="00387773"/>
    <w:rsid w:val="003878CD"/>
    <w:rsid w:val="00387A6E"/>
    <w:rsid w:val="00390D94"/>
    <w:rsid w:val="00391008"/>
    <w:rsid w:val="0039121C"/>
    <w:rsid w:val="00391435"/>
    <w:rsid w:val="00391573"/>
    <w:rsid w:val="00391B8B"/>
    <w:rsid w:val="00391C95"/>
    <w:rsid w:val="00391F92"/>
    <w:rsid w:val="00392F69"/>
    <w:rsid w:val="003933DC"/>
    <w:rsid w:val="00393D8E"/>
    <w:rsid w:val="003941D7"/>
    <w:rsid w:val="00394588"/>
    <w:rsid w:val="00394843"/>
    <w:rsid w:val="00394B78"/>
    <w:rsid w:val="00395085"/>
    <w:rsid w:val="00395487"/>
    <w:rsid w:val="003958A8"/>
    <w:rsid w:val="00395B57"/>
    <w:rsid w:val="00395CC7"/>
    <w:rsid w:val="00396278"/>
    <w:rsid w:val="00396688"/>
    <w:rsid w:val="0039682D"/>
    <w:rsid w:val="00396F94"/>
    <w:rsid w:val="003975ED"/>
    <w:rsid w:val="003A05FE"/>
    <w:rsid w:val="003A0757"/>
    <w:rsid w:val="003A0AA8"/>
    <w:rsid w:val="003A1896"/>
    <w:rsid w:val="003A1C4F"/>
    <w:rsid w:val="003A2D30"/>
    <w:rsid w:val="003A3317"/>
    <w:rsid w:val="003A436F"/>
    <w:rsid w:val="003A4574"/>
    <w:rsid w:val="003A4F50"/>
    <w:rsid w:val="003A6DFB"/>
    <w:rsid w:val="003A6FD7"/>
    <w:rsid w:val="003A7281"/>
    <w:rsid w:val="003A7305"/>
    <w:rsid w:val="003A7AAF"/>
    <w:rsid w:val="003A7B33"/>
    <w:rsid w:val="003A7CEB"/>
    <w:rsid w:val="003B03CF"/>
    <w:rsid w:val="003B06A9"/>
    <w:rsid w:val="003B094B"/>
    <w:rsid w:val="003B0F1C"/>
    <w:rsid w:val="003B1AC9"/>
    <w:rsid w:val="003B1E10"/>
    <w:rsid w:val="003B23A3"/>
    <w:rsid w:val="003B2E6F"/>
    <w:rsid w:val="003B3220"/>
    <w:rsid w:val="003B405C"/>
    <w:rsid w:val="003B4559"/>
    <w:rsid w:val="003B4B97"/>
    <w:rsid w:val="003B4E79"/>
    <w:rsid w:val="003B511B"/>
    <w:rsid w:val="003B537C"/>
    <w:rsid w:val="003B544F"/>
    <w:rsid w:val="003B59DA"/>
    <w:rsid w:val="003B610C"/>
    <w:rsid w:val="003B64BD"/>
    <w:rsid w:val="003B6885"/>
    <w:rsid w:val="003B69BF"/>
    <w:rsid w:val="003B6D44"/>
    <w:rsid w:val="003B761F"/>
    <w:rsid w:val="003B7BCA"/>
    <w:rsid w:val="003C22DA"/>
    <w:rsid w:val="003C30C7"/>
    <w:rsid w:val="003C31C1"/>
    <w:rsid w:val="003C3955"/>
    <w:rsid w:val="003C3C75"/>
    <w:rsid w:val="003C3CC7"/>
    <w:rsid w:val="003C4F7F"/>
    <w:rsid w:val="003C51A0"/>
    <w:rsid w:val="003C5541"/>
    <w:rsid w:val="003C5B62"/>
    <w:rsid w:val="003C5CF6"/>
    <w:rsid w:val="003C5F91"/>
    <w:rsid w:val="003C7202"/>
    <w:rsid w:val="003C76F8"/>
    <w:rsid w:val="003C7B0C"/>
    <w:rsid w:val="003C7DC0"/>
    <w:rsid w:val="003C7E4D"/>
    <w:rsid w:val="003D01D6"/>
    <w:rsid w:val="003D0220"/>
    <w:rsid w:val="003D060B"/>
    <w:rsid w:val="003D09AA"/>
    <w:rsid w:val="003D1125"/>
    <w:rsid w:val="003D14DE"/>
    <w:rsid w:val="003D1508"/>
    <w:rsid w:val="003D1577"/>
    <w:rsid w:val="003D18CD"/>
    <w:rsid w:val="003D1D7B"/>
    <w:rsid w:val="003D1F34"/>
    <w:rsid w:val="003D2864"/>
    <w:rsid w:val="003D3E64"/>
    <w:rsid w:val="003D439F"/>
    <w:rsid w:val="003D45DB"/>
    <w:rsid w:val="003D4DF3"/>
    <w:rsid w:val="003D4DFA"/>
    <w:rsid w:val="003D4E0D"/>
    <w:rsid w:val="003D5644"/>
    <w:rsid w:val="003D5C7C"/>
    <w:rsid w:val="003D61C9"/>
    <w:rsid w:val="003D6EFA"/>
    <w:rsid w:val="003D72E8"/>
    <w:rsid w:val="003D7524"/>
    <w:rsid w:val="003D7D20"/>
    <w:rsid w:val="003E026E"/>
    <w:rsid w:val="003E0299"/>
    <w:rsid w:val="003E0AAF"/>
    <w:rsid w:val="003E1364"/>
    <w:rsid w:val="003E1478"/>
    <w:rsid w:val="003E19DC"/>
    <w:rsid w:val="003E2034"/>
    <w:rsid w:val="003E2308"/>
    <w:rsid w:val="003E29CC"/>
    <w:rsid w:val="003E2A50"/>
    <w:rsid w:val="003E3325"/>
    <w:rsid w:val="003E3E23"/>
    <w:rsid w:val="003E4044"/>
    <w:rsid w:val="003E4D35"/>
    <w:rsid w:val="003E51C2"/>
    <w:rsid w:val="003E528B"/>
    <w:rsid w:val="003E57AB"/>
    <w:rsid w:val="003E5A0A"/>
    <w:rsid w:val="003E5D3F"/>
    <w:rsid w:val="003E5E7E"/>
    <w:rsid w:val="003E6CC0"/>
    <w:rsid w:val="003E7202"/>
    <w:rsid w:val="003E7C04"/>
    <w:rsid w:val="003F0883"/>
    <w:rsid w:val="003F0C5C"/>
    <w:rsid w:val="003F1802"/>
    <w:rsid w:val="003F1A50"/>
    <w:rsid w:val="003F1AA3"/>
    <w:rsid w:val="003F1E01"/>
    <w:rsid w:val="003F25CE"/>
    <w:rsid w:val="003F2E79"/>
    <w:rsid w:val="003F310D"/>
    <w:rsid w:val="003F3125"/>
    <w:rsid w:val="003F3194"/>
    <w:rsid w:val="003F3788"/>
    <w:rsid w:val="003F3C43"/>
    <w:rsid w:val="003F4EA4"/>
    <w:rsid w:val="003F5294"/>
    <w:rsid w:val="003F550E"/>
    <w:rsid w:val="003F5FC9"/>
    <w:rsid w:val="003F6EA3"/>
    <w:rsid w:val="003F717B"/>
    <w:rsid w:val="003F78E2"/>
    <w:rsid w:val="003F7DE8"/>
    <w:rsid w:val="003F7EDA"/>
    <w:rsid w:val="0040060B"/>
    <w:rsid w:val="00400C89"/>
    <w:rsid w:val="004013DF"/>
    <w:rsid w:val="0040141B"/>
    <w:rsid w:val="00401CBC"/>
    <w:rsid w:val="00401D1B"/>
    <w:rsid w:val="0040256E"/>
    <w:rsid w:val="00402756"/>
    <w:rsid w:val="00402B78"/>
    <w:rsid w:val="00402C7E"/>
    <w:rsid w:val="00402C93"/>
    <w:rsid w:val="00402CDC"/>
    <w:rsid w:val="004032A2"/>
    <w:rsid w:val="00403874"/>
    <w:rsid w:val="00403B9A"/>
    <w:rsid w:val="00404115"/>
    <w:rsid w:val="00404525"/>
    <w:rsid w:val="004052F4"/>
    <w:rsid w:val="00405A1E"/>
    <w:rsid w:val="00405A29"/>
    <w:rsid w:val="00406513"/>
    <w:rsid w:val="004065D9"/>
    <w:rsid w:val="00406B5E"/>
    <w:rsid w:val="00407F65"/>
    <w:rsid w:val="0041000E"/>
    <w:rsid w:val="00410C68"/>
    <w:rsid w:val="0041141C"/>
    <w:rsid w:val="00411D16"/>
    <w:rsid w:val="00411DF7"/>
    <w:rsid w:val="00412162"/>
    <w:rsid w:val="004121F7"/>
    <w:rsid w:val="0041226F"/>
    <w:rsid w:val="004130FA"/>
    <w:rsid w:val="00413272"/>
    <w:rsid w:val="00413771"/>
    <w:rsid w:val="004137BA"/>
    <w:rsid w:val="004149CB"/>
    <w:rsid w:val="00415398"/>
    <w:rsid w:val="00415DA3"/>
    <w:rsid w:val="0041660E"/>
    <w:rsid w:val="00416FDC"/>
    <w:rsid w:val="0041710E"/>
    <w:rsid w:val="00417B5D"/>
    <w:rsid w:val="00420180"/>
    <w:rsid w:val="004201F2"/>
    <w:rsid w:val="00420995"/>
    <w:rsid w:val="00420A1D"/>
    <w:rsid w:val="00420AB8"/>
    <w:rsid w:val="00421040"/>
    <w:rsid w:val="004213A4"/>
    <w:rsid w:val="00421851"/>
    <w:rsid w:val="00421BDA"/>
    <w:rsid w:val="00421C36"/>
    <w:rsid w:val="00421E51"/>
    <w:rsid w:val="00422666"/>
    <w:rsid w:val="004229A6"/>
    <w:rsid w:val="00424A9B"/>
    <w:rsid w:val="00424E05"/>
    <w:rsid w:val="004250EC"/>
    <w:rsid w:val="00425493"/>
    <w:rsid w:val="004259D7"/>
    <w:rsid w:val="00426914"/>
    <w:rsid w:val="004270B5"/>
    <w:rsid w:val="004270FB"/>
    <w:rsid w:val="00430064"/>
    <w:rsid w:val="0043073A"/>
    <w:rsid w:val="00431625"/>
    <w:rsid w:val="004319C9"/>
    <w:rsid w:val="00432D67"/>
    <w:rsid w:val="00433455"/>
    <w:rsid w:val="00433493"/>
    <w:rsid w:val="0043375A"/>
    <w:rsid w:val="00434513"/>
    <w:rsid w:val="0043467A"/>
    <w:rsid w:val="0043477D"/>
    <w:rsid w:val="0043483A"/>
    <w:rsid w:val="00434B22"/>
    <w:rsid w:val="00434B8C"/>
    <w:rsid w:val="0043539E"/>
    <w:rsid w:val="00435562"/>
    <w:rsid w:val="0043597D"/>
    <w:rsid w:val="00435BE8"/>
    <w:rsid w:val="00435D7E"/>
    <w:rsid w:val="004361AF"/>
    <w:rsid w:val="00437097"/>
    <w:rsid w:val="004374A8"/>
    <w:rsid w:val="0043777A"/>
    <w:rsid w:val="00440069"/>
    <w:rsid w:val="00440096"/>
    <w:rsid w:val="004400FB"/>
    <w:rsid w:val="0044038F"/>
    <w:rsid w:val="00440A3B"/>
    <w:rsid w:val="00440D56"/>
    <w:rsid w:val="00441040"/>
    <w:rsid w:val="00441A71"/>
    <w:rsid w:val="004420FD"/>
    <w:rsid w:val="004428DB"/>
    <w:rsid w:val="00442F68"/>
    <w:rsid w:val="00443689"/>
    <w:rsid w:val="00444502"/>
    <w:rsid w:val="004445DC"/>
    <w:rsid w:val="00444624"/>
    <w:rsid w:val="004446C0"/>
    <w:rsid w:val="0044546D"/>
    <w:rsid w:val="004454C1"/>
    <w:rsid w:val="00446196"/>
    <w:rsid w:val="004465C7"/>
    <w:rsid w:val="00446969"/>
    <w:rsid w:val="00446BCD"/>
    <w:rsid w:val="0044756D"/>
    <w:rsid w:val="0044780B"/>
    <w:rsid w:val="00447880"/>
    <w:rsid w:val="00447FF4"/>
    <w:rsid w:val="00450246"/>
    <w:rsid w:val="00450363"/>
    <w:rsid w:val="0045078D"/>
    <w:rsid w:val="004507FC"/>
    <w:rsid w:val="00451416"/>
    <w:rsid w:val="004535F7"/>
    <w:rsid w:val="00453730"/>
    <w:rsid w:val="004553C6"/>
    <w:rsid w:val="004559D0"/>
    <w:rsid w:val="00455A66"/>
    <w:rsid w:val="00455BA6"/>
    <w:rsid w:val="00456186"/>
    <w:rsid w:val="00456801"/>
    <w:rsid w:val="004573AA"/>
    <w:rsid w:val="004576C8"/>
    <w:rsid w:val="00461595"/>
    <w:rsid w:val="00461612"/>
    <w:rsid w:val="00461826"/>
    <w:rsid w:val="00461914"/>
    <w:rsid w:val="0046200E"/>
    <w:rsid w:val="00463ECF"/>
    <w:rsid w:val="0046485E"/>
    <w:rsid w:val="0046572C"/>
    <w:rsid w:val="00465A2C"/>
    <w:rsid w:val="00465ECE"/>
    <w:rsid w:val="00466177"/>
    <w:rsid w:val="004661E1"/>
    <w:rsid w:val="00466837"/>
    <w:rsid w:val="00466C99"/>
    <w:rsid w:val="00467AA9"/>
    <w:rsid w:val="00467BCE"/>
    <w:rsid w:val="00470318"/>
    <w:rsid w:val="0047116F"/>
    <w:rsid w:val="00471C13"/>
    <w:rsid w:val="00471DF0"/>
    <w:rsid w:val="004722DA"/>
    <w:rsid w:val="004723FD"/>
    <w:rsid w:val="00472534"/>
    <w:rsid w:val="00472540"/>
    <w:rsid w:val="004727B4"/>
    <w:rsid w:val="0047292A"/>
    <w:rsid w:val="00472C96"/>
    <w:rsid w:val="00472F2F"/>
    <w:rsid w:val="00474E63"/>
    <w:rsid w:val="00475ABE"/>
    <w:rsid w:val="00475C74"/>
    <w:rsid w:val="0047721A"/>
    <w:rsid w:val="004779AA"/>
    <w:rsid w:val="004779E7"/>
    <w:rsid w:val="00477A44"/>
    <w:rsid w:val="00477C38"/>
    <w:rsid w:val="00480200"/>
    <w:rsid w:val="004820E2"/>
    <w:rsid w:val="0048244C"/>
    <w:rsid w:val="004827EF"/>
    <w:rsid w:val="0048293F"/>
    <w:rsid w:val="00482CC3"/>
    <w:rsid w:val="00482F69"/>
    <w:rsid w:val="004831F7"/>
    <w:rsid w:val="004833B1"/>
    <w:rsid w:val="0048344F"/>
    <w:rsid w:val="004834AE"/>
    <w:rsid w:val="004835E9"/>
    <w:rsid w:val="00483B77"/>
    <w:rsid w:val="00483C74"/>
    <w:rsid w:val="00483CF8"/>
    <w:rsid w:val="00484329"/>
    <w:rsid w:val="00484E35"/>
    <w:rsid w:val="0048528A"/>
    <w:rsid w:val="004855EF"/>
    <w:rsid w:val="00485A43"/>
    <w:rsid w:val="004865F2"/>
    <w:rsid w:val="00486776"/>
    <w:rsid w:val="004867BD"/>
    <w:rsid w:val="00487147"/>
    <w:rsid w:val="0048759A"/>
    <w:rsid w:val="00490433"/>
    <w:rsid w:val="004906A4"/>
    <w:rsid w:val="0049080F"/>
    <w:rsid w:val="0049084F"/>
    <w:rsid w:val="004909C7"/>
    <w:rsid w:val="00491348"/>
    <w:rsid w:val="0049166E"/>
    <w:rsid w:val="00491A42"/>
    <w:rsid w:val="0049202E"/>
    <w:rsid w:val="004922BC"/>
    <w:rsid w:val="00492A0F"/>
    <w:rsid w:val="00492E42"/>
    <w:rsid w:val="00493B7A"/>
    <w:rsid w:val="00493D3A"/>
    <w:rsid w:val="00493E6F"/>
    <w:rsid w:val="00494FF3"/>
    <w:rsid w:val="00495426"/>
    <w:rsid w:val="00495451"/>
    <w:rsid w:val="00495668"/>
    <w:rsid w:val="00495905"/>
    <w:rsid w:val="0049601B"/>
    <w:rsid w:val="00496D36"/>
    <w:rsid w:val="00497DFB"/>
    <w:rsid w:val="00497FD1"/>
    <w:rsid w:val="004A022C"/>
    <w:rsid w:val="004A05BB"/>
    <w:rsid w:val="004A067F"/>
    <w:rsid w:val="004A07E9"/>
    <w:rsid w:val="004A105A"/>
    <w:rsid w:val="004A1C84"/>
    <w:rsid w:val="004A3073"/>
    <w:rsid w:val="004A3CD8"/>
    <w:rsid w:val="004A4184"/>
    <w:rsid w:val="004A458D"/>
    <w:rsid w:val="004A4D9A"/>
    <w:rsid w:val="004A5F06"/>
    <w:rsid w:val="004A5FE6"/>
    <w:rsid w:val="004A638D"/>
    <w:rsid w:val="004A6C08"/>
    <w:rsid w:val="004A7217"/>
    <w:rsid w:val="004A7C76"/>
    <w:rsid w:val="004B00DD"/>
    <w:rsid w:val="004B033B"/>
    <w:rsid w:val="004B0BB4"/>
    <w:rsid w:val="004B0E57"/>
    <w:rsid w:val="004B16E7"/>
    <w:rsid w:val="004B2168"/>
    <w:rsid w:val="004B27F6"/>
    <w:rsid w:val="004B2967"/>
    <w:rsid w:val="004B29F3"/>
    <w:rsid w:val="004B2C89"/>
    <w:rsid w:val="004B2CE4"/>
    <w:rsid w:val="004B34B1"/>
    <w:rsid w:val="004B43C3"/>
    <w:rsid w:val="004B4422"/>
    <w:rsid w:val="004B4466"/>
    <w:rsid w:val="004B446B"/>
    <w:rsid w:val="004B4628"/>
    <w:rsid w:val="004B4630"/>
    <w:rsid w:val="004B4810"/>
    <w:rsid w:val="004B4E39"/>
    <w:rsid w:val="004B4F57"/>
    <w:rsid w:val="004B5569"/>
    <w:rsid w:val="004B5D5E"/>
    <w:rsid w:val="004B649A"/>
    <w:rsid w:val="004B69F0"/>
    <w:rsid w:val="004B6C1F"/>
    <w:rsid w:val="004B7E81"/>
    <w:rsid w:val="004C04D5"/>
    <w:rsid w:val="004C0794"/>
    <w:rsid w:val="004C1114"/>
    <w:rsid w:val="004C1E38"/>
    <w:rsid w:val="004C2716"/>
    <w:rsid w:val="004C398E"/>
    <w:rsid w:val="004C44D1"/>
    <w:rsid w:val="004C457A"/>
    <w:rsid w:val="004C4893"/>
    <w:rsid w:val="004C4E96"/>
    <w:rsid w:val="004C5253"/>
    <w:rsid w:val="004C55CA"/>
    <w:rsid w:val="004C5A1D"/>
    <w:rsid w:val="004C6013"/>
    <w:rsid w:val="004C65A9"/>
    <w:rsid w:val="004C6E68"/>
    <w:rsid w:val="004C6EAF"/>
    <w:rsid w:val="004C6F06"/>
    <w:rsid w:val="004C7048"/>
    <w:rsid w:val="004C7293"/>
    <w:rsid w:val="004C7326"/>
    <w:rsid w:val="004C76CA"/>
    <w:rsid w:val="004C7962"/>
    <w:rsid w:val="004C7E0B"/>
    <w:rsid w:val="004D0323"/>
    <w:rsid w:val="004D044C"/>
    <w:rsid w:val="004D10D5"/>
    <w:rsid w:val="004D1274"/>
    <w:rsid w:val="004D147C"/>
    <w:rsid w:val="004D1565"/>
    <w:rsid w:val="004D15C1"/>
    <w:rsid w:val="004D16B3"/>
    <w:rsid w:val="004D1BFD"/>
    <w:rsid w:val="004D1FD3"/>
    <w:rsid w:val="004D2589"/>
    <w:rsid w:val="004D3D40"/>
    <w:rsid w:val="004D49F1"/>
    <w:rsid w:val="004D4A77"/>
    <w:rsid w:val="004D4E7B"/>
    <w:rsid w:val="004D5515"/>
    <w:rsid w:val="004D5555"/>
    <w:rsid w:val="004D5ACB"/>
    <w:rsid w:val="004D5D02"/>
    <w:rsid w:val="004D6DE1"/>
    <w:rsid w:val="004D6EDD"/>
    <w:rsid w:val="004D6F5D"/>
    <w:rsid w:val="004D6FA1"/>
    <w:rsid w:val="004D77C0"/>
    <w:rsid w:val="004D798F"/>
    <w:rsid w:val="004E0D99"/>
    <w:rsid w:val="004E0E41"/>
    <w:rsid w:val="004E107E"/>
    <w:rsid w:val="004E148E"/>
    <w:rsid w:val="004E15C6"/>
    <w:rsid w:val="004E2E5B"/>
    <w:rsid w:val="004E2FD6"/>
    <w:rsid w:val="004E36CE"/>
    <w:rsid w:val="004E3F97"/>
    <w:rsid w:val="004E418B"/>
    <w:rsid w:val="004E4467"/>
    <w:rsid w:val="004E4EA8"/>
    <w:rsid w:val="004E529A"/>
    <w:rsid w:val="004E583E"/>
    <w:rsid w:val="004E5CFC"/>
    <w:rsid w:val="004E713B"/>
    <w:rsid w:val="004E7324"/>
    <w:rsid w:val="004E74EF"/>
    <w:rsid w:val="004F0021"/>
    <w:rsid w:val="004F0EBC"/>
    <w:rsid w:val="004F0EFD"/>
    <w:rsid w:val="004F0FDC"/>
    <w:rsid w:val="004F13C5"/>
    <w:rsid w:val="004F1440"/>
    <w:rsid w:val="004F26C9"/>
    <w:rsid w:val="004F2F5A"/>
    <w:rsid w:val="004F3213"/>
    <w:rsid w:val="004F3346"/>
    <w:rsid w:val="004F3BAF"/>
    <w:rsid w:val="004F4B90"/>
    <w:rsid w:val="004F4F95"/>
    <w:rsid w:val="004F56B3"/>
    <w:rsid w:val="004F57B8"/>
    <w:rsid w:val="004F57E5"/>
    <w:rsid w:val="004F5B04"/>
    <w:rsid w:val="004F5E91"/>
    <w:rsid w:val="004F5F69"/>
    <w:rsid w:val="004F5F70"/>
    <w:rsid w:val="004F61DE"/>
    <w:rsid w:val="004F692E"/>
    <w:rsid w:val="004F700A"/>
    <w:rsid w:val="004F7038"/>
    <w:rsid w:val="004F778C"/>
    <w:rsid w:val="004F78A3"/>
    <w:rsid w:val="00500FDE"/>
    <w:rsid w:val="005013EC"/>
    <w:rsid w:val="00501567"/>
    <w:rsid w:val="00501757"/>
    <w:rsid w:val="00502C12"/>
    <w:rsid w:val="00502D50"/>
    <w:rsid w:val="0050301F"/>
    <w:rsid w:val="00503066"/>
    <w:rsid w:val="0050342F"/>
    <w:rsid w:val="00503654"/>
    <w:rsid w:val="00504BEF"/>
    <w:rsid w:val="00504E00"/>
    <w:rsid w:val="00506226"/>
    <w:rsid w:val="005067E7"/>
    <w:rsid w:val="005068C7"/>
    <w:rsid w:val="00507459"/>
    <w:rsid w:val="00507F27"/>
    <w:rsid w:val="00510318"/>
    <w:rsid w:val="0051051E"/>
    <w:rsid w:val="00511437"/>
    <w:rsid w:val="00511A12"/>
    <w:rsid w:val="00511BFF"/>
    <w:rsid w:val="0051396E"/>
    <w:rsid w:val="00513C0F"/>
    <w:rsid w:val="00514497"/>
    <w:rsid w:val="00514D70"/>
    <w:rsid w:val="00515698"/>
    <w:rsid w:val="00515E79"/>
    <w:rsid w:val="00515EC6"/>
    <w:rsid w:val="00516177"/>
    <w:rsid w:val="00516DAA"/>
    <w:rsid w:val="005170DF"/>
    <w:rsid w:val="00517824"/>
    <w:rsid w:val="0051783F"/>
    <w:rsid w:val="005208C8"/>
    <w:rsid w:val="00520BF4"/>
    <w:rsid w:val="00520C21"/>
    <w:rsid w:val="0052200B"/>
    <w:rsid w:val="005221B6"/>
    <w:rsid w:val="00523C33"/>
    <w:rsid w:val="00523F31"/>
    <w:rsid w:val="00524783"/>
    <w:rsid w:val="0052522F"/>
    <w:rsid w:val="00525551"/>
    <w:rsid w:val="00525805"/>
    <w:rsid w:val="00526088"/>
    <w:rsid w:val="005265AA"/>
    <w:rsid w:val="0052673D"/>
    <w:rsid w:val="0052736B"/>
    <w:rsid w:val="00527491"/>
    <w:rsid w:val="005302D3"/>
    <w:rsid w:val="0053031C"/>
    <w:rsid w:val="00530C17"/>
    <w:rsid w:val="005325FC"/>
    <w:rsid w:val="00532E12"/>
    <w:rsid w:val="00533A99"/>
    <w:rsid w:val="00533F43"/>
    <w:rsid w:val="00534D2F"/>
    <w:rsid w:val="005353F4"/>
    <w:rsid w:val="00535756"/>
    <w:rsid w:val="00535B43"/>
    <w:rsid w:val="00536ACF"/>
    <w:rsid w:val="00536B8A"/>
    <w:rsid w:val="00537D48"/>
    <w:rsid w:val="00540248"/>
    <w:rsid w:val="005402EC"/>
    <w:rsid w:val="00540896"/>
    <w:rsid w:val="0054116C"/>
    <w:rsid w:val="005411E8"/>
    <w:rsid w:val="005422AA"/>
    <w:rsid w:val="005426F9"/>
    <w:rsid w:val="005430E0"/>
    <w:rsid w:val="00543E41"/>
    <w:rsid w:val="00543FD8"/>
    <w:rsid w:val="00544DE6"/>
    <w:rsid w:val="00544F97"/>
    <w:rsid w:val="00545344"/>
    <w:rsid w:val="005455ED"/>
    <w:rsid w:val="00545600"/>
    <w:rsid w:val="00545E5F"/>
    <w:rsid w:val="00545EEB"/>
    <w:rsid w:val="0054627A"/>
    <w:rsid w:val="00546349"/>
    <w:rsid w:val="0054793E"/>
    <w:rsid w:val="00547E6E"/>
    <w:rsid w:val="00547EE7"/>
    <w:rsid w:val="00550BFB"/>
    <w:rsid w:val="005515F8"/>
    <w:rsid w:val="00551D99"/>
    <w:rsid w:val="00552F46"/>
    <w:rsid w:val="00553856"/>
    <w:rsid w:val="0055386B"/>
    <w:rsid w:val="00553FC3"/>
    <w:rsid w:val="005547A1"/>
    <w:rsid w:val="00554ED6"/>
    <w:rsid w:val="005553E0"/>
    <w:rsid w:val="0055580F"/>
    <w:rsid w:val="00555900"/>
    <w:rsid w:val="00555BC7"/>
    <w:rsid w:val="00556111"/>
    <w:rsid w:val="0055657B"/>
    <w:rsid w:val="00556D5D"/>
    <w:rsid w:val="00560378"/>
    <w:rsid w:val="0056041C"/>
    <w:rsid w:val="00560C33"/>
    <w:rsid w:val="0056151C"/>
    <w:rsid w:val="00561AB5"/>
    <w:rsid w:val="00562819"/>
    <w:rsid w:val="00562995"/>
    <w:rsid w:val="005631B8"/>
    <w:rsid w:val="005637DA"/>
    <w:rsid w:val="00563AC3"/>
    <w:rsid w:val="005641F5"/>
    <w:rsid w:val="00566A41"/>
    <w:rsid w:val="00566BB2"/>
    <w:rsid w:val="005704D9"/>
    <w:rsid w:val="00570550"/>
    <w:rsid w:val="0057072A"/>
    <w:rsid w:val="00571122"/>
    <w:rsid w:val="005712F8"/>
    <w:rsid w:val="005738EE"/>
    <w:rsid w:val="005739B5"/>
    <w:rsid w:val="00575CAF"/>
    <w:rsid w:val="0057620F"/>
    <w:rsid w:val="00576AC8"/>
    <w:rsid w:val="00577335"/>
    <w:rsid w:val="0057793C"/>
    <w:rsid w:val="00577D79"/>
    <w:rsid w:val="00580659"/>
    <w:rsid w:val="00580A60"/>
    <w:rsid w:val="00580C92"/>
    <w:rsid w:val="005817FB"/>
    <w:rsid w:val="005818A2"/>
    <w:rsid w:val="00581A82"/>
    <w:rsid w:val="00581BDB"/>
    <w:rsid w:val="00581C6D"/>
    <w:rsid w:val="00581EC6"/>
    <w:rsid w:val="00581F95"/>
    <w:rsid w:val="005821A0"/>
    <w:rsid w:val="005822C6"/>
    <w:rsid w:val="005827E2"/>
    <w:rsid w:val="0058281C"/>
    <w:rsid w:val="005829EC"/>
    <w:rsid w:val="00582C0F"/>
    <w:rsid w:val="00583545"/>
    <w:rsid w:val="00583C9A"/>
    <w:rsid w:val="00584A3B"/>
    <w:rsid w:val="00584D9F"/>
    <w:rsid w:val="00585490"/>
    <w:rsid w:val="005854B5"/>
    <w:rsid w:val="005859F9"/>
    <w:rsid w:val="00585B58"/>
    <w:rsid w:val="00592602"/>
    <w:rsid w:val="00592863"/>
    <w:rsid w:val="00593035"/>
    <w:rsid w:val="00593308"/>
    <w:rsid w:val="00594227"/>
    <w:rsid w:val="005942FA"/>
    <w:rsid w:val="005946CB"/>
    <w:rsid w:val="005948CB"/>
    <w:rsid w:val="00594C90"/>
    <w:rsid w:val="00594ED7"/>
    <w:rsid w:val="00595170"/>
    <w:rsid w:val="00595978"/>
    <w:rsid w:val="00596871"/>
    <w:rsid w:val="00596A91"/>
    <w:rsid w:val="005972E6"/>
    <w:rsid w:val="00597BE9"/>
    <w:rsid w:val="005A0048"/>
    <w:rsid w:val="005A00B1"/>
    <w:rsid w:val="005A0318"/>
    <w:rsid w:val="005A07EF"/>
    <w:rsid w:val="005A0A17"/>
    <w:rsid w:val="005A0A9A"/>
    <w:rsid w:val="005A0B8F"/>
    <w:rsid w:val="005A14F1"/>
    <w:rsid w:val="005A15B6"/>
    <w:rsid w:val="005A15C4"/>
    <w:rsid w:val="005A1A44"/>
    <w:rsid w:val="005A1CEC"/>
    <w:rsid w:val="005A1FE5"/>
    <w:rsid w:val="005A2272"/>
    <w:rsid w:val="005A264E"/>
    <w:rsid w:val="005A3564"/>
    <w:rsid w:val="005A3F00"/>
    <w:rsid w:val="005A43D8"/>
    <w:rsid w:val="005A48CE"/>
    <w:rsid w:val="005A566E"/>
    <w:rsid w:val="005A5F42"/>
    <w:rsid w:val="005A649A"/>
    <w:rsid w:val="005A64EF"/>
    <w:rsid w:val="005A65AE"/>
    <w:rsid w:val="005A6D9F"/>
    <w:rsid w:val="005A717E"/>
    <w:rsid w:val="005A7268"/>
    <w:rsid w:val="005B0262"/>
    <w:rsid w:val="005B0395"/>
    <w:rsid w:val="005B0506"/>
    <w:rsid w:val="005B0B5F"/>
    <w:rsid w:val="005B18FD"/>
    <w:rsid w:val="005B2086"/>
    <w:rsid w:val="005B2EAE"/>
    <w:rsid w:val="005B3959"/>
    <w:rsid w:val="005B3AC9"/>
    <w:rsid w:val="005B3AF0"/>
    <w:rsid w:val="005B5470"/>
    <w:rsid w:val="005B55DB"/>
    <w:rsid w:val="005B5F86"/>
    <w:rsid w:val="005B647F"/>
    <w:rsid w:val="005B64EA"/>
    <w:rsid w:val="005B69AC"/>
    <w:rsid w:val="005B6B4F"/>
    <w:rsid w:val="005B6BA9"/>
    <w:rsid w:val="005B6CF3"/>
    <w:rsid w:val="005B7344"/>
    <w:rsid w:val="005B75ED"/>
    <w:rsid w:val="005B783F"/>
    <w:rsid w:val="005C0628"/>
    <w:rsid w:val="005C0703"/>
    <w:rsid w:val="005C0AF9"/>
    <w:rsid w:val="005C2156"/>
    <w:rsid w:val="005C32C3"/>
    <w:rsid w:val="005C3769"/>
    <w:rsid w:val="005C4BC5"/>
    <w:rsid w:val="005C4C43"/>
    <w:rsid w:val="005C4D91"/>
    <w:rsid w:val="005C50CA"/>
    <w:rsid w:val="005C57B1"/>
    <w:rsid w:val="005C5B50"/>
    <w:rsid w:val="005C6741"/>
    <w:rsid w:val="005D0025"/>
    <w:rsid w:val="005D07D2"/>
    <w:rsid w:val="005D1620"/>
    <w:rsid w:val="005D1C4D"/>
    <w:rsid w:val="005D291D"/>
    <w:rsid w:val="005D32C3"/>
    <w:rsid w:val="005D378B"/>
    <w:rsid w:val="005D380C"/>
    <w:rsid w:val="005D3B52"/>
    <w:rsid w:val="005D41EE"/>
    <w:rsid w:val="005D492E"/>
    <w:rsid w:val="005D4D76"/>
    <w:rsid w:val="005D5337"/>
    <w:rsid w:val="005D7239"/>
    <w:rsid w:val="005D7576"/>
    <w:rsid w:val="005D77F1"/>
    <w:rsid w:val="005D7994"/>
    <w:rsid w:val="005D7B12"/>
    <w:rsid w:val="005D7DD9"/>
    <w:rsid w:val="005E038C"/>
    <w:rsid w:val="005E14C1"/>
    <w:rsid w:val="005E154E"/>
    <w:rsid w:val="005E1C1D"/>
    <w:rsid w:val="005E1CC3"/>
    <w:rsid w:val="005E2438"/>
    <w:rsid w:val="005E2745"/>
    <w:rsid w:val="005E2981"/>
    <w:rsid w:val="005E3241"/>
    <w:rsid w:val="005E4864"/>
    <w:rsid w:val="005E4DA7"/>
    <w:rsid w:val="005E520B"/>
    <w:rsid w:val="005E5227"/>
    <w:rsid w:val="005E5551"/>
    <w:rsid w:val="005E598C"/>
    <w:rsid w:val="005E5A78"/>
    <w:rsid w:val="005E6CD7"/>
    <w:rsid w:val="005E7245"/>
    <w:rsid w:val="005E75A7"/>
    <w:rsid w:val="005E7654"/>
    <w:rsid w:val="005F019A"/>
    <w:rsid w:val="005F0D1B"/>
    <w:rsid w:val="005F1516"/>
    <w:rsid w:val="005F16D1"/>
    <w:rsid w:val="005F213C"/>
    <w:rsid w:val="005F3431"/>
    <w:rsid w:val="005F34C3"/>
    <w:rsid w:val="005F35F2"/>
    <w:rsid w:val="005F42D2"/>
    <w:rsid w:val="005F46EA"/>
    <w:rsid w:val="005F4CF8"/>
    <w:rsid w:val="005F584B"/>
    <w:rsid w:val="005F5D2A"/>
    <w:rsid w:val="005F5D96"/>
    <w:rsid w:val="005F65FD"/>
    <w:rsid w:val="005F70B1"/>
    <w:rsid w:val="005F7AF8"/>
    <w:rsid w:val="005F7DC9"/>
    <w:rsid w:val="005F7E23"/>
    <w:rsid w:val="006004F3"/>
    <w:rsid w:val="0060050F"/>
    <w:rsid w:val="00601675"/>
    <w:rsid w:val="00601D6C"/>
    <w:rsid w:val="00602695"/>
    <w:rsid w:val="00602ECB"/>
    <w:rsid w:val="006037C6"/>
    <w:rsid w:val="00603890"/>
    <w:rsid w:val="00604026"/>
    <w:rsid w:val="00604429"/>
    <w:rsid w:val="00604B1E"/>
    <w:rsid w:val="00604F7C"/>
    <w:rsid w:val="00605997"/>
    <w:rsid w:val="00605ECF"/>
    <w:rsid w:val="00606138"/>
    <w:rsid w:val="006072A6"/>
    <w:rsid w:val="006074D7"/>
    <w:rsid w:val="00607DB2"/>
    <w:rsid w:val="006101D9"/>
    <w:rsid w:val="0061058B"/>
    <w:rsid w:val="006105EF"/>
    <w:rsid w:val="0061184A"/>
    <w:rsid w:val="00611BD9"/>
    <w:rsid w:val="00611CA5"/>
    <w:rsid w:val="00612532"/>
    <w:rsid w:val="00612562"/>
    <w:rsid w:val="00612631"/>
    <w:rsid w:val="00612ADE"/>
    <w:rsid w:val="00612DFF"/>
    <w:rsid w:val="006134BB"/>
    <w:rsid w:val="006137BC"/>
    <w:rsid w:val="00613878"/>
    <w:rsid w:val="00613DB0"/>
    <w:rsid w:val="0061417A"/>
    <w:rsid w:val="006142B3"/>
    <w:rsid w:val="0061449C"/>
    <w:rsid w:val="0061453F"/>
    <w:rsid w:val="00615641"/>
    <w:rsid w:val="00616E98"/>
    <w:rsid w:val="0061703B"/>
    <w:rsid w:val="006176EC"/>
    <w:rsid w:val="00621753"/>
    <w:rsid w:val="00621D40"/>
    <w:rsid w:val="00621E04"/>
    <w:rsid w:val="006225AE"/>
    <w:rsid w:val="00622810"/>
    <w:rsid w:val="00622AA3"/>
    <w:rsid w:val="00622F6B"/>
    <w:rsid w:val="00623978"/>
    <w:rsid w:val="00623A5D"/>
    <w:rsid w:val="00623BB1"/>
    <w:rsid w:val="00624333"/>
    <w:rsid w:val="006248C7"/>
    <w:rsid w:val="006256B7"/>
    <w:rsid w:val="006270B8"/>
    <w:rsid w:val="006273C2"/>
    <w:rsid w:val="0063002C"/>
    <w:rsid w:val="00630341"/>
    <w:rsid w:val="0063090A"/>
    <w:rsid w:val="00630CB4"/>
    <w:rsid w:val="00632213"/>
    <w:rsid w:val="00632B1E"/>
    <w:rsid w:val="00633E0D"/>
    <w:rsid w:val="006358EF"/>
    <w:rsid w:val="00635CBC"/>
    <w:rsid w:val="00635D15"/>
    <w:rsid w:val="006362E2"/>
    <w:rsid w:val="0063707C"/>
    <w:rsid w:val="00637191"/>
    <w:rsid w:val="00637FAD"/>
    <w:rsid w:val="00640086"/>
    <w:rsid w:val="0064047C"/>
    <w:rsid w:val="006407D1"/>
    <w:rsid w:val="00641349"/>
    <w:rsid w:val="006415A8"/>
    <w:rsid w:val="006427C4"/>
    <w:rsid w:val="00642F58"/>
    <w:rsid w:val="00643CB0"/>
    <w:rsid w:val="006444E8"/>
    <w:rsid w:val="00644765"/>
    <w:rsid w:val="006447C4"/>
    <w:rsid w:val="0064574C"/>
    <w:rsid w:val="00645861"/>
    <w:rsid w:val="00646367"/>
    <w:rsid w:val="00646C5A"/>
    <w:rsid w:val="00646C92"/>
    <w:rsid w:val="00647364"/>
    <w:rsid w:val="006476CF"/>
    <w:rsid w:val="00650223"/>
    <w:rsid w:val="0065066F"/>
    <w:rsid w:val="00651450"/>
    <w:rsid w:val="0065164B"/>
    <w:rsid w:val="006516C8"/>
    <w:rsid w:val="00651C25"/>
    <w:rsid w:val="00651CCB"/>
    <w:rsid w:val="006522E4"/>
    <w:rsid w:val="00653310"/>
    <w:rsid w:val="0065399A"/>
    <w:rsid w:val="00655F58"/>
    <w:rsid w:val="0065661B"/>
    <w:rsid w:val="00656AE8"/>
    <w:rsid w:val="00656EF9"/>
    <w:rsid w:val="0065714B"/>
    <w:rsid w:val="00657698"/>
    <w:rsid w:val="00657EF4"/>
    <w:rsid w:val="006603DD"/>
    <w:rsid w:val="00660631"/>
    <w:rsid w:val="006615C1"/>
    <w:rsid w:val="00661661"/>
    <w:rsid w:val="00661D05"/>
    <w:rsid w:val="00662861"/>
    <w:rsid w:val="006628B1"/>
    <w:rsid w:val="0066339A"/>
    <w:rsid w:val="006637BD"/>
    <w:rsid w:val="00663C43"/>
    <w:rsid w:val="00663FF6"/>
    <w:rsid w:val="0066480E"/>
    <w:rsid w:val="00664876"/>
    <w:rsid w:val="00664E5F"/>
    <w:rsid w:val="0066518A"/>
    <w:rsid w:val="00666957"/>
    <w:rsid w:val="00666F89"/>
    <w:rsid w:val="006677AA"/>
    <w:rsid w:val="00667ED1"/>
    <w:rsid w:val="00667FD0"/>
    <w:rsid w:val="0067029C"/>
    <w:rsid w:val="00670573"/>
    <w:rsid w:val="0067152E"/>
    <w:rsid w:val="00671571"/>
    <w:rsid w:val="00672326"/>
    <w:rsid w:val="006724B5"/>
    <w:rsid w:val="0067257E"/>
    <w:rsid w:val="00673628"/>
    <w:rsid w:val="00673755"/>
    <w:rsid w:val="00673942"/>
    <w:rsid w:val="006745EF"/>
    <w:rsid w:val="00674D8B"/>
    <w:rsid w:val="00675B3F"/>
    <w:rsid w:val="00675E12"/>
    <w:rsid w:val="00676369"/>
    <w:rsid w:val="00676FEA"/>
    <w:rsid w:val="006775EF"/>
    <w:rsid w:val="00677DAA"/>
    <w:rsid w:val="006801CC"/>
    <w:rsid w:val="00680249"/>
    <w:rsid w:val="006804CE"/>
    <w:rsid w:val="006811D8"/>
    <w:rsid w:val="00681465"/>
    <w:rsid w:val="00682705"/>
    <w:rsid w:val="00683781"/>
    <w:rsid w:val="006842B4"/>
    <w:rsid w:val="00685FCA"/>
    <w:rsid w:val="00686AFC"/>
    <w:rsid w:val="00687CAB"/>
    <w:rsid w:val="00687DF1"/>
    <w:rsid w:val="00687EDD"/>
    <w:rsid w:val="0069001F"/>
    <w:rsid w:val="006908EE"/>
    <w:rsid w:val="00690EA9"/>
    <w:rsid w:val="00690FA3"/>
    <w:rsid w:val="00691286"/>
    <w:rsid w:val="006912C0"/>
    <w:rsid w:val="0069290A"/>
    <w:rsid w:val="0069293D"/>
    <w:rsid w:val="006929E3"/>
    <w:rsid w:val="00692BD1"/>
    <w:rsid w:val="00692FF8"/>
    <w:rsid w:val="0069329D"/>
    <w:rsid w:val="00693C25"/>
    <w:rsid w:val="00694F0E"/>
    <w:rsid w:val="00694FA8"/>
    <w:rsid w:val="006956A5"/>
    <w:rsid w:val="006957B4"/>
    <w:rsid w:val="00695814"/>
    <w:rsid w:val="00695E48"/>
    <w:rsid w:val="00696D60"/>
    <w:rsid w:val="0069721D"/>
    <w:rsid w:val="00697520"/>
    <w:rsid w:val="00697C94"/>
    <w:rsid w:val="006A0C49"/>
    <w:rsid w:val="006A11C8"/>
    <w:rsid w:val="006A129E"/>
    <w:rsid w:val="006A1AAF"/>
    <w:rsid w:val="006A1BCC"/>
    <w:rsid w:val="006A3041"/>
    <w:rsid w:val="006A308B"/>
    <w:rsid w:val="006A30DA"/>
    <w:rsid w:val="006A31B1"/>
    <w:rsid w:val="006A31C0"/>
    <w:rsid w:val="006A32C5"/>
    <w:rsid w:val="006A33A4"/>
    <w:rsid w:val="006A3527"/>
    <w:rsid w:val="006A3A03"/>
    <w:rsid w:val="006A3CBA"/>
    <w:rsid w:val="006A44A6"/>
    <w:rsid w:val="006A4C35"/>
    <w:rsid w:val="006A5651"/>
    <w:rsid w:val="006A7328"/>
    <w:rsid w:val="006B037D"/>
    <w:rsid w:val="006B1158"/>
    <w:rsid w:val="006B1B49"/>
    <w:rsid w:val="006B1EBE"/>
    <w:rsid w:val="006B257E"/>
    <w:rsid w:val="006B2782"/>
    <w:rsid w:val="006B3767"/>
    <w:rsid w:val="006B470A"/>
    <w:rsid w:val="006B4926"/>
    <w:rsid w:val="006B4E33"/>
    <w:rsid w:val="006B5146"/>
    <w:rsid w:val="006B5854"/>
    <w:rsid w:val="006B5A22"/>
    <w:rsid w:val="006B5C11"/>
    <w:rsid w:val="006B5E37"/>
    <w:rsid w:val="006B69B7"/>
    <w:rsid w:val="006C025D"/>
    <w:rsid w:val="006C055A"/>
    <w:rsid w:val="006C07A5"/>
    <w:rsid w:val="006C0895"/>
    <w:rsid w:val="006C0CDF"/>
    <w:rsid w:val="006C0EBA"/>
    <w:rsid w:val="006C0FA7"/>
    <w:rsid w:val="006C0FE4"/>
    <w:rsid w:val="006C1249"/>
    <w:rsid w:val="006C155A"/>
    <w:rsid w:val="006C17D7"/>
    <w:rsid w:val="006C2518"/>
    <w:rsid w:val="006C2980"/>
    <w:rsid w:val="006C3E31"/>
    <w:rsid w:val="006C440A"/>
    <w:rsid w:val="006C4721"/>
    <w:rsid w:val="006C5814"/>
    <w:rsid w:val="006C5823"/>
    <w:rsid w:val="006C5F8E"/>
    <w:rsid w:val="006C6144"/>
    <w:rsid w:val="006C61C4"/>
    <w:rsid w:val="006C6D8D"/>
    <w:rsid w:val="006C7046"/>
    <w:rsid w:val="006D0288"/>
    <w:rsid w:val="006D0395"/>
    <w:rsid w:val="006D0F73"/>
    <w:rsid w:val="006D13B4"/>
    <w:rsid w:val="006D20B7"/>
    <w:rsid w:val="006D2572"/>
    <w:rsid w:val="006D25AE"/>
    <w:rsid w:val="006D264B"/>
    <w:rsid w:val="006D2CA2"/>
    <w:rsid w:val="006D2ED8"/>
    <w:rsid w:val="006D38CA"/>
    <w:rsid w:val="006D4041"/>
    <w:rsid w:val="006D40AC"/>
    <w:rsid w:val="006D439B"/>
    <w:rsid w:val="006D4486"/>
    <w:rsid w:val="006D4813"/>
    <w:rsid w:val="006D59AD"/>
    <w:rsid w:val="006D5E3D"/>
    <w:rsid w:val="006D6139"/>
    <w:rsid w:val="006D67FD"/>
    <w:rsid w:val="006E0FD6"/>
    <w:rsid w:val="006E181D"/>
    <w:rsid w:val="006E1C68"/>
    <w:rsid w:val="006E1CEB"/>
    <w:rsid w:val="006E1D64"/>
    <w:rsid w:val="006E1DF8"/>
    <w:rsid w:val="006E1F8C"/>
    <w:rsid w:val="006E25DD"/>
    <w:rsid w:val="006E3FBB"/>
    <w:rsid w:val="006E4263"/>
    <w:rsid w:val="006E4A30"/>
    <w:rsid w:val="006E4B1E"/>
    <w:rsid w:val="006E4D0D"/>
    <w:rsid w:val="006E5795"/>
    <w:rsid w:val="006E57F6"/>
    <w:rsid w:val="006E6194"/>
    <w:rsid w:val="006E652F"/>
    <w:rsid w:val="006E6B81"/>
    <w:rsid w:val="006E6E8D"/>
    <w:rsid w:val="006E71F0"/>
    <w:rsid w:val="006E7A09"/>
    <w:rsid w:val="006F04F6"/>
    <w:rsid w:val="006F06C0"/>
    <w:rsid w:val="006F07EE"/>
    <w:rsid w:val="006F0B39"/>
    <w:rsid w:val="006F1932"/>
    <w:rsid w:val="006F1C02"/>
    <w:rsid w:val="006F1C9A"/>
    <w:rsid w:val="006F1DA6"/>
    <w:rsid w:val="006F1F7D"/>
    <w:rsid w:val="006F2A1B"/>
    <w:rsid w:val="006F2BD6"/>
    <w:rsid w:val="006F43D9"/>
    <w:rsid w:val="006F46C5"/>
    <w:rsid w:val="006F4E77"/>
    <w:rsid w:val="006F5B00"/>
    <w:rsid w:val="006F6505"/>
    <w:rsid w:val="006F6554"/>
    <w:rsid w:val="006F67A3"/>
    <w:rsid w:val="006F724D"/>
    <w:rsid w:val="006F7A6C"/>
    <w:rsid w:val="007002B8"/>
    <w:rsid w:val="007009D4"/>
    <w:rsid w:val="00701748"/>
    <w:rsid w:val="00702D56"/>
    <w:rsid w:val="00703757"/>
    <w:rsid w:val="00703AEC"/>
    <w:rsid w:val="00703BEC"/>
    <w:rsid w:val="00703C9F"/>
    <w:rsid w:val="00703F34"/>
    <w:rsid w:val="00705003"/>
    <w:rsid w:val="0070532D"/>
    <w:rsid w:val="00705BE7"/>
    <w:rsid w:val="00706668"/>
    <w:rsid w:val="00707A1C"/>
    <w:rsid w:val="00707F4C"/>
    <w:rsid w:val="00710147"/>
    <w:rsid w:val="007109FF"/>
    <w:rsid w:val="00710B58"/>
    <w:rsid w:val="00710C1A"/>
    <w:rsid w:val="00710ED9"/>
    <w:rsid w:val="007114EF"/>
    <w:rsid w:val="007115E8"/>
    <w:rsid w:val="00712578"/>
    <w:rsid w:val="00712D93"/>
    <w:rsid w:val="00712EFB"/>
    <w:rsid w:val="0071346C"/>
    <w:rsid w:val="00713F28"/>
    <w:rsid w:val="00713F7F"/>
    <w:rsid w:val="007144C4"/>
    <w:rsid w:val="007154BD"/>
    <w:rsid w:val="00715C85"/>
    <w:rsid w:val="00715F18"/>
    <w:rsid w:val="0071622D"/>
    <w:rsid w:val="00716696"/>
    <w:rsid w:val="00716F63"/>
    <w:rsid w:val="00720ECB"/>
    <w:rsid w:val="00721C99"/>
    <w:rsid w:val="00722A12"/>
    <w:rsid w:val="0072324A"/>
    <w:rsid w:val="0072337F"/>
    <w:rsid w:val="00723E77"/>
    <w:rsid w:val="00724022"/>
    <w:rsid w:val="00725618"/>
    <w:rsid w:val="0072595D"/>
    <w:rsid w:val="00725C16"/>
    <w:rsid w:val="00725E00"/>
    <w:rsid w:val="00725EF6"/>
    <w:rsid w:val="00725FC8"/>
    <w:rsid w:val="00726EA6"/>
    <w:rsid w:val="00726F7A"/>
    <w:rsid w:val="00727079"/>
    <w:rsid w:val="00730ED7"/>
    <w:rsid w:val="00731FD4"/>
    <w:rsid w:val="0073254E"/>
    <w:rsid w:val="00732A5B"/>
    <w:rsid w:val="00732E35"/>
    <w:rsid w:val="00733039"/>
    <w:rsid w:val="0073351D"/>
    <w:rsid w:val="0073405C"/>
    <w:rsid w:val="00734124"/>
    <w:rsid w:val="00734424"/>
    <w:rsid w:val="0073465B"/>
    <w:rsid w:val="00734D30"/>
    <w:rsid w:val="00734E88"/>
    <w:rsid w:val="007350B0"/>
    <w:rsid w:val="007355B1"/>
    <w:rsid w:val="00735E86"/>
    <w:rsid w:val="00736238"/>
    <w:rsid w:val="007364B2"/>
    <w:rsid w:val="007371E5"/>
    <w:rsid w:val="007404C2"/>
    <w:rsid w:val="007404D9"/>
    <w:rsid w:val="007406D1"/>
    <w:rsid w:val="007409CA"/>
    <w:rsid w:val="00741007"/>
    <w:rsid w:val="00741491"/>
    <w:rsid w:val="00741638"/>
    <w:rsid w:val="00741EEB"/>
    <w:rsid w:val="007420D3"/>
    <w:rsid w:val="007425AE"/>
    <w:rsid w:val="0074271F"/>
    <w:rsid w:val="0074286F"/>
    <w:rsid w:val="00742CBE"/>
    <w:rsid w:val="00742E28"/>
    <w:rsid w:val="00742E3E"/>
    <w:rsid w:val="0074312E"/>
    <w:rsid w:val="00743553"/>
    <w:rsid w:val="007438EE"/>
    <w:rsid w:val="00743984"/>
    <w:rsid w:val="00743AD4"/>
    <w:rsid w:val="007448B0"/>
    <w:rsid w:val="007448B5"/>
    <w:rsid w:val="00744C60"/>
    <w:rsid w:val="00745223"/>
    <w:rsid w:val="007459D6"/>
    <w:rsid w:val="00745B70"/>
    <w:rsid w:val="007465D9"/>
    <w:rsid w:val="00746666"/>
    <w:rsid w:val="007466E0"/>
    <w:rsid w:val="00746A52"/>
    <w:rsid w:val="00746F66"/>
    <w:rsid w:val="0074750D"/>
    <w:rsid w:val="007476D8"/>
    <w:rsid w:val="00747B04"/>
    <w:rsid w:val="00747ED1"/>
    <w:rsid w:val="007507E6"/>
    <w:rsid w:val="00751140"/>
    <w:rsid w:val="0075153E"/>
    <w:rsid w:val="00751919"/>
    <w:rsid w:val="00751C03"/>
    <w:rsid w:val="00751E7B"/>
    <w:rsid w:val="007524B1"/>
    <w:rsid w:val="007524F4"/>
    <w:rsid w:val="0075263D"/>
    <w:rsid w:val="00752B98"/>
    <w:rsid w:val="00752C42"/>
    <w:rsid w:val="00752D66"/>
    <w:rsid w:val="0075339D"/>
    <w:rsid w:val="00753595"/>
    <w:rsid w:val="0075425A"/>
    <w:rsid w:val="00754798"/>
    <w:rsid w:val="00754AD1"/>
    <w:rsid w:val="00754D5E"/>
    <w:rsid w:val="00754ECD"/>
    <w:rsid w:val="00755421"/>
    <w:rsid w:val="00755E68"/>
    <w:rsid w:val="007562D5"/>
    <w:rsid w:val="007570AA"/>
    <w:rsid w:val="00757254"/>
    <w:rsid w:val="00757F5D"/>
    <w:rsid w:val="00760043"/>
    <w:rsid w:val="007608A6"/>
    <w:rsid w:val="0076232E"/>
    <w:rsid w:val="007627AE"/>
    <w:rsid w:val="00762833"/>
    <w:rsid w:val="00763365"/>
    <w:rsid w:val="00763870"/>
    <w:rsid w:val="00763C51"/>
    <w:rsid w:val="00763C74"/>
    <w:rsid w:val="00764E2E"/>
    <w:rsid w:val="0076528B"/>
    <w:rsid w:val="0076557C"/>
    <w:rsid w:val="007656E7"/>
    <w:rsid w:val="0076598B"/>
    <w:rsid w:val="00766920"/>
    <w:rsid w:val="00766C22"/>
    <w:rsid w:val="00766CE7"/>
    <w:rsid w:val="00766F62"/>
    <w:rsid w:val="00767165"/>
    <w:rsid w:val="00767178"/>
    <w:rsid w:val="00767B39"/>
    <w:rsid w:val="00767C2E"/>
    <w:rsid w:val="00767E62"/>
    <w:rsid w:val="00767F88"/>
    <w:rsid w:val="00770584"/>
    <w:rsid w:val="00770972"/>
    <w:rsid w:val="007717C4"/>
    <w:rsid w:val="00771CF8"/>
    <w:rsid w:val="00772699"/>
    <w:rsid w:val="00772992"/>
    <w:rsid w:val="00772C00"/>
    <w:rsid w:val="00772EE2"/>
    <w:rsid w:val="00773098"/>
    <w:rsid w:val="007731D1"/>
    <w:rsid w:val="00773343"/>
    <w:rsid w:val="00774831"/>
    <w:rsid w:val="00774973"/>
    <w:rsid w:val="00774975"/>
    <w:rsid w:val="007750A3"/>
    <w:rsid w:val="00775F1A"/>
    <w:rsid w:val="007762AA"/>
    <w:rsid w:val="00776B76"/>
    <w:rsid w:val="00777369"/>
    <w:rsid w:val="007777F9"/>
    <w:rsid w:val="00780063"/>
    <w:rsid w:val="0078044B"/>
    <w:rsid w:val="00780BC7"/>
    <w:rsid w:val="00781186"/>
    <w:rsid w:val="007828CB"/>
    <w:rsid w:val="00782CC2"/>
    <w:rsid w:val="00783782"/>
    <w:rsid w:val="00783941"/>
    <w:rsid w:val="00783C3C"/>
    <w:rsid w:val="00783E4B"/>
    <w:rsid w:val="0078485F"/>
    <w:rsid w:val="00784E6B"/>
    <w:rsid w:val="00786A55"/>
    <w:rsid w:val="00787135"/>
    <w:rsid w:val="007878FC"/>
    <w:rsid w:val="00790185"/>
    <w:rsid w:val="00790BA3"/>
    <w:rsid w:val="00790CDE"/>
    <w:rsid w:val="00790CEB"/>
    <w:rsid w:val="00790DFF"/>
    <w:rsid w:val="00791187"/>
    <w:rsid w:val="007913B9"/>
    <w:rsid w:val="00791673"/>
    <w:rsid w:val="007917DA"/>
    <w:rsid w:val="00791862"/>
    <w:rsid w:val="00791FD4"/>
    <w:rsid w:val="00792E06"/>
    <w:rsid w:val="00792E58"/>
    <w:rsid w:val="00792FC9"/>
    <w:rsid w:val="00793BDA"/>
    <w:rsid w:val="00793D9E"/>
    <w:rsid w:val="00794869"/>
    <w:rsid w:val="007949A4"/>
    <w:rsid w:val="00795860"/>
    <w:rsid w:val="00796F74"/>
    <w:rsid w:val="00797128"/>
    <w:rsid w:val="007975B4"/>
    <w:rsid w:val="007975F5"/>
    <w:rsid w:val="00797A3C"/>
    <w:rsid w:val="007A0306"/>
    <w:rsid w:val="007A07D3"/>
    <w:rsid w:val="007A0DE9"/>
    <w:rsid w:val="007A1222"/>
    <w:rsid w:val="007A159A"/>
    <w:rsid w:val="007A1632"/>
    <w:rsid w:val="007A1D10"/>
    <w:rsid w:val="007A2CB5"/>
    <w:rsid w:val="007A2E3B"/>
    <w:rsid w:val="007A3440"/>
    <w:rsid w:val="007A38C9"/>
    <w:rsid w:val="007A3F1E"/>
    <w:rsid w:val="007A450A"/>
    <w:rsid w:val="007A468C"/>
    <w:rsid w:val="007A5011"/>
    <w:rsid w:val="007A5514"/>
    <w:rsid w:val="007A5C00"/>
    <w:rsid w:val="007A620D"/>
    <w:rsid w:val="007A68F1"/>
    <w:rsid w:val="007A6A11"/>
    <w:rsid w:val="007A6C69"/>
    <w:rsid w:val="007A6ED5"/>
    <w:rsid w:val="007A749A"/>
    <w:rsid w:val="007A77C6"/>
    <w:rsid w:val="007B04CA"/>
    <w:rsid w:val="007B079C"/>
    <w:rsid w:val="007B07BC"/>
    <w:rsid w:val="007B1532"/>
    <w:rsid w:val="007B157E"/>
    <w:rsid w:val="007B1A1F"/>
    <w:rsid w:val="007B2477"/>
    <w:rsid w:val="007B25E2"/>
    <w:rsid w:val="007B26EC"/>
    <w:rsid w:val="007B31CF"/>
    <w:rsid w:val="007B3221"/>
    <w:rsid w:val="007B36CD"/>
    <w:rsid w:val="007B3737"/>
    <w:rsid w:val="007B3D00"/>
    <w:rsid w:val="007B404B"/>
    <w:rsid w:val="007B46A3"/>
    <w:rsid w:val="007B48A7"/>
    <w:rsid w:val="007B4F8C"/>
    <w:rsid w:val="007B5101"/>
    <w:rsid w:val="007B5C7F"/>
    <w:rsid w:val="007B632B"/>
    <w:rsid w:val="007B643F"/>
    <w:rsid w:val="007B7022"/>
    <w:rsid w:val="007B7275"/>
    <w:rsid w:val="007B7D4F"/>
    <w:rsid w:val="007C00AF"/>
    <w:rsid w:val="007C042C"/>
    <w:rsid w:val="007C0C65"/>
    <w:rsid w:val="007C0CCF"/>
    <w:rsid w:val="007C138A"/>
    <w:rsid w:val="007C1A86"/>
    <w:rsid w:val="007C1D0A"/>
    <w:rsid w:val="007C2A22"/>
    <w:rsid w:val="007C2B2A"/>
    <w:rsid w:val="007C2D60"/>
    <w:rsid w:val="007C2F5F"/>
    <w:rsid w:val="007C35EE"/>
    <w:rsid w:val="007C4596"/>
    <w:rsid w:val="007C462B"/>
    <w:rsid w:val="007C47C4"/>
    <w:rsid w:val="007C500D"/>
    <w:rsid w:val="007C55E7"/>
    <w:rsid w:val="007C575B"/>
    <w:rsid w:val="007C59D3"/>
    <w:rsid w:val="007C65A9"/>
    <w:rsid w:val="007C72C0"/>
    <w:rsid w:val="007C7A7B"/>
    <w:rsid w:val="007C7D96"/>
    <w:rsid w:val="007D097E"/>
    <w:rsid w:val="007D0D5B"/>
    <w:rsid w:val="007D1137"/>
    <w:rsid w:val="007D1F04"/>
    <w:rsid w:val="007D2692"/>
    <w:rsid w:val="007D352C"/>
    <w:rsid w:val="007D3598"/>
    <w:rsid w:val="007D36BD"/>
    <w:rsid w:val="007D4396"/>
    <w:rsid w:val="007D5054"/>
    <w:rsid w:val="007D6A26"/>
    <w:rsid w:val="007D6CEE"/>
    <w:rsid w:val="007D74A9"/>
    <w:rsid w:val="007E013B"/>
    <w:rsid w:val="007E0391"/>
    <w:rsid w:val="007E07DD"/>
    <w:rsid w:val="007E096C"/>
    <w:rsid w:val="007E1423"/>
    <w:rsid w:val="007E1581"/>
    <w:rsid w:val="007E19C8"/>
    <w:rsid w:val="007E2222"/>
    <w:rsid w:val="007E28BC"/>
    <w:rsid w:val="007E2C82"/>
    <w:rsid w:val="007E2C9C"/>
    <w:rsid w:val="007E3BED"/>
    <w:rsid w:val="007E4905"/>
    <w:rsid w:val="007E4C69"/>
    <w:rsid w:val="007E5167"/>
    <w:rsid w:val="007E5260"/>
    <w:rsid w:val="007E5345"/>
    <w:rsid w:val="007E591B"/>
    <w:rsid w:val="007E5F18"/>
    <w:rsid w:val="007E65F7"/>
    <w:rsid w:val="007E6CB8"/>
    <w:rsid w:val="007E7A19"/>
    <w:rsid w:val="007F0F19"/>
    <w:rsid w:val="007F103E"/>
    <w:rsid w:val="007F1515"/>
    <w:rsid w:val="007F28D0"/>
    <w:rsid w:val="007F32CC"/>
    <w:rsid w:val="007F3C87"/>
    <w:rsid w:val="007F3E3D"/>
    <w:rsid w:val="007F3E48"/>
    <w:rsid w:val="007F46FE"/>
    <w:rsid w:val="007F4D70"/>
    <w:rsid w:val="007F56EB"/>
    <w:rsid w:val="007F5B76"/>
    <w:rsid w:val="007F5D38"/>
    <w:rsid w:val="007F6675"/>
    <w:rsid w:val="007F699C"/>
    <w:rsid w:val="007F6A1A"/>
    <w:rsid w:val="007F6B27"/>
    <w:rsid w:val="007F6C0F"/>
    <w:rsid w:val="007F6C45"/>
    <w:rsid w:val="007F72E2"/>
    <w:rsid w:val="007F73FC"/>
    <w:rsid w:val="007F76D2"/>
    <w:rsid w:val="007F7922"/>
    <w:rsid w:val="008004A6"/>
    <w:rsid w:val="008005F8"/>
    <w:rsid w:val="00800D87"/>
    <w:rsid w:val="00800F73"/>
    <w:rsid w:val="008013C3"/>
    <w:rsid w:val="008021BB"/>
    <w:rsid w:val="00803A3C"/>
    <w:rsid w:val="008042E1"/>
    <w:rsid w:val="00804D3D"/>
    <w:rsid w:val="00804D73"/>
    <w:rsid w:val="00806111"/>
    <w:rsid w:val="008062F4"/>
    <w:rsid w:val="00806846"/>
    <w:rsid w:val="008072F6"/>
    <w:rsid w:val="00810248"/>
    <w:rsid w:val="00810370"/>
    <w:rsid w:val="008104EF"/>
    <w:rsid w:val="008105C4"/>
    <w:rsid w:val="00811DDF"/>
    <w:rsid w:val="00812646"/>
    <w:rsid w:val="00812BE4"/>
    <w:rsid w:val="00814060"/>
    <w:rsid w:val="00814BA3"/>
    <w:rsid w:val="00814C71"/>
    <w:rsid w:val="0081520E"/>
    <w:rsid w:val="0081531E"/>
    <w:rsid w:val="00815323"/>
    <w:rsid w:val="008161FD"/>
    <w:rsid w:val="00816A06"/>
    <w:rsid w:val="00816D9D"/>
    <w:rsid w:val="00816DC2"/>
    <w:rsid w:val="00816EEA"/>
    <w:rsid w:val="00816FF3"/>
    <w:rsid w:val="008170D1"/>
    <w:rsid w:val="008177B4"/>
    <w:rsid w:val="00817B5E"/>
    <w:rsid w:val="00820152"/>
    <w:rsid w:val="0082054E"/>
    <w:rsid w:val="008211E2"/>
    <w:rsid w:val="008219AF"/>
    <w:rsid w:val="00821A42"/>
    <w:rsid w:val="00821C01"/>
    <w:rsid w:val="00821DD8"/>
    <w:rsid w:val="00822B6F"/>
    <w:rsid w:val="00824562"/>
    <w:rsid w:val="00824BD9"/>
    <w:rsid w:val="00824D85"/>
    <w:rsid w:val="0082534F"/>
    <w:rsid w:val="0082617D"/>
    <w:rsid w:val="00826E25"/>
    <w:rsid w:val="00827861"/>
    <w:rsid w:val="0083004B"/>
    <w:rsid w:val="008300BD"/>
    <w:rsid w:val="008318D7"/>
    <w:rsid w:val="00831F4F"/>
    <w:rsid w:val="00832118"/>
    <w:rsid w:val="00833A1D"/>
    <w:rsid w:val="00833B8A"/>
    <w:rsid w:val="008347A7"/>
    <w:rsid w:val="00834D60"/>
    <w:rsid w:val="00835057"/>
    <w:rsid w:val="00835636"/>
    <w:rsid w:val="00835B9D"/>
    <w:rsid w:val="008365E2"/>
    <w:rsid w:val="008367ED"/>
    <w:rsid w:val="008372F0"/>
    <w:rsid w:val="00837D9E"/>
    <w:rsid w:val="00837EF8"/>
    <w:rsid w:val="00840F38"/>
    <w:rsid w:val="008410F6"/>
    <w:rsid w:val="00841820"/>
    <w:rsid w:val="00842360"/>
    <w:rsid w:val="008423C9"/>
    <w:rsid w:val="0084266C"/>
    <w:rsid w:val="008428E1"/>
    <w:rsid w:val="00843F6A"/>
    <w:rsid w:val="0084403A"/>
    <w:rsid w:val="008440F5"/>
    <w:rsid w:val="00844E90"/>
    <w:rsid w:val="00845176"/>
    <w:rsid w:val="00845360"/>
    <w:rsid w:val="00845F3C"/>
    <w:rsid w:val="00846007"/>
    <w:rsid w:val="0084686B"/>
    <w:rsid w:val="00847CB6"/>
    <w:rsid w:val="0085096B"/>
    <w:rsid w:val="00850B39"/>
    <w:rsid w:val="00850D51"/>
    <w:rsid w:val="00850DA3"/>
    <w:rsid w:val="008517DA"/>
    <w:rsid w:val="00851DA2"/>
    <w:rsid w:val="0085212C"/>
    <w:rsid w:val="0085287E"/>
    <w:rsid w:val="00852BB5"/>
    <w:rsid w:val="0085371B"/>
    <w:rsid w:val="008545D7"/>
    <w:rsid w:val="008549E6"/>
    <w:rsid w:val="0085513C"/>
    <w:rsid w:val="00855953"/>
    <w:rsid w:val="0085607E"/>
    <w:rsid w:val="0085618C"/>
    <w:rsid w:val="008562BF"/>
    <w:rsid w:val="00856443"/>
    <w:rsid w:val="008564A6"/>
    <w:rsid w:val="008569DC"/>
    <w:rsid w:val="00856DA7"/>
    <w:rsid w:val="00857DEE"/>
    <w:rsid w:val="008607A3"/>
    <w:rsid w:val="0086092F"/>
    <w:rsid w:val="00860B1B"/>
    <w:rsid w:val="00861548"/>
    <w:rsid w:val="00861CE4"/>
    <w:rsid w:val="008623DB"/>
    <w:rsid w:val="00862490"/>
    <w:rsid w:val="00863B4D"/>
    <w:rsid w:val="0086426E"/>
    <w:rsid w:val="00865456"/>
    <w:rsid w:val="00865D92"/>
    <w:rsid w:val="008662F8"/>
    <w:rsid w:val="00866FD7"/>
    <w:rsid w:val="008707C9"/>
    <w:rsid w:val="00870874"/>
    <w:rsid w:val="00870875"/>
    <w:rsid w:val="008725F7"/>
    <w:rsid w:val="00872EDE"/>
    <w:rsid w:val="0087319C"/>
    <w:rsid w:val="008731FD"/>
    <w:rsid w:val="00873F8C"/>
    <w:rsid w:val="0087403E"/>
    <w:rsid w:val="00874179"/>
    <w:rsid w:val="008747FE"/>
    <w:rsid w:val="00874CA2"/>
    <w:rsid w:val="00875180"/>
    <w:rsid w:val="008752A1"/>
    <w:rsid w:val="00875C8E"/>
    <w:rsid w:val="00875D27"/>
    <w:rsid w:val="00875E9C"/>
    <w:rsid w:val="0087631D"/>
    <w:rsid w:val="00876328"/>
    <w:rsid w:val="00876CFC"/>
    <w:rsid w:val="00877B67"/>
    <w:rsid w:val="00877D9B"/>
    <w:rsid w:val="008801BE"/>
    <w:rsid w:val="00880A5B"/>
    <w:rsid w:val="00880D56"/>
    <w:rsid w:val="00881814"/>
    <w:rsid w:val="00881FE2"/>
    <w:rsid w:val="008821A1"/>
    <w:rsid w:val="00882248"/>
    <w:rsid w:val="00882267"/>
    <w:rsid w:val="00884899"/>
    <w:rsid w:val="0088534A"/>
    <w:rsid w:val="00885634"/>
    <w:rsid w:val="00885951"/>
    <w:rsid w:val="00885C6C"/>
    <w:rsid w:val="00885E52"/>
    <w:rsid w:val="00886E79"/>
    <w:rsid w:val="00886F54"/>
    <w:rsid w:val="00887BA4"/>
    <w:rsid w:val="00887E6B"/>
    <w:rsid w:val="00891138"/>
    <w:rsid w:val="0089118E"/>
    <w:rsid w:val="008915EC"/>
    <w:rsid w:val="008926F6"/>
    <w:rsid w:val="008926FB"/>
    <w:rsid w:val="008927C6"/>
    <w:rsid w:val="00892AA0"/>
    <w:rsid w:val="00892E6C"/>
    <w:rsid w:val="00892E80"/>
    <w:rsid w:val="00892EB7"/>
    <w:rsid w:val="00892FC2"/>
    <w:rsid w:val="00893727"/>
    <w:rsid w:val="00893DE1"/>
    <w:rsid w:val="0089410F"/>
    <w:rsid w:val="00894F2E"/>
    <w:rsid w:val="008953A1"/>
    <w:rsid w:val="008959BC"/>
    <w:rsid w:val="0089678B"/>
    <w:rsid w:val="00897563"/>
    <w:rsid w:val="00897687"/>
    <w:rsid w:val="008A0218"/>
    <w:rsid w:val="008A06F4"/>
    <w:rsid w:val="008A09A4"/>
    <w:rsid w:val="008A0A42"/>
    <w:rsid w:val="008A0EFD"/>
    <w:rsid w:val="008A1182"/>
    <w:rsid w:val="008A2051"/>
    <w:rsid w:val="008A26A9"/>
    <w:rsid w:val="008A2788"/>
    <w:rsid w:val="008A2A78"/>
    <w:rsid w:val="008A2D8D"/>
    <w:rsid w:val="008A3808"/>
    <w:rsid w:val="008A4587"/>
    <w:rsid w:val="008A56BB"/>
    <w:rsid w:val="008A6C7B"/>
    <w:rsid w:val="008A70CC"/>
    <w:rsid w:val="008A7190"/>
    <w:rsid w:val="008A73B0"/>
    <w:rsid w:val="008A7A46"/>
    <w:rsid w:val="008A7AD5"/>
    <w:rsid w:val="008A7CF8"/>
    <w:rsid w:val="008A7F73"/>
    <w:rsid w:val="008B1358"/>
    <w:rsid w:val="008B2E9D"/>
    <w:rsid w:val="008B33A2"/>
    <w:rsid w:val="008B3715"/>
    <w:rsid w:val="008B3BB7"/>
    <w:rsid w:val="008B42E7"/>
    <w:rsid w:val="008B49C2"/>
    <w:rsid w:val="008B4C9B"/>
    <w:rsid w:val="008B4DCE"/>
    <w:rsid w:val="008B5394"/>
    <w:rsid w:val="008B54AC"/>
    <w:rsid w:val="008B57E4"/>
    <w:rsid w:val="008B5984"/>
    <w:rsid w:val="008B5FBF"/>
    <w:rsid w:val="008B6847"/>
    <w:rsid w:val="008B6FC3"/>
    <w:rsid w:val="008B7D1A"/>
    <w:rsid w:val="008C011B"/>
    <w:rsid w:val="008C073C"/>
    <w:rsid w:val="008C192E"/>
    <w:rsid w:val="008C2226"/>
    <w:rsid w:val="008C23CD"/>
    <w:rsid w:val="008C271E"/>
    <w:rsid w:val="008C28F5"/>
    <w:rsid w:val="008C307A"/>
    <w:rsid w:val="008C3CEF"/>
    <w:rsid w:val="008C41F9"/>
    <w:rsid w:val="008C539D"/>
    <w:rsid w:val="008C6385"/>
    <w:rsid w:val="008C64FA"/>
    <w:rsid w:val="008C6AAE"/>
    <w:rsid w:val="008C6B2A"/>
    <w:rsid w:val="008C6D44"/>
    <w:rsid w:val="008C6E55"/>
    <w:rsid w:val="008C7416"/>
    <w:rsid w:val="008D020B"/>
    <w:rsid w:val="008D23C0"/>
    <w:rsid w:val="008D24C2"/>
    <w:rsid w:val="008D24FD"/>
    <w:rsid w:val="008D2C6F"/>
    <w:rsid w:val="008D33D4"/>
    <w:rsid w:val="008D36CC"/>
    <w:rsid w:val="008D3C1E"/>
    <w:rsid w:val="008D3DBF"/>
    <w:rsid w:val="008D3EE8"/>
    <w:rsid w:val="008D4D25"/>
    <w:rsid w:val="008D5A4D"/>
    <w:rsid w:val="008D5C21"/>
    <w:rsid w:val="008D6BBE"/>
    <w:rsid w:val="008D713C"/>
    <w:rsid w:val="008D7A48"/>
    <w:rsid w:val="008E013C"/>
    <w:rsid w:val="008E0215"/>
    <w:rsid w:val="008E09D9"/>
    <w:rsid w:val="008E12E8"/>
    <w:rsid w:val="008E1A8F"/>
    <w:rsid w:val="008E20C7"/>
    <w:rsid w:val="008E242E"/>
    <w:rsid w:val="008E247F"/>
    <w:rsid w:val="008E3877"/>
    <w:rsid w:val="008E39D8"/>
    <w:rsid w:val="008E4168"/>
    <w:rsid w:val="008E4445"/>
    <w:rsid w:val="008E45B7"/>
    <w:rsid w:val="008E4896"/>
    <w:rsid w:val="008E48C8"/>
    <w:rsid w:val="008E4D0F"/>
    <w:rsid w:val="008E5594"/>
    <w:rsid w:val="008E68FA"/>
    <w:rsid w:val="008E6CD6"/>
    <w:rsid w:val="008E7B1B"/>
    <w:rsid w:val="008F0428"/>
    <w:rsid w:val="008F1497"/>
    <w:rsid w:val="008F173B"/>
    <w:rsid w:val="008F1E1E"/>
    <w:rsid w:val="008F1E78"/>
    <w:rsid w:val="008F2421"/>
    <w:rsid w:val="008F2842"/>
    <w:rsid w:val="008F2CB9"/>
    <w:rsid w:val="008F2DE5"/>
    <w:rsid w:val="008F323E"/>
    <w:rsid w:val="008F490D"/>
    <w:rsid w:val="008F4D28"/>
    <w:rsid w:val="008F545B"/>
    <w:rsid w:val="008F59C0"/>
    <w:rsid w:val="008F6272"/>
    <w:rsid w:val="008F6333"/>
    <w:rsid w:val="008F684A"/>
    <w:rsid w:val="008F6A71"/>
    <w:rsid w:val="008F6DF2"/>
    <w:rsid w:val="008F7939"/>
    <w:rsid w:val="008F7A4C"/>
    <w:rsid w:val="008F7B25"/>
    <w:rsid w:val="008F7B4F"/>
    <w:rsid w:val="008F7FBE"/>
    <w:rsid w:val="00900502"/>
    <w:rsid w:val="00900843"/>
    <w:rsid w:val="00900BAE"/>
    <w:rsid w:val="00900D6D"/>
    <w:rsid w:val="00900F1F"/>
    <w:rsid w:val="009013E9"/>
    <w:rsid w:val="00902201"/>
    <w:rsid w:val="00902504"/>
    <w:rsid w:val="0090299E"/>
    <w:rsid w:val="00903529"/>
    <w:rsid w:val="0090378E"/>
    <w:rsid w:val="009038EF"/>
    <w:rsid w:val="00903C7E"/>
    <w:rsid w:val="00903D04"/>
    <w:rsid w:val="00904223"/>
    <w:rsid w:val="00904366"/>
    <w:rsid w:val="0090464C"/>
    <w:rsid w:val="00904F4D"/>
    <w:rsid w:val="00905414"/>
    <w:rsid w:val="009054BC"/>
    <w:rsid w:val="00905B3E"/>
    <w:rsid w:val="00905D57"/>
    <w:rsid w:val="00905F17"/>
    <w:rsid w:val="00906EA8"/>
    <w:rsid w:val="009075B2"/>
    <w:rsid w:val="00907797"/>
    <w:rsid w:val="00907E2D"/>
    <w:rsid w:val="00907F38"/>
    <w:rsid w:val="00910109"/>
    <w:rsid w:val="0091043F"/>
    <w:rsid w:val="00910459"/>
    <w:rsid w:val="00910D05"/>
    <w:rsid w:val="00910E14"/>
    <w:rsid w:val="00912FFC"/>
    <w:rsid w:val="00913091"/>
    <w:rsid w:val="009130FF"/>
    <w:rsid w:val="00913517"/>
    <w:rsid w:val="00913790"/>
    <w:rsid w:val="00913F84"/>
    <w:rsid w:val="0091421D"/>
    <w:rsid w:val="0091476E"/>
    <w:rsid w:val="00915807"/>
    <w:rsid w:val="009165B5"/>
    <w:rsid w:val="009167F1"/>
    <w:rsid w:val="00916F90"/>
    <w:rsid w:val="009170A9"/>
    <w:rsid w:val="00917493"/>
    <w:rsid w:val="00917D2A"/>
    <w:rsid w:val="009204E4"/>
    <w:rsid w:val="0092194D"/>
    <w:rsid w:val="00921EAD"/>
    <w:rsid w:val="0092249D"/>
    <w:rsid w:val="00922890"/>
    <w:rsid w:val="00922BD8"/>
    <w:rsid w:val="00923111"/>
    <w:rsid w:val="00924C58"/>
    <w:rsid w:val="00925278"/>
    <w:rsid w:val="0092549C"/>
    <w:rsid w:val="0092611D"/>
    <w:rsid w:val="00926569"/>
    <w:rsid w:val="0092751B"/>
    <w:rsid w:val="009279F9"/>
    <w:rsid w:val="00927A9D"/>
    <w:rsid w:val="009301D6"/>
    <w:rsid w:val="00930E4D"/>
    <w:rsid w:val="00931A11"/>
    <w:rsid w:val="009334CF"/>
    <w:rsid w:val="009337AE"/>
    <w:rsid w:val="009338D6"/>
    <w:rsid w:val="00934B75"/>
    <w:rsid w:val="00934E3B"/>
    <w:rsid w:val="009354A1"/>
    <w:rsid w:val="00935FFA"/>
    <w:rsid w:val="009360D3"/>
    <w:rsid w:val="00936661"/>
    <w:rsid w:val="00936B0C"/>
    <w:rsid w:val="00936FF9"/>
    <w:rsid w:val="0093714E"/>
    <w:rsid w:val="009375F4"/>
    <w:rsid w:val="0093789C"/>
    <w:rsid w:val="00937BD6"/>
    <w:rsid w:val="00940586"/>
    <w:rsid w:val="00940587"/>
    <w:rsid w:val="00940A08"/>
    <w:rsid w:val="00941709"/>
    <w:rsid w:val="00941802"/>
    <w:rsid w:val="00942924"/>
    <w:rsid w:val="00942CE2"/>
    <w:rsid w:val="00942FBF"/>
    <w:rsid w:val="0094478E"/>
    <w:rsid w:val="00944F07"/>
    <w:rsid w:val="00945097"/>
    <w:rsid w:val="00945368"/>
    <w:rsid w:val="00945544"/>
    <w:rsid w:val="009457E8"/>
    <w:rsid w:val="00945928"/>
    <w:rsid w:val="00945942"/>
    <w:rsid w:val="00945EF1"/>
    <w:rsid w:val="00945FDB"/>
    <w:rsid w:val="00946368"/>
    <w:rsid w:val="009467DC"/>
    <w:rsid w:val="009479F5"/>
    <w:rsid w:val="00947B72"/>
    <w:rsid w:val="00951134"/>
    <w:rsid w:val="0095149E"/>
    <w:rsid w:val="00951998"/>
    <w:rsid w:val="00952440"/>
    <w:rsid w:val="00952CDC"/>
    <w:rsid w:val="00952E77"/>
    <w:rsid w:val="00953026"/>
    <w:rsid w:val="00953507"/>
    <w:rsid w:val="00954742"/>
    <w:rsid w:val="00954C08"/>
    <w:rsid w:val="009553A1"/>
    <w:rsid w:val="00955988"/>
    <w:rsid w:val="00955F17"/>
    <w:rsid w:val="0095672A"/>
    <w:rsid w:val="009575BC"/>
    <w:rsid w:val="0096039B"/>
    <w:rsid w:val="0096091F"/>
    <w:rsid w:val="0096092A"/>
    <w:rsid w:val="00961255"/>
    <w:rsid w:val="00962775"/>
    <w:rsid w:val="00962B68"/>
    <w:rsid w:val="00962CD0"/>
    <w:rsid w:val="00962DE1"/>
    <w:rsid w:val="00962EB8"/>
    <w:rsid w:val="00962EEA"/>
    <w:rsid w:val="00963541"/>
    <w:rsid w:val="009637FC"/>
    <w:rsid w:val="009639F5"/>
    <w:rsid w:val="009641BF"/>
    <w:rsid w:val="00966275"/>
    <w:rsid w:val="00966421"/>
    <w:rsid w:val="00966B21"/>
    <w:rsid w:val="00967064"/>
    <w:rsid w:val="00967681"/>
    <w:rsid w:val="00967859"/>
    <w:rsid w:val="00970380"/>
    <w:rsid w:val="009704C6"/>
    <w:rsid w:val="00970868"/>
    <w:rsid w:val="009711D6"/>
    <w:rsid w:val="009714A9"/>
    <w:rsid w:val="00971A15"/>
    <w:rsid w:val="009721B3"/>
    <w:rsid w:val="009728B4"/>
    <w:rsid w:val="009732BF"/>
    <w:rsid w:val="009734D3"/>
    <w:rsid w:val="009735A4"/>
    <w:rsid w:val="00973614"/>
    <w:rsid w:val="00973C5A"/>
    <w:rsid w:val="00973E27"/>
    <w:rsid w:val="00974207"/>
    <w:rsid w:val="00975CB1"/>
    <w:rsid w:val="009760E9"/>
    <w:rsid w:val="00976CE2"/>
    <w:rsid w:val="00976D67"/>
    <w:rsid w:val="00977229"/>
    <w:rsid w:val="009772C2"/>
    <w:rsid w:val="0097799E"/>
    <w:rsid w:val="00980758"/>
    <w:rsid w:val="00980A73"/>
    <w:rsid w:val="00980AEC"/>
    <w:rsid w:val="00981B18"/>
    <w:rsid w:val="00981CCF"/>
    <w:rsid w:val="00982534"/>
    <w:rsid w:val="00983363"/>
    <w:rsid w:val="00983483"/>
    <w:rsid w:val="00983BCA"/>
    <w:rsid w:val="00983BD1"/>
    <w:rsid w:val="00983FCA"/>
    <w:rsid w:val="009850C4"/>
    <w:rsid w:val="0098549C"/>
    <w:rsid w:val="0098551B"/>
    <w:rsid w:val="00985544"/>
    <w:rsid w:val="009860A2"/>
    <w:rsid w:val="009865CB"/>
    <w:rsid w:val="009865D0"/>
    <w:rsid w:val="0098668D"/>
    <w:rsid w:val="00986CC1"/>
    <w:rsid w:val="00987082"/>
    <w:rsid w:val="0098776A"/>
    <w:rsid w:val="00991AB7"/>
    <w:rsid w:val="00991E28"/>
    <w:rsid w:val="00991E81"/>
    <w:rsid w:val="0099288E"/>
    <w:rsid w:val="00992920"/>
    <w:rsid w:val="0099382E"/>
    <w:rsid w:val="00993844"/>
    <w:rsid w:val="00993AD0"/>
    <w:rsid w:val="00993F95"/>
    <w:rsid w:val="0099452F"/>
    <w:rsid w:val="00994932"/>
    <w:rsid w:val="00994956"/>
    <w:rsid w:val="00994AA6"/>
    <w:rsid w:val="00994CA1"/>
    <w:rsid w:val="00995282"/>
    <w:rsid w:val="0099534B"/>
    <w:rsid w:val="009955B8"/>
    <w:rsid w:val="00995EFB"/>
    <w:rsid w:val="0099626F"/>
    <w:rsid w:val="009966D9"/>
    <w:rsid w:val="00996A55"/>
    <w:rsid w:val="00996ABE"/>
    <w:rsid w:val="00996E9E"/>
    <w:rsid w:val="00997135"/>
    <w:rsid w:val="009971F9"/>
    <w:rsid w:val="0099721B"/>
    <w:rsid w:val="00997817"/>
    <w:rsid w:val="00997B7C"/>
    <w:rsid w:val="00997E00"/>
    <w:rsid w:val="009A0144"/>
    <w:rsid w:val="009A04DC"/>
    <w:rsid w:val="009A0D51"/>
    <w:rsid w:val="009A1041"/>
    <w:rsid w:val="009A1CE9"/>
    <w:rsid w:val="009A1F2B"/>
    <w:rsid w:val="009A224C"/>
    <w:rsid w:val="009A2EB5"/>
    <w:rsid w:val="009A3136"/>
    <w:rsid w:val="009A32DD"/>
    <w:rsid w:val="009A33CA"/>
    <w:rsid w:val="009A3FB4"/>
    <w:rsid w:val="009A4169"/>
    <w:rsid w:val="009A418A"/>
    <w:rsid w:val="009A4874"/>
    <w:rsid w:val="009A4EBB"/>
    <w:rsid w:val="009A5C9A"/>
    <w:rsid w:val="009A631F"/>
    <w:rsid w:val="009A63DE"/>
    <w:rsid w:val="009A6F9C"/>
    <w:rsid w:val="009A720B"/>
    <w:rsid w:val="009A79AD"/>
    <w:rsid w:val="009B090C"/>
    <w:rsid w:val="009B0F8A"/>
    <w:rsid w:val="009B141C"/>
    <w:rsid w:val="009B18C1"/>
    <w:rsid w:val="009B18D0"/>
    <w:rsid w:val="009B1A50"/>
    <w:rsid w:val="009B1C37"/>
    <w:rsid w:val="009B29F7"/>
    <w:rsid w:val="009B31CC"/>
    <w:rsid w:val="009B3416"/>
    <w:rsid w:val="009B353D"/>
    <w:rsid w:val="009B3955"/>
    <w:rsid w:val="009B3D9E"/>
    <w:rsid w:val="009B3E0D"/>
    <w:rsid w:val="009B509A"/>
    <w:rsid w:val="009B5142"/>
    <w:rsid w:val="009B5B9D"/>
    <w:rsid w:val="009B6246"/>
    <w:rsid w:val="009B73B9"/>
    <w:rsid w:val="009B7E90"/>
    <w:rsid w:val="009B7F0F"/>
    <w:rsid w:val="009B7F88"/>
    <w:rsid w:val="009C01A8"/>
    <w:rsid w:val="009C03C7"/>
    <w:rsid w:val="009C0663"/>
    <w:rsid w:val="009C1258"/>
    <w:rsid w:val="009C1334"/>
    <w:rsid w:val="009C1B0D"/>
    <w:rsid w:val="009C1D93"/>
    <w:rsid w:val="009C25AD"/>
    <w:rsid w:val="009C2706"/>
    <w:rsid w:val="009C2C1C"/>
    <w:rsid w:val="009C3381"/>
    <w:rsid w:val="009C3700"/>
    <w:rsid w:val="009C37C0"/>
    <w:rsid w:val="009C3A18"/>
    <w:rsid w:val="009C3B98"/>
    <w:rsid w:val="009C3BBD"/>
    <w:rsid w:val="009C47DB"/>
    <w:rsid w:val="009C49D5"/>
    <w:rsid w:val="009C5179"/>
    <w:rsid w:val="009C548F"/>
    <w:rsid w:val="009C58F9"/>
    <w:rsid w:val="009C5BE8"/>
    <w:rsid w:val="009C6365"/>
    <w:rsid w:val="009C684D"/>
    <w:rsid w:val="009C6CB5"/>
    <w:rsid w:val="009C707D"/>
    <w:rsid w:val="009C7E00"/>
    <w:rsid w:val="009D252A"/>
    <w:rsid w:val="009D31EE"/>
    <w:rsid w:val="009D4741"/>
    <w:rsid w:val="009D4E07"/>
    <w:rsid w:val="009D51AE"/>
    <w:rsid w:val="009D5255"/>
    <w:rsid w:val="009D5293"/>
    <w:rsid w:val="009D57A2"/>
    <w:rsid w:val="009D71C8"/>
    <w:rsid w:val="009D75DF"/>
    <w:rsid w:val="009E0FB7"/>
    <w:rsid w:val="009E1587"/>
    <w:rsid w:val="009E1FAE"/>
    <w:rsid w:val="009E3F77"/>
    <w:rsid w:val="009E3F84"/>
    <w:rsid w:val="009E4065"/>
    <w:rsid w:val="009E4086"/>
    <w:rsid w:val="009E40AC"/>
    <w:rsid w:val="009E44CD"/>
    <w:rsid w:val="009E4FFC"/>
    <w:rsid w:val="009E50DC"/>
    <w:rsid w:val="009E531F"/>
    <w:rsid w:val="009E7441"/>
    <w:rsid w:val="009E7595"/>
    <w:rsid w:val="009F01A2"/>
    <w:rsid w:val="009F0C93"/>
    <w:rsid w:val="009F126E"/>
    <w:rsid w:val="009F12D3"/>
    <w:rsid w:val="009F14D6"/>
    <w:rsid w:val="009F195E"/>
    <w:rsid w:val="009F1E56"/>
    <w:rsid w:val="009F1EB4"/>
    <w:rsid w:val="009F30E7"/>
    <w:rsid w:val="009F3605"/>
    <w:rsid w:val="009F5439"/>
    <w:rsid w:val="009F5768"/>
    <w:rsid w:val="009F6C64"/>
    <w:rsid w:val="009F6E4D"/>
    <w:rsid w:val="009F7436"/>
    <w:rsid w:val="009F765F"/>
    <w:rsid w:val="009F76AA"/>
    <w:rsid w:val="009F77C4"/>
    <w:rsid w:val="00A009AF"/>
    <w:rsid w:val="00A016E7"/>
    <w:rsid w:val="00A0226C"/>
    <w:rsid w:val="00A02B07"/>
    <w:rsid w:val="00A03B3F"/>
    <w:rsid w:val="00A03FB4"/>
    <w:rsid w:val="00A05C9A"/>
    <w:rsid w:val="00A068A1"/>
    <w:rsid w:val="00A06ED6"/>
    <w:rsid w:val="00A0737E"/>
    <w:rsid w:val="00A075DF"/>
    <w:rsid w:val="00A07653"/>
    <w:rsid w:val="00A07889"/>
    <w:rsid w:val="00A07A48"/>
    <w:rsid w:val="00A07A62"/>
    <w:rsid w:val="00A07CB7"/>
    <w:rsid w:val="00A1021F"/>
    <w:rsid w:val="00A1034E"/>
    <w:rsid w:val="00A10783"/>
    <w:rsid w:val="00A1127D"/>
    <w:rsid w:val="00A125C7"/>
    <w:rsid w:val="00A12895"/>
    <w:rsid w:val="00A1322E"/>
    <w:rsid w:val="00A13273"/>
    <w:rsid w:val="00A13610"/>
    <w:rsid w:val="00A13BC3"/>
    <w:rsid w:val="00A13F0F"/>
    <w:rsid w:val="00A145B2"/>
    <w:rsid w:val="00A14CE0"/>
    <w:rsid w:val="00A1553E"/>
    <w:rsid w:val="00A15846"/>
    <w:rsid w:val="00A15DD5"/>
    <w:rsid w:val="00A1656E"/>
    <w:rsid w:val="00A171BA"/>
    <w:rsid w:val="00A17F29"/>
    <w:rsid w:val="00A22293"/>
    <w:rsid w:val="00A22E6D"/>
    <w:rsid w:val="00A23005"/>
    <w:rsid w:val="00A2349A"/>
    <w:rsid w:val="00A23AD0"/>
    <w:rsid w:val="00A23FB8"/>
    <w:rsid w:val="00A244F3"/>
    <w:rsid w:val="00A24BA4"/>
    <w:rsid w:val="00A24D78"/>
    <w:rsid w:val="00A24E06"/>
    <w:rsid w:val="00A24EA0"/>
    <w:rsid w:val="00A25214"/>
    <w:rsid w:val="00A25282"/>
    <w:rsid w:val="00A25288"/>
    <w:rsid w:val="00A254A1"/>
    <w:rsid w:val="00A25F10"/>
    <w:rsid w:val="00A26F4E"/>
    <w:rsid w:val="00A30B73"/>
    <w:rsid w:val="00A319AE"/>
    <w:rsid w:val="00A3229E"/>
    <w:rsid w:val="00A32973"/>
    <w:rsid w:val="00A32C3E"/>
    <w:rsid w:val="00A34EB0"/>
    <w:rsid w:val="00A351BE"/>
    <w:rsid w:val="00A3651D"/>
    <w:rsid w:val="00A3673A"/>
    <w:rsid w:val="00A368AB"/>
    <w:rsid w:val="00A37890"/>
    <w:rsid w:val="00A404F7"/>
    <w:rsid w:val="00A406F7"/>
    <w:rsid w:val="00A40C48"/>
    <w:rsid w:val="00A40ED1"/>
    <w:rsid w:val="00A40F45"/>
    <w:rsid w:val="00A4143C"/>
    <w:rsid w:val="00A42015"/>
    <w:rsid w:val="00A424CC"/>
    <w:rsid w:val="00A43E2D"/>
    <w:rsid w:val="00A43E5B"/>
    <w:rsid w:val="00A44769"/>
    <w:rsid w:val="00A44D68"/>
    <w:rsid w:val="00A44DBB"/>
    <w:rsid w:val="00A44FBD"/>
    <w:rsid w:val="00A4502A"/>
    <w:rsid w:val="00A4534F"/>
    <w:rsid w:val="00A45435"/>
    <w:rsid w:val="00A456E5"/>
    <w:rsid w:val="00A45D97"/>
    <w:rsid w:val="00A45EB5"/>
    <w:rsid w:val="00A463E0"/>
    <w:rsid w:val="00A468F7"/>
    <w:rsid w:val="00A46CE0"/>
    <w:rsid w:val="00A476EA"/>
    <w:rsid w:val="00A4794C"/>
    <w:rsid w:val="00A47B2E"/>
    <w:rsid w:val="00A50140"/>
    <w:rsid w:val="00A50F3D"/>
    <w:rsid w:val="00A51207"/>
    <w:rsid w:val="00A513C9"/>
    <w:rsid w:val="00A51795"/>
    <w:rsid w:val="00A51811"/>
    <w:rsid w:val="00A51B02"/>
    <w:rsid w:val="00A51B3B"/>
    <w:rsid w:val="00A52258"/>
    <w:rsid w:val="00A5246D"/>
    <w:rsid w:val="00A530B7"/>
    <w:rsid w:val="00A53C4D"/>
    <w:rsid w:val="00A54220"/>
    <w:rsid w:val="00A54A85"/>
    <w:rsid w:val="00A54D5D"/>
    <w:rsid w:val="00A552CF"/>
    <w:rsid w:val="00A55370"/>
    <w:rsid w:val="00A55F40"/>
    <w:rsid w:val="00A56B5E"/>
    <w:rsid w:val="00A57690"/>
    <w:rsid w:val="00A57AE8"/>
    <w:rsid w:val="00A60551"/>
    <w:rsid w:val="00A61DB6"/>
    <w:rsid w:val="00A6228A"/>
    <w:rsid w:val="00A62F0D"/>
    <w:rsid w:val="00A6333B"/>
    <w:rsid w:val="00A6336F"/>
    <w:rsid w:val="00A63F58"/>
    <w:rsid w:val="00A65633"/>
    <w:rsid w:val="00A65988"/>
    <w:rsid w:val="00A65CFA"/>
    <w:rsid w:val="00A65EA2"/>
    <w:rsid w:val="00A6646C"/>
    <w:rsid w:val="00A679D7"/>
    <w:rsid w:val="00A679E4"/>
    <w:rsid w:val="00A67D68"/>
    <w:rsid w:val="00A70425"/>
    <w:rsid w:val="00A70E3F"/>
    <w:rsid w:val="00A719AA"/>
    <w:rsid w:val="00A72205"/>
    <w:rsid w:val="00A7229F"/>
    <w:rsid w:val="00A725D8"/>
    <w:rsid w:val="00A726F6"/>
    <w:rsid w:val="00A72DD7"/>
    <w:rsid w:val="00A73B59"/>
    <w:rsid w:val="00A74042"/>
    <w:rsid w:val="00A74541"/>
    <w:rsid w:val="00A75C25"/>
    <w:rsid w:val="00A75C38"/>
    <w:rsid w:val="00A75E43"/>
    <w:rsid w:val="00A75E61"/>
    <w:rsid w:val="00A76453"/>
    <w:rsid w:val="00A76C5B"/>
    <w:rsid w:val="00A77578"/>
    <w:rsid w:val="00A802C0"/>
    <w:rsid w:val="00A80E40"/>
    <w:rsid w:val="00A81124"/>
    <w:rsid w:val="00A8148E"/>
    <w:rsid w:val="00A81510"/>
    <w:rsid w:val="00A815C0"/>
    <w:rsid w:val="00A81BA1"/>
    <w:rsid w:val="00A83408"/>
    <w:rsid w:val="00A84163"/>
    <w:rsid w:val="00A84B3E"/>
    <w:rsid w:val="00A84E54"/>
    <w:rsid w:val="00A85824"/>
    <w:rsid w:val="00A85B23"/>
    <w:rsid w:val="00A8668E"/>
    <w:rsid w:val="00A87B57"/>
    <w:rsid w:val="00A90C93"/>
    <w:rsid w:val="00A913D1"/>
    <w:rsid w:val="00A9145F"/>
    <w:rsid w:val="00A91480"/>
    <w:rsid w:val="00A91F78"/>
    <w:rsid w:val="00A93354"/>
    <w:rsid w:val="00A93CAC"/>
    <w:rsid w:val="00A93DB6"/>
    <w:rsid w:val="00A94ACE"/>
    <w:rsid w:val="00A958B6"/>
    <w:rsid w:val="00A95DB1"/>
    <w:rsid w:val="00A977F3"/>
    <w:rsid w:val="00A979CC"/>
    <w:rsid w:val="00AA0417"/>
    <w:rsid w:val="00AA14E2"/>
    <w:rsid w:val="00AA1B14"/>
    <w:rsid w:val="00AA1B18"/>
    <w:rsid w:val="00AA1B7A"/>
    <w:rsid w:val="00AA1DE3"/>
    <w:rsid w:val="00AA2261"/>
    <w:rsid w:val="00AA283F"/>
    <w:rsid w:val="00AA2D4A"/>
    <w:rsid w:val="00AA34FB"/>
    <w:rsid w:val="00AA36B2"/>
    <w:rsid w:val="00AA3CB2"/>
    <w:rsid w:val="00AA4B37"/>
    <w:rsid w:val="00AA4C37"/>
    <w:rsid w:val="00AA5223"/>
    <w:rsid w:val="00AA5A2E"/>
    <w:rsid w:val="00AA5A7D"/>
    <w:rsid w:val="00AA6806"/>
    <w:rsid w:val="00AA6C3D"/>
    <w:rsid w:val="00AA6F90"/>
    <w:rsid w:val="00AA7601"/>
    <w:rsid w:val="00AA7765"/>
    <w:rsid w:val="00AA7BE9"/>
    <w:rsid w:val="00AB0F60"/>
    <w:rsid w:val="00AB25BB"/>
    <w:rsid w:val="00AB26B1"/>
    <w:rsid w:val="00AB2ED0"/>
    <w:rsid w:val="00AB3B28"/>
    <w:rsid w:val="00AB3E9E"/>
    <w:rsid w:val="00AB533B"/>
    <w:rsid w:val="00AB5883"/>
    <w:rsid w:val="00AB5C05"/>
    <w:rsid w:val="00AB63A4"/>
    <w:rsid w:val="00AB6E2A"/>
    <w:rsid w:val="00AB7679"/>
    <w:rsid w:val="00AB7868"/>
    <w:rsid w:val="00AC0138"/>
    <w:rsid w:val="00AC08B9"/>
    <w:rsid w:val="00AC0DDA"/>
    <w:rsid w:val="00AC1402"/>
    <w:rsid w:val="00AC1490"/>
    <w:rsid w:val="00AC14F9"/>
    <w:rsid w:val="00AC2592"/>
    <w:rsid w:val="00AC40E8"/>
    <w:rsid w:val="00AC43D1"/>
    <w:rsid w:val="00AC5414"/>
    <w:rsid w:val="00AC547A"/>
    <w:rsid w:val="00AC551A"/>
    <w:rsid w:val="00AC5D97"/>
    <w:rsid w:val="00AC60C5"/>
    <w:rsid w:val="00AC7914"/>
    <w:rsid w:val="00AC7C8C"/>
    <w:rsid w:val="00AD049F"/>
    <w:rsid w:val="00AD0CEA"/>
    <w:rsid w:val="00AD0F4F"/>
    <w:rsid w:val="00AD1465"/>
    <w:rsid w:val="00AD1AF6"/>
    <w:rsid w:val="00AD28FB"/>
    <w:rsid w:val="00AD2BF1"/>
    <w:rsid w:val="00AD31BD"/>
    <w:rsid w:val="00AD33CE"/>
    <w:rsid w:val="00AD3A60"/>
    <w:rsid w:val="00AD3CC6"/>
    <w:rsid w:val="00AD413A"/>
    <w:rsid w:val="00AD4D62"/>
    <w:rsid w:val="00AD567F"/>
    <w:rsid w:val="00AD5977"/>
    <w:rsid w:val="00AD5EC9"/>
    <w:rsid w:val="00AD74F2"/>
    <w:rsid w:val="00AD75EA"/>
    <w:rsid w:val="00AE03A6"/>
    <w:rsid w:val="00AE1702"/>
    <w:rsid w:val="00AE18B8"/>
    <w:rsid w:val="00AE19FD"/>
    <w:rsid w:val="00AE1C52"/>
    <w:rsid w:val="00AE1CE2"/>
    <w:rsid w:val="00AE24DA"/>
    <w:rsid w:val="00AE260B"/>
    <w:rsid w:val="00AE2B9C"/>
    <w:rsid w:val="00AE3C02"/>
    <w:rsid w:val="00AE3D73"/>
    <w:rsid w:val="00AE5B5E"/>
    <w:rsid w:val="00AE6150"/>
    <w:rsid w:val="00AE6217"/>
    <w:rsid w:val="00AE66BB"/>
    <w:rsid w:val="00AE6793"/>
    <w:rsid w:val="00AE6B8E"/>
    <w:rsid w:val="00AE72CF"/>
    <w:rsid w:val="00AE76EB"/>
    <w:rsid w:val="00AF0138"/>
    <w:rsid w:val="00AF07EF"/>
    <w:rsid w:val="00AF0A2C"/>
    <w:rsid w:val="00AF1686"/>
    <w:rsid w:val="00AF1974"/>
    <w:rsid w:val="00AF1DFB"/>
    <w:rsid w:val="00AF22B0"/>
    <w:rsid w:val="00AF233F"/>
    <w:rsid w:val="00AF2538"/>
    <w:rsid w:val="00AF2BA7"/>
    <w:rsid w:val="00AF3013"/>
    <w:rsid w:val="00AF33A3"/>
    <w:rsid w:val="00AF33EB"/>
    <w:rsid w:val="00AF34BD"/>
    <w:rsid w:val="00AF394E"/>
    <w:rsid w:val="00AF3A41"/>
    <w:rsid w:val="00AF3C74"/>
    <w:rsid w:val="00AF45BA"/>
    <w:rsid w:val="00AF4BC4"/>
    <w:rsid w:val="00AF6885"/>
    <w:rsid w:val="00AF69B0"/>
    <w:rsid w:val="00AF6CB1"/>
    <w:rsid w:val="00AF72D3"/>
    <w:rsid w:val="00AF7AAA"/>
    <w:rsid w:val="00B00BF6"/>
    <w:rsid w:val="00B00D61"/>
    <w:rsid w:val="00B02090"/>
    <w:rsid w:val="00B020A3"/>
    <w:rsid w:val="00B0266D"/>
    <w:rsid w:val="00B026D5"/>
    <w:rsid w:val="00B02CC8"/>
    <w:rsid w:val="00B0329B"/>
    <w:rsid w:val="00B034AC"/>
    <w:rsid w:val="00B03BB0"/>
    <w:rsid w:val="00B03CCF"/>
    <w:rsid w:val="00B04359"/>
    <w:rsid w:val="00B04800"/>
    <w:rsid w:val="00B04D5E"/>
    <w:rsid w:val="00B04F05"/>
    <w:rsid w:val="00B05E3B"/>
    <w:rsid w:val="00B060A9"/>
    <w:rsid w:val="00B0617A"/>
    <w:rsid w:val="00B0646E"/>
    <w:rsid w:val="00B06FA7"/>
    <w:rsid w:val="00B07A1D"/>
    <w:rsid w:val="00B07ABD"/>
    <w:rsid w:val="00B10230"/>
    <w:rsid w:val="00B107A3"/>
    <w:rsid w:val="00B11238"/>
    <w:rsid w:val="00B115C1"/>
    <w:rsid w:val="00B1173A"/>
    <w:rsid w:val="00B1178C"/>
    <w:rsid w:val="00B11AF1"/>
    <w:rsid w:val="00B12F86"/>
    <w:rsid w:val="00B13DC1"/>
    <w:rsid w:val="00B14DDC"/>
    <w:rsid w:val="00B14E31"/>
    <w:rsid w:val="00B15198"/>
    <w:rsid w:val="00B15A1D"/>
    <w:rsid w:val="00B165CF"/>
    <w:rsid w:val="00B16848"/>
    <w:rsid w:val="00B16FFA"/>
    <w:rsid w:val="00B1714F"/>
    <w:rsid w:val="00B171A9"/>
    <w:rsid w:val="00B171B7"/>
    <w:rsid w:val="00B17241"/>
    <w:rsid w:val="00B17421"/>
    <w:rsid w:val="00B1767C"/>
    <w:rsid w:val="00B20C56"/>
    <w:rsid w:val="00B2214C"/>
    <w:rsid w:val="00B22836"/>
    <w:rsid w:val="00B228C9"/>
    <w:rsid w:val="00B22FA6"/>
    <w:rsid w:val="00B239A6"/>
    <w:rsid w:val="00B24794"/>
    <w:rsid w:val="00B249D7"/>
    <w:rsid w:val="00B25181"/>
    <w:rsid w:val="00B26362"/>
    <w:rsid w:val="00B26A7D"/>
    <w:rsid w:val="00B26B77"/>
    <w:rsid w:val="00B2748F"/>
    <w:rsid w:val="00B30654"/>
    <w:rsid w:val="00B308BB"/>
    <w:rsid w:val="00B30A17"/>
    <w:rsid w:val="00B30D0A"/>
    <w:rsid w:val="00B30E15"/>
    <w:rsid w:val="00B3113F"/>
    <w:rsid w:val="00B3121F"/>
    <w:rsid w:val="00B317FE"/>
    <w:rsid w:val="00B31CBB"/>
    <w:rsid w:val="00B32C41"/>
    <w:rsid w:val="00B340A1"/>
    <w:rsid w:val="00B3416C"/>
    <w:rsid w:val="00B34815"/>
    <w:rsid w:val="00B3494F"/>
    <w:rsid w:val="00B34FCD"/>
    <w:rsid w:val="00B3500F"/>
    <w:rsid w:val="00B351D8"/>
    <w:rsid w:val="00B3555F"/>
    <w:rsid w:val="00B35786"/>
    <w:rsid w:val="00B361DD"/>
    <w:rsid w:val="00B36215"/>
    <w:rsid w:val="00B36373"/>
    <w:rsid w:val="00B365F6"/>
    <w:rsid w:val="00B3674D"/>
    <w:rsid w:val="00B36D77"/>
    <w:rsid w:val="00B36F7B"/>
    <w:rsid w:val="00B372DB"/>
    <w:rsid w:val="00B409E7"/>
    <w:rsid w:val="00B41C1A"/>
    <w:rsid w:val="00B41C8B"/>
    <w:rsid w:val="00B42638"/>
    <w:rsid w:val="00B43457"/>
    <w:rsid w:val="00B4394F"/>
    <w:rsid w:val="00B43D96"/>
    <w:rsid w:val="00B44C54"/>
    <w:rsid w:val="00B44D8C"/>
    <w:rsid w:val="00B45A14"/>
    <w:rsid w:val="00B46A16"/>
    <w:rsid w:val="00B46CAA"/>
    <w:rsid w:val="00B47317"/>
    <w:rsid w:val="00B47657"/>
    <w:rsid w:val="00B502BD"/>
    <w:rsid w:val="00B507D3"/>
    <w:rsid w:val="00B50898"/>
    <w:rsid w:val="00B50AD2"/>
    <w:rsid w:val="00B50AE7"/>
    <w:rsid w:val="00B51A8A"/>
    <w:rsid w:val="00B51DDB"/>
    <w:rsid w:val="00B52DDE"/>
    <w:rsid w:val="00B537B9"/>
    <w:rsid w:val="00B53983"/>
    <w:rsid w:val="00B55390"/>
    <w:rsid w:val="00B55B43"/>
    <w:rsid w:val="00B55BA2"/>
    <w:rsid w:val="00B5659A"/>
    <w:rsid w:val="00B56B50"/>
    <w:rsid w:val="00B56F5F"/>
    <w:rsid w:val="00B57649"/>
    <w:rsid w:val="00B60FB9"/>
    <w:rsid w:val="00B61A8F"/>
    <w:rsid w:val="00B61B86"/>
    <w:rsid w:val="00B6270F"/>
    <w:rsid w:val="00B629C3"/>
    <w:rsid w:val="00B632CF"/>
    <w:rsid w:val="00B63E5B"/>
    <w:rsid w:val="00B64483"/>
    <w:rsid w:val="00B64948"/>
    <w:rsid w:val="00B64E4C"/>
    <w:rsid w:val="00B65158"/>
    <w:rsid w:val="00B654E2"/>
    <w:rsid w:val="00B6594C"/>
    <w:rsid w:val="00B660B6"/>
    <w:rsid w:val="00B66225"/>
    <w:rsid w:val="00B6635C"/>
    <w:rsid w:val="00B66B9B"/>
    <w:rsid w:val="00B67455"/>
    <w:rsid w:val="00B676A0"/>
    <w:rsid w:val="00B678D8"/>
    <w:rsid w:val="00B67961"/>
    <w:rsid w:val="00B679E6"/>
    <w:rsid w:val="00B67E73"/>
    <w:rsid w:val="00B70656"/>
    <w:rsid w:val="00B70705"/>
    <w:rsid w:val="00B70FB3"/>
    <w:rsid w:val="00B712A6"/>
    <w:rsid w:val="00B71577"/>
    <w:rsid w:val="00B71946"/>
    <w:rsid w:val="00B71AD1"/>
    <w:rsid w:val="00B72328"/>
    <w:rsid w:val="00B72A34"/>
    <w:rsid w:val="00B73FB0"/>
    <w:rsid w:val="00B73FE6"/>
    <w:rsid w:val="00B743A7"/>
    <w:rsid w:val="00B7472D"/>
    <w:rsid w:val="00B74918"/>
    <w:rsid w:val="00B754C0"/>
    <w:rsid w:val="00B759B4"/>
    <w:rsid w:val="00B76CC9"/>
    <w:rsid w:val="00B7761B"/>
    <w:rsid w:val="00B80AA2"/>
    <w:rsid w:val="00B823A5"/>
    <w:rsid w:val="00B823C1"/>
    <w:rsid w:val="00B823DC"/>
    <w:rsid w:val="00B8394B"/>
    <w:rsid w:val="00B83A47"/>
    <w:rsid w:val="00B83BC1"/>
    <w:rsid w:val="00B84240"/>
    <w:rsid w:val="00B84709"/>
    <w:rsid w:val="00B84CA4"/>
    <w:rsid w:val="00B84D36"/>
    <w:rsid w:val="00B84E0A"/>
    <w:rsid w:val="00B84F7B"/>
    <w:rsid w:val="00B856CB"/>
    <w:rsid w:val="00B8583E"/>
    <w:rsid w:val="00B85E75"/>
    <w:rsid w:val="00B86392"/>
    <w:rsid w:val="00B86A30"/>
    <w:rsid w:val="00B8722E"/>
    <w:rsid w:val="00B87674"/>
    <w:rsid w:val="00B9057B"/>
    <w:rsid w:val="00B921E1"/>
    <w:rsid w:val="00B92840"/>
    <w:rsid w:val="00B928E2"/>
    <w:rsid w:val="00B9294B"/>
    <w:rsid w:val="00B92BAA"/>
    <w:rsid w:val="00B92BB6"/>
    <w:rsid w:val="00B93875"/>
    <w:rsid w:val="00B939D1"/>
    <w:rsid w:val="00B946EF"/>
    <w:rsid w:val="00B94C82"/>
    <w:rsid w:val="00B963DC"/>
    <w:rsid w:val="00B96BAA"/>
    <w:rsid w:val="00B97A6F"/>
    <w:rsid w:val="00BA0A46"/>
    <w:rsid w:val="00BA1139"/>
    <w:rsid w:val="00BA11A4"/>
    <w:rsid w:val="00BA123B"/>
    <w:rsid w:val="00BA2122"/>
    <w:rsid w:val="00BA2349"/>
    <w:rsid w:val="00BA2539"/>
    <w:rsid w:val="00BA2626"/>
    <w:rsid w:val="00BA27AD"/>
    <w:rsid w:val="00BA3040"/>
    <w:rsid w:val="00BA3380"/>
    <w:rsid w:val="00BA39BF"/>
    <w:rsid w:val="00BA3C18"/>
    <w:rsid w:val="00BA4A78"/>
    <w:rsid w:val="00BA4DDD"/>
    <w:rsid w:val="00BA51E6"/>
    <w:rsid w:val="00BA57A6"/>
    <w:rsid w:val="00BA5D82"/>
    <w:rsid w:val="00BA5EF4"/>
    <w:rsid w:val="00BA6532"/>
    <w:rsid w:val="00BA73FF"/>
    <w:rsid w:val="00BA78C8"/>
    <w:rsid w:val="00BA7D63"/>
    <w:rsid w:val="00BB022B"/>
    <w:rsid w:val="00BB022C"/>
    <w:rsid w:val="00BB0EFD"/>
    <w:rsid w:val="00BB114C"/>
    <w:rsid w:val="00BB11DA"/>
    <w:rsid w:val="00BB1FBB"/>
    <w:rsid w:val="00BB2264"/>
    <w:rsid w:val="00BB25F6"/>
    <w:rsid w:val="00BB2763"/>
    <w:rsid w:val="00BB3431"/>
    <w:rsid w:val="00BB3F1D"/>
    <w:rsid w:val="00BB4835"/>
    <w:rsid w:val="00BB4CD8"/>
    <w:rsid w:val="00BB5203"/>
    <w:rsid w:val="00BB58E2"/>
    <w:rsid w:val="00BB6937"/>
    <w:rsid w:val="00BB6C3D"/>
    <w:rsid w:val="00BB6D40"/>
    <w:rsid w:val="00BB7158"/>
    <w:rsid w:val="00BB7DB7"/>
    <w:rsid w:val="00BB7E41"/>
    <w:rsid w:val="00BC0025"/>
    <w:rsid w:val="00BC0059"/>
    <w:rsid w:val="00BC0289"/>
    <w:rsid w:val="00BC0985"/>
    <w:rsid w:val="00BC099F"/>
    <w:rsid w:val="00BC12D0"/>
    <w:rsid w:val="00BC12DB"/>
    <w:rsid w:val="00BC203D"/>
    <w:rsid w:val="00BC2700"/>
    <w:rsid w:val="00BC2B74"/>
    <w:rsid w:val="00BC2E7E"/>
    <w:rsid w:val="00BC3471"/>
    <w:rsid w:val="00BC379E"/>
    <w:rsid w:val="00BC3D53"/>
    <w:rsid w:val="00BC421E"/>
    <w:rsid w:val="00BC43FA"/>
    <w:rsid w:val="00BC46F9"/>
    <w:rsid w:val="00BC4AF8"/>
    <w:rsid w:val="00BC4EE9"/>
    <w:rsid w:val="00BC5189"/>
    <w:rsid w:val="00BC5206"/>
    <w:rsid w:val="00BC5591"/>
    <w:rsid w:val="00BC5686"/>
    <w:rsid w:val="00BC5E8E"/>
    <w:rsid w:val="00BC609A"/>
    <w:rsid w:val="00BC67C3"/>
    <w:rsid w:val="00BC696B"/>
    <w:rsid w:val="00BC7730"/>
    <w:rsid w:val="00BC7D7C"/>
    <w:rsid w:val="00BD011A"/>
    <w:rsid w:val="00BD083A"/>
    <w:rsid w:val="00BD0D03"/>
    <w:rsid w:val="00BD0DC3"/>
    <w:rsid w:val="00BD104A"/>
    <w:rsid w:val="00BD156F"/>
    <w:rsid w:val="00BD1CC2"/>
    <w:rsid w:val="00BD21FA"/>
    <w:rsid w:val="00BD2743"/>
    <w:rsid w:val="00BD27FF"/>
    <w:rsid w:val="00BD2ECB"/>
    <w:rsid w:val="00BD2ED7"/>
    <w:rsid w:val="00BD3887"/>
    <w:rsid w:val="00BD3B27"/>
    <w:rsid w:val="00BD3F49"/>
    <w:rsid w:val="00BD403F"/>
    <w:rsid w:val="00BD4632"/>
    <w:rsid w:val="00BD4782"/>
    <w:rsid w:val="00BD47E5"/>
    <w:rsid w:val="00BD48C3"/>
    <w:rsid w:val="00BD4B3D"/>
    <w:rsid w:val="00BD4DB0"/>
    <w:rsid w:val="00BD5320"/>
    <w:rsid w:val="00BD562A"/>
    <w:rsid w:val="00BD6376"/>
    <w:rsid w:val="00BD7514"/>
    <w:rsid w:val="00BD7FD2"/>
    <w:rsid w:val="00BE0594"/>
    <w:rsid w:val="00BE0E59"/>
    <w:rsid w:val="00BE1516"/>
    <w:rsid w:val="00BE1966"/>
    <w:rsid w:val="00BE1A30"/>
    <w:rsid w:val="00BE26E4"/>
    <w:rsid w:val="00BE2D7E"/>
    <w:rsid w:val="00BE36AC"/>
    <w:rsid w:val="00BE383F"/>
    <w:rsid w:val="00BE3A55"/>
    <w:rsid w:val="00BE4535"/>
    <w:rsid w:val="00BE52C8"/>
    <w:rsid w:val="00BE5A0E"/>
    <w:rsid w:val="00BE6623"/>
    <w:rsid w:val="00BE6B3F"/>
    <w:rsid w:val="00BF0094"/>
    <w:rsid w:val="00BF0E1A"/>
    <w:rsid w:val="00BF0F43"/>
    <w:rsid w:val="00BF1112"/>
    <w:rsid w:val="00BF161D"/>
    <w:rsid w:val="00BF1DE0"/>
    <w:rsid w:val="00BF2A61"/>
    <w:rsid w:val="00BF30A4"/>
    <w:rsid w:val="00BF32FA"/>
    <w:rsid w:val="00BF3627"/>
    <w:rsid w:val="00BF40B3"/>
    <w:rsid w:val="00BF4265"/>
    <w:rsid w:val="00BF4A69"/>
    <w:rsid w:val="00BF55DB"/>
    <w:rsid w:val="00BF55E1"/>
    <w:rsid w:val="00BF5655"/>
    <w:rsid w:val="00BF5CEE"/>
    <w:rsid w:val="00BF6EDA"/>
    <w:rsid w:val="00BF7707"/>
    <w:rsid w:val="00BF771B"/>
    <w:rsid w:val="00BF77A1"/>
    <w:rsid w:val="00BF7D37"/>
    <w:rsid w:val="00BF7F7F"/>
    <w:rsid w:val="00C00A84"/>
    <w:rsid w:val="00C018A8"/>
    <w:rsid w:val="00C01B0C"/>
    <w:rsid w:val="00C024DF"/>
    <w:rsid w:val="00C028A2"/>
    <w:rsid w:val="00C02A05"/>
    <w:rsid w:val="00C02A46"/>
    <w:rsid w:val="00C0413D"/>
    <w:rsid w:val="00C04417"/>
    <w:rsid w:val="00C04DF9"/>
    <w:rsid w:val="00C057DE"/>
    <w:rsid w:val="00C05A55"/>
    <w:rsid w:val="00C06B04"/>
    <w:rsid w:val="00C06D84"/>
    <w:rsid w:val="00C0784A"/>
    <w:rsid w:val="00C10385"/>
    <w:rsid w:val="00C10665"/>
    <w:rsid w:val="00C10B4B"/>
    <w:rsid w:val="00C11328"/>
    <w:rsid w:val="00C12861"/>
    <w:rsid w:val="00C12CE6"/>
    <w:rsid w:val="00C13E72"/>
    <w:rsid w:val="00C13FCD"/>
    <w:rsid w:val="00C14077"/>
    <w:rsid w:val="00C145F1"/>
    <w:rsid w:val="00C14AF4"/>
    <w:rsid w:val="00C152C8"/>
    <w:rsid w:val="00C15760"/>
    <w:rsid w:val="00C15DA0"/>
    <w:rsid w:val="00C16908"/>
    <w:rsid w:val="00C16B96"/>
    <w:rsid w:val="00C16C25"/>
    <w:rsid w:val="00C16E3C"/>
    <w:rsid w:val="00C1746B"/>
    <w:rsid w:val="00C17995"/>
    <w:rsid w:val="00C17BB8"/>
    <w:rsid w:val="00C2039E"/>
    <w:rsid w:val="00C21FB0"/>
    <w:rsid w:val="00C22952"/>
    <w:rsid w:val="00C22AD2"/>
    <w:rsid w:val="00C22B2D"/>
    <w:rsid w:val="00C230E5"/>
    <w:rsid w:val="00C23811"/>
    <w:rsid w:val="00C23C63"/>
    <w:rsid w:val="00C23E4C"/>
    <w:rsid w:val="00C249F4"/>
    <w:rsid w:val="00C25A3E"/>
    <w:rsid w:val="00C26581"/>
    <w:rsid w:val="00C26823"/>
    <w:rsid w:val="00C26D3E"/>
    <w:rsid w:val="00C26D7E"/>
    <w:rsid w:val="00C26F91"/>
    <w:rsid w:val="00C2740E"/>
    <w:rsid w:val="00C27939"/>
    <w:rsid w:val="00C27CA5"/>
    <w:rsid w:val="00C3034F"/>
    <w:rsid w:val="00C3156E"/>
    <w:rsid w:val="00C3178F"/>
    <w:rsid w:val="00C3180E"/>
    <w:rsid w:val="00C32296"/>
    <w:rsid w:val="00C32F9D"/>
    <w:rsid w:val="00C3300E"/>
    <w:rsid w:val="00C33ACD"/>
    <w:rsid w:val="00C33D6D"/>
    <w:rsid w:val="00C33F62"/>
    <w:rsid w:val="00C3435F"/>
    <w:rsid w:val="00C36729"/>
    <w:rsid w:val="00C36957"/>
    <w:rsid w:val="00C37005"/>
    <w:rsid w:val="00C374A5"/>
    <w:rsid w:val="00C403DD"/>
    <w:rsid w:val="00C40691"/>
    <w:rsid w:val="00C40A44"/>
    <w:rsid w:val="00C40F45"/>
    <w:rsid w:val="00C42481"/>
    <w:rsid w:val="00C4322F"/>
    <w:rsid w:val="00C43BF4"/>
    <w:rsid w:val="00C440DA"/>
    <w:rsid w:val="00C446C3"/>
    <w:rsid w:val="00C448EA"/>
    <w:rsid w:val="00C4535E"/>
    <w:rsid w:val="00C4573F"/>
    <w:rsid w:val="00C46B41"/>
    <w:rsid w:val="00C46FDF"/>
    <w:rsid w:val="00C47188"/>
    <w:rsid w:val="00C472D3"/>
    <w:rsid w:val="00C47370"/>
    <w:rsid w:val="00C479C1"/>
    <w:rsid w:val="00C47E3B"/>
    <w:rsid w:val="00C50081"/>
    <w:rsid w:val="00C50144"/>
    <w:rsid w:val="00C50439"/>
    <w:rsid w:val="00C50493"/>
    <w:rsid w:val="00C50793"/>
    <w:rsid w:val="00C50FD3"/>
    <w:rsid w:val="00C51668"/>
    <w:rsid w:val="00C51808"/>
    <w:rsid w:val="00C51F1E"/>
    <w:rsid w:val="00C5254A"/>
    <w:rsid w:val="00C52736"/>
    <w:rsid w:val="00C527FD"/>
    <w:rsid w:val="00C52C92"/>
    <w:rsid w:val="00C536B6"/>
    <w:rsid w:val="00C5374B"/>
    <w:rsid w:val="00C5399F"/>
    <w:rsid w:val="00C53F8D"/>
    <w:rsid w:val="00C54EB2"/>
    <w:rsid w:val="00C55A3E"/>
    <w:rsid w:val="00C5627A"/>
    <w:rsid w:val="00C570D8"/>
    <w:rsid w:val="00C573AF"/>
    <w:rsid w:val="00C57573"/>
    <w:rsid w:val="00C6078F"/>
    <w:rsid w:val="00C60795"/>
    <w:rsid w:val="00C6080B"/>
    <w:rsid w:val="00C6198A"/>
    <w:rsid w:val="00C62B45"/>
    <w:rsid w:val="00C62C80"/>
    <w:rsid w:val="00C62D13"/>
    <w:rsid w:val="00C633FB"/>
    <w:rsid w:val="00C63C84"/>
    <w:rsid w:val="00C63E2E"/>
    <w:rsid w:val="00C64A80"/>
    <w:rsid w:val="00C64FBD"/>
    <w:rsid w:val="00C65191"/>
    <w:rsid w:val="00C65593"/>
    <w:rsid w:val="00C6595E"/>
    <w:rsid w:val="00C65A03"/>
    <w:rsid w:val="00C65ABC"/>
    <w:rsid w:val="00C65C30"/>
    <w:rsid w:val="00C65E0C"/>
    <w:rsid w:val="00C66463"/>
    <w:rsid w:val="00C672B9"/>
    <w:rsid w:val="00C6734C"/>
    <w:rsid w:val="00C6742C"/>
    <w:rsid w:val="00C7064F"/>
    <w:rsid w:val="00C70B9B"/>
    <w:rsid w:val="00C7188D"/>
    <w:rsid w:val="00C71D71"/>
    <w:rsid w:val="00C720D9"/>
    <w:rsid w:val="00C7254C"/>
    <w:rsid w:val="00C72965"/>
    <w:rsid w:val="00C72B6C"/>
    <w:rsid w:val="00C73CFB"/>
    <w:rsid w:val="00C74B9E"/>
    <w:rsid w:val="00C74C68"/>
    <w:rsid w:val="00C756CF"/>
    <w:rsid w:val="00C75A5C"/>
    <w:rsid w:val="00C76217"/>
    <w:rsid w:val="00C76D2C"/>
    <w:rsid w:val="00C76E6A"/>
    <w:rsid w:val="00C77575"/>
    <w:rsid w:val="00C77B17"/>
    <w:rsid w:val="00C77B23"/>
    <w:rsid w:val="00C807D9"/>
    <w:rsid w:val="00C80E12"/>
    <w:rsid w:val="00C81E31"/>
    <w:rsid w:val="00C82117"/>
    <w:rsid w:val="00C82269"/>
    <w:rsid w:val="00C82A2B"/>
    <w:rsid w:val="00C8318A"/>
    <w:rsid w:val="00C838E9"/>
    <w:rsid w:val="00C841B3"/>
    <w:rsid w:val="00C8529F"/>
    <w:rsid w:val="00C866B2"/>
    <w:rsid w:val="00C87899"/>
    <w:rsid w:val="00C9001C"/>
    <w:rsid w:val="00C90164"/>
    <w:rsid w:val="00C906C8"/>
    <w:rsid w:val="00C90784"/>
    <w:rsid w:val="00C90B12"/>
    <w:rsid w:val="00C90FC7"/>
    <w:rsid w:val="00C910B7"/>
    <w:rsid w:val="00C91313"/>
    <w:rsid w:val="00C9214D"/>
    <w:rsid w:val="00C928CB"/>
    <w:rsid w:val="00C928E5"/>
    <w:rsid w:val="00C92D3F"/>
    <w:rsid w:val="00C93804"/>
    <w:rsid w:val="00C949ED"/>
    <w:rsid w:val="00C94A3A"/>
    <w:rsid w:val="00C94B40"/>
    <w:rsid w:val="00C956C6"/>
    <w:rsid w:val="00C95CBE"/>
    <w:rsid w:val="00C961B0"/>
    <w:rsid w:val="00C964D2"/>
    <w:rsid w:val="00C964ED"/>
    <w:rsid w:val="00C96630"/>
    <w:rsid w:val="00C9689F"/>
    <w:rsid w:val="00CA1DCA"/>
    <w:rsid w:val="00CA21AD"/>
    <w:rsid w:val="00CA2955"/>
    <w:rsid w:val="00CA3AD9"/>
    <w:rsid w:val="00CA44A6"/>
    <w:rsid w:val="00CA55CB"/>
    <w:rsid w:val="00CA5F65"/>
    <w:rsid w:val="00CA68FF"/>
    <w:rsid w:val="00CA6C09"/>
    <w:rsid w:val="00CA7191"/>
    <w:rsid w:val="00CA7243"/>
    <w:rsid w:val="00CA72E0"/>
    <w:rsid w:val="00CA7F65"/>
    <w:rsid w:val="00CB0529"/>
    <w:rsid w:val="00CB11D1"/>
    <w:rsid w:val="00CB13D8"/>
    <w:rsid w:val="00CB18F9"/>
    <w:rsid w:val="00CB1AF7"/>
    <w:rsid w:val="00CB1DA9"/>
    <w:rsid w:val="00CB1E4B"/>
    <w:rsid w:val="00CB2296"/>
    <w:rsid w:val="00CB2823"/>
    <w:rsid w:val="00CB3833"/>
    <w:rsid w:val="00CB394A"/>
    <w:rsid w:val="00CB3B11"/>
    <w:rsid w:val="00CB3BC6"/>
    <w:rsid w:val="00CB4339"/>
    <w:rsid w:val="00CB497E"/>
    <w:rsid w:val="00CB4D90"/>
    <w:rsid w:val="00CB56E5"/>
    <w:rsid w:val="00CB5AEC"/>
    <w:rsid w:val="00CB5FEF"/>
    <w:rsid w:val="00CB6BF7"/>
    <w:rsid w:val="00CB73DB"/>
    <w:rsid w:val="00CB7852"/>
    <w:rsid w:val="00CC00EF"/>
    <w:rsid w:val="00CC00F9"/>
    <w:rsid w:val="00CC09C3"/>
    <w:rsid w:val="00CC1ED4"/>
    <w:rsid w:val="00CC1FB3"/>
    <w:rsid w:val="00CC2771"/>
    <w:rsid w:val="00CC303D"/>
    <w:rsid w:val="00CC37E6"/>
    <w:rsid w:val="00CC3E09"/>
    <w:rsid w:val="00CC421E"/>
    <w:rsid w:val="00CC4426"/>
    <w:rsid w:val="00CC4636"/>
    <w:rsid w:val="00CC4954"/>
    <w:rsid w:val="00CC4AC3"/>
    <w:rsid w:val="00CC5FC3"/>
    <w:rsid w:val="00CC644F"/>
    <w:rsid w:val="00CC66B5"/>
    <w:rsid w:val="00CC7219"/>
    <w:rsid w:val="00CC79CD"/>
    <w:rsid w:val="00CD0AD5"/>
    <w:rsid w:val="00CD0FC8"/>
    <w:rsid w:val="00CD13B0"/>
    <w:rsid w:val="00CD1589"/>
    <w:rsid w:val="00CD205D"/>
    <w:rsid w:val="00CD20D6"/>
    <w:rsid w:val="00CD292C"/>
    <w:rsid w:val="00CD2FC6"/>
    <w:rsid w:val="00CD3034"/>
    <w:rsid w:val="00CD3280"/>
    <w:rsid w:val="00CD384C"/>
    <w:rsid w:val="00CD3AD2"/>
    <w:rsid w:val="00CD5648"/>
    <w:rsid w:val="00CD5696"/>
    <w:rsid w:val="00CD62AD"/>
    <w:rsid w:val="00CD68E8"/>
    <w:rsid w:val="00CD69F7"/>
    <w:rsid w:val="00CD6AD6"/>
    <w:rsid w:val="00CD7483"/>
    <w:rsid w:val="00CD762C"/>
    <w:rsid w:val="00CD7894"/>
    <w:rsid w:val="00CE0705"/>
    <w:rsid w:val="00CE085A"/>
    <w:rsid w:val="00CE0A5A"/>
    <w:rsid w:val="00CE135A"/>
    <w:rsid w:val="00CE18BC"/>
    <w:rsid w:val="00CE1D32"/>
    <w:rsid w:val="00CE2513"/>
    <w:rsid w:val="00CE260A"/>
    <w:rsid w:val="00CE2F78"/>
    <w:rsid w:val="00CE362B"/>
    <w:rsid w:val="00CE3786"/>
    <w:rsid w:val="00CE3B13"/>
    <w:rsid w:val="00CE3C84"/>
    <w:rsid w:val="00CE44C3"/>
    <w:rsid w:val="00CE4804"/>
    <w:rsid w:val="00CE492C"/>
    <w:rsid w:val="00CE4C7C"/>
    <w:rsid w:val="00CE505D"/>
    <w:rsid w:val="00CE51F9"/>
    <w:rsid w:val="00CE54B9"/>
    <w:rsid w:val="00CE61E0"/>
    <w:rsid w:val="00CE7AD2"/>
    <w:rsid w:val="00CE7AE2"/>
    <w:rsid w:val="00CF08B3"/>
    <w:rsid w:val="00CF0AE9"/>
    <w:rsid w:val="00CF0E4C"/>
    <w:rsid w:val="00CF0EEE"/>
    <w:rsid w:val="00CF1078"/>
    <w:rsid w:val="00CF10B6"/>
    <w:rsid w:val="00CF15A1"/>
    <w:rsid w:val="00CF17C4"/>
    <w:rsid w:val="00CF17CF"/>
    <w:rsid w:val="00CF1EE6"/>
    <w:rsid w:val="00CF1FE3"/>
    <w:rsid w:val="00CF255F"/>
    <w:rsid w:val="00CF26DA"/>
    <w:rsid w:val="00CF2F0D"/>
    <w:rsid w:val="00CF31B6"/>
    <w:rsid w:val="00CF31F8"/>
    <w:rsid w:val="00CF35CD"/>
    <w:rsid w:val="00CF3FC0"/>
    <w:rsid w:val="00CF6044"/>
    <w:rsid w:val="00CF681F"/>
    <w:rsid w:val="00CF6AA3"/>
    <w:rsid w:val="00CF6CD5"/>
    <w:rsid w:val="00D0019C"/>
    <w:rsid w:val="00D003CC"/>
    <w:rsid w:val="00D00A19"/>
    <w:rsid w:val="00D015E1"/>
    <w:rsid w:val="00D018AF"/>
    <w:rsid w:val="00D0229A"/>
    <w:rsid w:val="00D02447"/>
    <w:rsid w:val="00D0283F"/>
    <w:rsid w:val="00D02863"/>
    <w:rsid w:val="00D032C6"/>
    <w:rsid w:val="00D03335"/>
    <w:rsid w:val="00D03667"/>
    <w:rsid w:val="00D039B9"/>
    <w:rsid w:val="00D043F0"/>
    <w:rsid w:val="00D046B3"/>
    <w:rsid w:val="00D047A3"/>
    <w:rsid w:val="00D062BD"/>
    <w:rsid w:val="00D062D2"/>
    <w:rsid w:val="00D078CD"/>
    <w:rsid w:val="00D07D87"/>
    <w:rsid w:val="00D07E2F"/>
    <w:rsid w:val="00D10537"/>
    <w:rsid w:val="00D10EC9"/>
    <w:rsid w:val="00D11F92"/>
    <w:rsid w:val="00D13237"/>
    <w:rsid w:val="00D13525"/>
    <w:rsid w:val="00D1390F"/>
    <w:rsid w:val="00D13EE8"/>
    <w:rsid w:val="00D14BC9"/>
    <w:rsid w:val="00D14D49"/>
    <w:rsid w:val="00D1660B"/>
    <w:rsid w:val="00D16AA9"/>
    <w:rsid w:val="00D16E05"/>
    <w:rsid w:val="00D16FE8"/>
    <w:rsid w:val="00D1766F"/>
    <w:rsid w:val="00D17A04"/>
    <w:rsid w:val="00D200CE"/>
    <w:rsid w:val="00D20EEA"/>
    <w:rsid w:val="00D2182B"/>
    <w:rsid w:val="00D21DB0"/>
    <w:rsid w:val="00D21EC7"/>
    <w:rsid w:val="00D22806"/>
    <w:rsid w:val="00D2286A"/>
    <w:rsid w:val="00D22DEA"/>
    <w:rsid w:val="00D22F97"/>
    <w:rsid w:val="00D2372C"/>
    <w:rsid w:val="00D240E3"/>
    <w:rsid w:val="00D247DC"/>
    <w:rsid w:val="00D24C1E"/>
    <w:rsid w:val="00D257C1"/>
    <w:rsid w:val="00D26510"/>
    <w:rsid w:val="00D2673E"/>
    <w:rsid w:val="00D26A5E"/>
    <w:rsid w:val="00D26F9E"/>
    <w:rsid w:val="00D2784B"/>
    <w:rsid w:val="00D30D19"/>
    <w:rsid w:val="00D30ED5"/>
    <w:rsid w:val="00D30FBD"/>
    <w:rsid w:val="00D310ED"/>
    <w:rsid w:val="00D31733"/>
    <w:rsid w:val="00D31A9B"/>
    <w:rsid w:val="00D31FC1"/>
    <w:rsid w:val="00D3219B"/>
    <w:rsid w:val="00D33473"/>
    <w:rsid w:val="00D33A97"/>
    <w:rsid w:val="00D344CB"/>
    <w:rsid w:val="00D3494E"/>
    <w:rsid w:val="00D34A0C"/>
    <w:rsid w:val="00D34C19"/>
    <w:rsid w:val="00D36017"/>
    <w:rsid w:val="00D36072"/>
    <w:rsid w:val="00D36430"/>
    <w:rsid w:val="00D36D62"/>
    <w:rsid w:val="00D36E17"/>
    <w:rsid w:val="00D36E2A"/>
    <w:rsid w:val="00D37304"/>
    <w:rsid w:val="00D37A76"/>
    <w:rsid w:val="00D4051A"/>
    <w:rsid w:val="00D409B2"/>
    <w:rsid w:val="00D411AC"/>
    <w:rsid w:val="00D41DE1"/>
    <w:rsid w:val="00D43745"/>
    <w:rsid w:val="00D43C58"/>
    <w:rsid w:val="00D44512"/>
    <w:rsid w:val="00D458C7"/>
    <w:rsid w:val="00D46170"/>
    <w:rsid w:val="00D4623A"/>
    <w:rsid w:val="00D462F7"/>
    <w:rsid w:val="00D46E85"/>
    <w:rsid w:val="00D47018"/>
    <w:rsid w:val="00D470EA"/>
    <w:rsid w:val="00D47494"/>
    <w:rsid w:val="00D474DC"/>
    <w:rsid w:val="00D47568"/>
    <w:rsid w:val="00D4756B"/>
    <w:rsid w:val="00D4786B"/>
    <w:rsid w:val="00D479BF"/>
    <w:rsid w:val="00D47C87"/>
    <w:rsid w:val="00D5032C"/>
    <w:rsid w:val="00D507F5"/>
    <w:rsid w:val="00D50B30"/>
    <w:rsid w:val="00D512AA"/>
    <w:rsid w:val="00D51747"/>
    <w:rsid w:val="00D51E89"/>
    <w:rsid w:val="00D52E8B"/>
    <w:rsid w:val="00D540DE"/>
    <w:rsid w:val="00D54476"/>
    <w:rsid w:val="00D54C64"/>
    <w:rsid w:val="00D55321"/>
    <w:rsid w:val="00D5590E"/>
    <w:rsid w:val="00D559FD"/>
    <w:rsid w:val="00D56432"/>
    <w:rsid w:val="00D56C98"/>
    <w:rsid w:val="00D56E56"/>
    <w:rsid w:val="00D56EFA"/>
    <w:rsid w:val="00D57400"/>
    <w:rsid w:val="00D57CB2"/>
    <w:rsid w:val="00D6050E"/>
    <w:rsid w:val="00D605DA"/>
    <w:rsid w:val="00D60C7F"/>
    <w:rsid w:val="00D60E3F"/>
    <w:rsid w:val="00D60FAE"/>
    <w:rsid w:val="00D612CA"/>
    <w:rsid w:val="00D61D9A"/>
    <w:rsid w:val="00D620BB"/>
    <w:rsid w:val="00D6299B"/>
    <w:rsid w:val="00D62E2B"/>
    <w:rsid w:val="00D62F77"/>
    <w:rsid w:val="00D638CE"/>
    <w:rsid w:val="00D646F0"/>
    <w:rsid w:val="00D6556E"/>
    <w:rsid w:val="00D65F58"/>
    <w:rsid w:val="00D66130"/>
    <w:rsid w:val="00D67CA7"/>
    <w:rsid w:val="00D7042B"/>
    <w:rsid w:val="00D704FC"/>
    <w:rsid w:val="00D70511"/>
    <w:rsid w:val="00D70998"/>
    <w:rsid w:val="00D70A84"/>
    <w:rsid w:val="00D70D33"/>
    <w:rsid w:val="00D70E27"/>
    <w:rsid w:val="00D710B5"/>
    <w:rsid w:val="00D7117E"/>
    <w:rsid w:val="00D712C7"/>
    <w:rsid w:val="00D7202A"/>
    <w:rsid w:val="00D7226E"/>
    <w:rsid w:val="00D72B5F"/>
    <w:rsid w:val="00D733BC"/>
    <w:rsid w:val="00D73BB1"/>
    <w:rsid w:val="00D73F21"/>
    <w:rsid w:val="00D745D2"/>
    <w:rsid w:val="00D74698"/>
    <w:rsid w:val="00D75C13"/>
    <w:rsid w:val="00D75CE5"/>
    <w:rsid w:val="00D7606A"/>
    <w:rsid w:val="00D764CD"/>
    <w:rsid w:val="00D76625"/>
    <w:rsid w:val="00D77208"/>
    <w:rsid w:val="00D776F8"/>
    <w:rsid w:val="00D77FE0"/>
    <w:rsid w:val="00D8049D"/>
    <w:rsid w:val="00D806C8"/>
    <w:rsid w:val="00D813BC"/>
    <w:rsid w:val="00D8173D"/>
    <w:rsid w:val="00D81A11"/>
    <w:rsid w:val="00D81BAA"/>
    <w:rsid w:val="00D81BFC"/>
    <w:rsid w:val="00D81CC0"/>
    <w:rsid w:val="00D823EC"/>
    <w:rsid w:val="00D825DD"/>
    <w:rsid w:val="00D82AC7"/>
    <w:rsid w:val="00D833CF"/>
    <w:rsid w:val="00D84A36"/>
    <w:rsid w:val="00D8572F"/>
    <w:rsid w:val="00D86691"/>
    <w:rsid w:val="00D8754E"/>
    <w:rsid w:val="00D875C6"/>
    <w:rsid w:val="00D90E32"/>
    <w:rsid w:val="00D91323"/>
    <w:rsid w:val="00D91EF8"/>
    <w:rsid w:val="00D929E6"/>
    <w:rsid w:val="00D92B56"/>
    <w:rsid w:val="00D92D27"/>
    <w:rsid w:val="00D931E4"/>
    <w:rsid w:val="00D93DF7"/>
    <w:rsid w:val="00D9449F"/>
    <w:rsid w:val="00D94524"/>
    <w:rsid w:val="00D954C7"/>
    <w:rsid w:val="00D95623"/>
    <w:rsid w:val="00D956A9"/>
    <w:rsid w:val="00D95969"/>
    <w:rsid w:val="00D959C5"/>
    <w:rsid w:val="00D96394"/>
    <w:rsid w:val="00D965C0"/>
    <w:rsid w:val="00D96ACC"/>
    <w:rsid w:val="00D96D34"/>
    <w:rsid w:val="00DA09B4"/>
    <w:rsid w:val="00DA0CED"/>
    <w:rsid w:val="00DA1290"/>
    <w:rsid w:val="00DA1368"/>
    <w:rsid w:val="00DA13C5"/>
    <w:rsid w:val="00DA18C3"/>
    <w:rsid w:val="00DA18FD"/>
    <w:rsid w:val="00DA1C58"/>
    <w:rsid w:val="00DA23E2"/>
    <w:rsid w:val="00DA26E0"/>
    <w:rsid w:val="00DA2B3F"/>
    <w:rsid w:val="00DA2BEC"/>
    <w:rsid w:val="00DA2EA8"/>
    <w:rsid w:val="00DA3340"/>
    <w:rsid w:val="00DA3523"/>
    <w:rsid w:val="00DA3FD2"/>
    <w:rsid w:val="00DA5823"/>
    <w:rsid w:val="00DA58CD"/>
    <w:rsid w:val="00DA6C03"/>
    <w:rsid w:val="00DA75A7"/>
    <w:rsid w:val="00DA7A08"/>
    <w:rsid w:val="00DA7A9F"/>
    <w:rsid w:val="00DB0CFA"/>
    <w:rsid w:val="00DB275F"/>
    <w:rsid w:val="00DB2FE6"/>
    <w:rsid w:val="00DB3ECE"/>
    <w:rsid w:val="00DB4095"/>
    <w:rsid w:val="00DB444D"/>
    <w:rsid w:val="00DB4613"/>
    <w:rsid w:val="00DB474B"/>
    <w:rsid w:val="00DB4BBE"/>
    <w:rsid w:val="00DB5200"/>
    <w:rsid w:val="00DB5541"/>
    <w:rsid w:val="00DB57F1"/>
    <w:rsid w:val="00DB583C"/>
    <w:rsid w:val="00DB6453"/>
    <w:rsid w:val="00DB6876"/>
    <w:rsid w:val="00DB696B"/>
    <w:rsid w:val="00DB7515"/>
    <w:rsid w:val="00DB7AF0"/>
    <w:rsid w:val="00DB7B55"/>
    <w:rsid w:val="00DC045C"/>
    <w:rsid w:val="00DC04D2"/>
    <w:rsid w:val="00DC0CEE"/>
    <w:rsid w:val="00DC13F4"/>
    <w:rsid w:val="00DC1645"/>
    <w:rsid w:val="00DC2E0A"/>
    <w:rsid w:val="00DC2ECB"/>
    <w:rsid w:val="00DC2F57"/>
    <w:rsid w:val="00DC3266"/>
    <w:rsid w:val="00DC374F"/>
    <w:rsid w:val="00DC4006"/>
    <w:rsid w:val="00DC4110"/>
    <w:rsid w:val="00DC443C"/>
    <w:rsid w:val="00DC4B62"/>
    <w:rsid w:val="00DC50F7"/>
    <w:rsid w:val="00DC6826"/>
    <w:rsid w:val="00DC705E"/>
    <w:rsid w:val="00DC777D"/>
    <w:rsid w:val="00DD004F"/>
    <w:rsid w:val="00DD04AB"/>
    <w:rsid w:val="00DD0743"/>
    <w:rsid w:val="00DD0851"/>
    <w:rsid w:val="00DD296D"/>
    <w:rsid w:val="00DD2F44"/>
    <w:rsid w:val="00DD3DE6"/>
    <w:rsid w:val="00DD40AE"/>
    <w:rsid w:val="00DD40C6"/>
    <w:rsid w:val="00DD4996"/>
    <w:rsid w:val="00DD4D0E"/>
    <w:rsid w:val="00DD4D1C"/>
    <w:rsid w:val="00DD5793"/>
    <w:rsid w:val="00DD5CFE"/>
    <w:rsid w:val="00DD5D1B"/>
    <w:rsid w:val="00DD65B0"/>
    <w:rsid w:val="00DD67A0"/>
    <w:rsid w:val="00DD67D3"/>
    <w:rsid w:val="00DD688B"/>
    <w:rsid w:val="00DD69B7"/>
    <w:rsid w:val="00DD6C24"/>
    <w:rsid w:val="00DD6D5A"/>
    <w:rsid w:val="00DD6E17"/>
    <w:rsid w:val="00DD6E80"/>
    <w:rsid w:val="00DD6F2E"/>
    <w:rsid w:val="00DD75D2"/>
    <w:rsid w:val="00DE00F9"/>
    <w:rsid w:val="00DE0B22"/>
    <w:rsid w:val="00DE0CEF"/>
    <w:rsid w:val="00DE0EF5"/>
    <w:rsid w:val="00DE120D"/>
    <w:rsid w:val="00DE12BF"/>
    <w:rsid w:val="00DE2C53"/>
    <w:rsid w:val="00DE45DA"/>
    <w:rsid w:val="00DE45FA"/>
    <w:rsid w:val="00DE45FE"/>
    <w:rsid w:val="00DE4649"/>
    <w:rsid w:val="00DE56CF"/>
    <w:rsid w:val="00DE57B7"/>
    <w:rsid w:val="00DE7A58"/>
    <w:rsid w:val="00DF0385"/>
    <w:rsid w:val="00DF10CA"/>
    <w:rsid w:val="00DF1326"/>
    <w:rsid w:val="00DF1682"/>
    <w:rsid w:val="00DF2046"/>
    <w:rsid w:val="00DF2612"/>
    <w:rsid w:val="00DF2F43"/>
    <w:rsid w:val="00DF431F"/>
    <w:rsid w:val="00DF4423"/>
    <w:rsid w:val="00DF4AFA"/>
    <w:rsid w:val="00DF4D9F"/>
    <w:rsid w:val="00DF52C2"/>
    <w:rsid w:val="00DF5DF9"/>
    <w:rsid w:val="00DF5E99"/>
    <w:rsid w:val="00DF64B6"/>
    <w:rsid w:val="00DF6A30"/>
    <w:rsid w:val="00DF6ACF"/>
    <w:rsid w:val="00DF7094"/>
    <w:rsid w:val="00DF791F"/>
    <w:rsid w:val="00E000E5"/>
    <w:rsid w:val="00E01481"/>
    <w:rsid w:val="00E018CE"/>
    <w:rsid w:val="00E01DBC"/>
    <w:rsid w:val="00E02252"/>
    <w:rsid w:val="00E03273"/>
    <w:rsid w:val="00E03346"/>
    <w:rsid w:val="00E03523"/>
    <w:rsid w:val="00E035CC"/>
    <w:rsid w:val="00E048A9"/>
    <w:rsid w:val="00E04BF2"/>
    <w:rsid w:val="00E053AE"/>
    <w:rsid w:val="00E06C26"/>
    <w:rsid w:val="00E072DC"/>
    <w:rsid w:val="00E07741"/>
    <w:rsid w:val="00E1163D"/>
    <w:rsid w:val="00E11849"/>
    <w:rsid w:val="00E11DAB"/>
    <w:rsid w:val="00E11E70"/>
    <w:rsid w:val="00E1265C"/>
    <w:rsid w:val="00E12963"/>
    <w:rsid w:val="00E129A5"/>
    <w:rsid w:val="00E13069"/>
    <w:rsid w:val="00E13EBF"/>
    <w:rsid w:val="00E1407F"/>
    <w:rsid w:val="00E1417A"/>
    <w:rsid w:val="00E14426"/>
    <w:rsid w:val="00E144F3"/>
    <w:rsid w:val="00E14537"/>
    <w:rsid w:val="00E14B90"/>
    <w:rsid w:val="00E14EEB"/>
    <w:rsid w:val="00E15361"/>
    <w:rsid w:val="00E15610"/>
    <w:rsid w:val="00E1571E"/>
    <w:rsid w:val="00E15B61"/>
    <w:rsid w:val="00E15CEC"/>
    <w:rsid w:val="00E16148"/>
    <w:rsid w:val="00E16323"/>
    <w:rsid w:val="00E206C7"/>
    <w:rsid w:val="00E20777"/>
    <w:rsid w:val="00E2099F"/>
    <w:rsid w:val="00E20A04"/>
    <w:rsid w:val="00E21343"/>
    <w:rsid w:val="00E213F0"/>
    <w:rsid w:val="00E21782"/>
    <w:rsid w:val="00E218A7"/>
    <w:rsid w:val="00E23672"/>
    <w:rsid w:val="00E23D4D"/>
    <w:rsid w:val="00E2452E"/>
    <w:rsid w:val="00E24564"/>
    <w:rsid w:val="00E250EE"/>
    <w:rsid w:val="00E25122"/>
    <w:rsid w:val="00E2571B"/>
    <w:rsid w:val="00E25DAC"/>
    <w:rsid w:val="00E25F99"/>
    <w:rsid w:val="00E26681"/>
    <w:rsid w:val="00E26814"/>
    <w:rsid w:val="00E27C41"/>
    <w:rsid w:val="00E30163"/>
    <w:rsid w:val="00E30380"/>
    <w:rsid w:val="00E30C1D"/>
    <w:rsid w:val="00E30D78"/>
    <w:rsid w:val="00E32150"/>
    <w:rsid w:val="00E3218E"/>
    <w:rsid w:val="00E3284F"/>
    <w:rsid w:val="00E3287F"/>
    <w:rsid w:val="00E32D24"/>
    <w:rsid w:val="00E33551"/>
    <w:rsid w:val="00E3452F"/>
    <w:rsid w:val="00E34615"/>
    <w:rsid w:val="00E35B87"/>
    <w:rsid w:val="00E35C53"/>
    <w:rsid w:val="00E36110"/>
    <w:rsid w:val="00E36588"/>
    <w:rsid w:val="00E36866"/>
    <w:rsid w:val="00E36B95"/>
    <w:rsid w:val="00E377B3"/>
    <w:rsid w:val="00E37C9C"/>
    <w:rsid w:val="00E40163"/>
    <w:rsid w:val="00E402B6"/>
    <w:rsid w:val="00E40961"/>
    <w:rsid w:val="00E426C2"/>
    <w:rsid w:val="00E42800"/>
    <w:rsid w:val="00E42977"/>
    <w:rsid w:val="00E42E64"/>
    <w:rsid w:val="00E43DEF"/>
    <w:rsid w:val="00E444EC"/>
    <w:rsid w:val="00E44ADC"/>
    <w:rsid w:val="00E44B24"/>
    <w:rsid w:val="00E44D57"/>
    <w:rsid w:val="00E45199"/>
    <w:rsid w:val="00E4662A"/>
    <w:rsid w:val="00E46A7B"/>
    <w:rsid w:val="00E470A0"/>
    <w:rsid w:val="00E4776A"/>
    <w:rsid w:val="00E47D97"/>
    <w:rsid w:val="00E500AB"/>
    <w:rsid w:val="00E5041D"/>
    <w:rsid w:val="00E508DA"/>
    <w:rsid w:val="00E50B73"/>
    <w:rsid w:val="00E51D20"/>
    <w:rsid w:val="00E52AAA"/>
    <w:rsid w:val="00E53BFF"/>
    <w:rsid w:val="00E53F21"/>
    <w:rsid w:val="00E547B3"/>
    <w:rsid w:val="00E54A1F"/>
    <w:rsid w:val="00E552C6"/>
    <w:rsid w:val="00E55349"/>
    <w:rsid w:val="00E559DB"/>
    <w:rsid w:val="00E55AE7"/>
    <w:rsid w:val="00E55DC6"/>
    <w:rsid w:val="00E56215"/>
    <w:rsid w:val="00E56749"/>
    <w:rsid w:val="00E5692C"/>
    <w:rsid w:val="00E56A7B"/>
    <w:rsid w:val="00E56BAD"/>
    <w:rsid w:val="00E570BF"/>
    <w:rsid w:val="00E570D2"/>
    <w:rsid w:val="00E5731F"/>
    <w:rsid w:val="00E600B8"/>
    <w:rsid w:val="00E60718"/>
    <w:rsid w:val="00E60D20"/>
    <w:rsid w:val="00E61259"/>
    <w:rsid w:val="00E61D68"/>
    <w:rsid w:val="00E61D7B"/>
    <w:rsid w:val="00E6332A"/>
    <w:rsid w:val="00E6362C"/>
    <w:rsid w:val="00E637ED"/>
    <w:rsid w:val="00E638FF"/>
    <w:rsid w:val="00E643C5"/>
    <w:rsid w:val="00E649A0"/>
    <w:rsid w:val="00E64C1F"/>
    <w:rsid w:val="00E65B56"/>
    <w:rsid w:val="00E65EAD"/>
    <w:rsid w:val="00E664B2"/>
    <w:rsid w:val="00E665B0"/>
    <w:rsid w:val="00E66797"/>
    <w:rsid w:val="00E66AE3"/>
    <w:rsid w:val="00E672B3"/>
    <w:rsid w:val="00E70CBD"/>
    <w:rsid w:val="00E720C3"/>
    <w:rsid w:val="00E72275"/>
    <w:rsid w:val="00E72277"/>
    <w:rsid w:val="00E722F8"/>
    <w:rsid w:val="00E72BB4"/>
    <w:rsid w:val="00E72FB7"/>
    <w:rsid w:val="00E7328B"/>
    <w:rsid w:val="00E735E0"/>
    <w:rsid w:val="00E73B1F"/>
    <w:rsid w:val="00E741B4"/>
    <w:rsid w:val="00E74813"/>
    <w:rsid w:val="00E74B04"/>
    <w:rsid w:val="00E74C96"/>
    <w:rsid w:val="00E758DE"/>
    <w:rsid w:val="00E75E6F"/>
    <w:rsid w:val="00E75ECB"/>
    <w:rsid w:val="00E769A5"/>
    <w:rsid w:val="00E76B52"/>
    <w:rsid w:val="00E76D28"/>
    <w:rsid w:val="00E76D43"/>
    <w:rsid w:val="00E76FAB"/>
    <w:rsid w:val="00E77151"/>
    <w:rsid w:val="00E80016"/>
    <w:rsid w:val="00E806E6"/>
    <w:rsid w:val="00E80835"/>
    <w:rsid w:val="00E80C7A"/>
    <w:rsid w:val="00E8123B"/>
    <w:rsid w:val="00E81448"/>
    <w:rsid w:val="00E816D4"/>
    <w:rsid w:val="00E81C5D"/>
    <w:rsid w:val="00E81D71"/>
    <w:rsid w:val="00E8293B"/>
    <w:rsid w:val="00E82C81"/>
    <w:rsid w:val="00E82D7F"/>
    <w:rsid w:val="00E82FE0"/>
    <w:rsid w:val="00E83314"/>
    <w:rsid w:val="00E83D2E"/>
    <w:rsid w:val="00E84B71"/>
    <w:rsid w:val="00E852DE"/>
    <w:rsid w:val="00E854D5"/>
    <w:rsid w:val="00E859CA"/>
    <w:rsid w:val="00E859E0"/>
    <w:rsid w:val="00E86168"/>
    <w:rsid w:val="00E86C7B"/>
    <w:rsid w:val="00E87007"/>
    <w:rsid w:val="00E8761B"/>
    <w:rsid w:val="00E87928"/>
    <w:rsid w:val="00E8797B"/>
    <w:rsid w:val="00E90D75"/>
    <w:rsid w:val="00E911DA"/>
    <w:rsid w:val="00E92A4A"/>
    <w:rsid w:val="00E930C4"/>
    <w:rsid w:val="00E931D7"/>
    <w:rsid w:val="00E93566"/>
    <w:rsid w:val="00E94246"/>
    <w:rsid w:val="00E9573C"/>
    <w:rsid w:val="00E95857"/>
    <w:rsid w:val="00E95DAE"/>
    <w:rsid w:val="00E96237"/>
    <w:rsid w:val="00E979F9"/>
    <w:rsid w:val="00E97B5F"/>
    <w:rsid w:val="00EA0049"/>
    <w:rsid w:val="00EA06AD"/>
    <w:rsid w:val="00EA086B"/>
    <w:rsid w:val="00EA09B0"/>
    <w:rsid w:val="00EA0D2F"/>
    <w:rsid w:val="00EA13EA"/>
    <w:rsid w:val="00EA1502"/>
    <w:rsid w:val="00EA2059"/>
    <w:rsid w:val="00EA2B5D"/>
    <w:rsid w:val="00EA2F43"/>
    <w:rsid w:val="00EA303F"/>
    <w:rsid w:val="00EA466B"/>
    <w:rsid w:val="00EA4CF5"/>
    <w:rsid w:val="00EA50D3"/>
    <w:rsid w:val="00EA5191"/>
    <w:rsid w:val="00EA5216"/>
    <w:rsid w:val="00EA54DA"/>
    <w:rsid w:val="00EA5B51"/>
    <w:rsid w:val="00EA6670"/>
    <w:rsid w:val="00EA6A1F"/>
    <w:rsid w:val="00EA6BDD"/>
    <w:rsid w:val="00EA6F5E"/>
    <w:rsid w:val="00EA700F"/>
    <w:rsid w:val="00EA73A9"/>
    <w:rsid w:val="00EA7495"/>
    <w:rsid w:val="00EA74FE"/>
    <w:rsid w:val="00EA7B5C"/>
    <w:rsid w:val="00EB0AA0"/>
    <w:rsid w:val="00EB1B90"/>
    <w:rsid w:val="00EB246D"/>
    <w:rsid w:val="00EB2BFB"/>
    <w:rsid w:val="00EB35EB"/>
    <w:rsid w:val="00EB3642"/>
    <w:rsid w:val="00EB3C2A"/>
    <w:rsid w:val="00EB4113"/>
    <w:rsid w:val="00EB4627"/>
    <w:rsid w:val="00EB4F54"/>
    <w:rsid w:val="00EB5021"/>
    <w:rsid w:val="00EB52DA"/>
    <w:rsid w:val="00EB5361"/>
    <w:rsid w:val="00EB5801"/>
    <w:rsid w:val="00EB5EAE"/>
    <w:rsid w:val="00EB6771"/>
    <w:rsid w:val="00EB6A99"/>
    <w:rsid w:val="00EB6D48"/>
    <w:rsid w:val="00EB7ED1"/>
    <w:rsid w:val="00EC0852"/>
    <w:rsid w:val="00EC111E"/>
    <w:rsid w:val="00EC1130"/>
    <w:rsid w:val="00EC1477"/>
    <w:rsid w:val="00EC1757"/>
    <w:rsid w:val="00EC1776"/>
    <w:rsid w:val="00EC1BEC"/>
    <w:rsid w:val="00EC2363"/>
    <w:rsid w:val="00EC26EC"/>
    <w:rsid w:val="00EC2F80"/>
    <w:rsid w:val="00EC466E"/>
    <w:rsid w:val="00EC4BF7"/>
    <w:rsid w:val="00EC50DA"/>
    <w:rsid w:val="00EC58B5"/>
    <w:rsid w:val="00EC5C4A"/>
    <w:rsid w:val="00EC5EC0"/>
    <w:rsid w:val="00EC5EDB"/>
    <w:rsid w:val="00EC6178"/>
    <w:rsid w:val="00EC6248"/>
    <w:rsid w:val="00EC62D0"/>
    <w:rsid w:val="00EC6783"/>
    <w:rsid w:val="00EC6D1F"/>
    <w:rsid w:val="00EC70B6"/>
    <w:rsid w:val="00EC7CF9"/>
    <w:rsid w:val="00ED03EE"/>
    <w:rsid w:val="00ED0616"/>
    <w:rsid w:val="00ED0EF0"/>
    <w:rsid w:val="00ED2AF8"/>
    <w:rsid w:val="00ED346E"/>
    <w:rsid w:val="00ED35C8"/>
    <w:rsid w:val="00ED3A2B"/>
    <w:rsid w:val="00ED3AE6"/>
    <w:rsid w:val="00ED3E40"/>
    <w:rsid w:val="00ED43E7"/>
    <w:rsid w:val="00ED46FA"/>
    <w:rsid w:val="00ED4AE2"/>
    <w:rsid w:val="00ED5128"/>
    <w:rsid w:val="00ED5284"/>
    <w:rsid w:val="00ED5868"/>
    <w:rsid w:val="00ED5C7F"/>
    <w:rsid w:val="00ED5E34"/>
    <w:rsid w:val="00ED6195"/>
    <w:rsid w:val="00ED7323"/>
    <w:rsid w:val="00ED73F1"/>
    <w:rsid w:val="00EE146F"/>
    <w:rsid w:val="00EE2967"/>
    <w:rsid w:val="00EE2C2D"/>
    <w:rsid w:val="00EE2D0A"/>
    <w:rsid w:val="00EE31C0"/>
    <w:rsid w:val="00EE3576"/>
    <w:rsid w:val="00EE3884"/>
    <w:rsid w:val="00EE3CCD"/>
    <w:rsid w:val="00EE42F3"/>
    <w:rsid w:val="00EE4858"/>
    <w:rsid w:val="00EE5307"/>
    <w:rsid w:val="00EE5950"/>
    <w:rsid w:val="00EE5C09"/>
    <w:rsid w:val="00EE5F94"/>
    <w:rsid w:val="00EE60C2"/>
    <w:rsid w:val="00EE6116"/>
    <w:rsid w:val="00EE6494"/>
    <w:rsid w:val="00EE6A47"/>
    <w:rsid w:val="00EE6F83"/>
    <w:rsid w:val="00EE7718"/>
    <w:rsid w:val="00EE7AD0"/>
    <w:rsid w:val="00EF012B"/>
    <w:rsid w:val="00EF07DA"/>
    <w:rsid w:val="00EF1CB1"/>
    <w:rsid w:val="00EF236A"/>
    <w:rsid w:val="00EF2A61"/>
    <w:rsid w:val="00EF2F3B"/>
    <w:rsid w:val="00EF334C"/>
    <w:rsid w:val="00EF3561"/>
    <w:rsid w:val="00EF387E"/>
    <w:rsid w:val="00EF44D6"/>
    <w:rsid w:val="00EF451F"/>
    <w:rsid w:val="00EF4646"/>
    <w:rsid w:val="00EF49A1"/>
    <w:rsid w:val="00EF4D54"/>
    <w:rsid w:val="00EF4D89"/>
    <w:rsid w:val="00EF4DB1"/>
    <w:rsid w:val="00EF5417"/>
    <w:rsid w:val="00EF5485"/>
    <w:rsid w:val="00EF5625"/>
    <w:rsid w:val="00EF5D75"/>
    <w:rsid w:val="00EF6674"/>
    <w:rsid w:val="00EF696B"/>
    <w:rsid w:val="00EF6BCC"/>
    <w:rsid w:val="00EF6EAA"/>
    <w:rsid w:val="00EF7738"/>
    <w:rsid w:val="00EF7E85"/>
    <w:rsid w:val="00F0029B"/>
    <w:rsid w:val="00F00B80"/>
    <w:rsid w:val="00F00D77"/>
    <w:rsid w:val="00F01783"/>
    <w:rsid w:val="00F01D45"/>
    <w:rsid w:val="00F02406"/>
    <w:rsid w:val="00F02CF2"/>
    <w:rsid w:val="00F02F6B"/>
    <w:rsid w:val="00F031F5"/>
    <w:rsid w:val="00F03452"/>
    <w:rsid w:val="00F04307"/>
    <w:rsid w:val="00F04558"/>
    <w:rsid w:val="00F049B4"/>
    <w:rsid w:val="00F04FE8"/>
    <w:rsid w:val="00F0526E"/>
    <w:rsid w:val="00F05A79"/>
    <w:rsid w:val="00F05F2E"/>
    <w:rsid w:val="00F06372"/>
    <w:rsid w:val="00F066FC"/>
    <w:rsid w:val="00F067DF"/>
    <w:rsid w:val="00F06A4E"/>
    <w:rsid w:val="00F06FCD"/>
    <w:rsid w:val="00F0714E"/>
    <w:rsid w:val="00F0770F"/>
    <w:rsid w:val="00F077D7"/>
    <w:rsid w:val="00F079E9"/>
    <w:rsid w:val="00F07C38"/>
    <w:rsid w:val="00F07D87"/>
    <w:rsid w:val="00F106F5"/>
    <w:rsid w:val="00F11214"/>
    <w:rsid w:val="00F1187E"/>
    <w:rsid w:val="00F120E7"/>
    <w:rsid w:val="00F127AC"/>
    <w:rsid w:val="00F1281E"/>
    <w:rsid w:val="00F12F8F"/>
    <w:rsid w:val="00F13156"/>
    <w:rsid w:val="00F13379"/>
    <w:rsid w:val="00F137A3"/>
    <w:rsid w:val="00F13889"/>
    <w:rsid w:val="00F13946"/>
    <w:rsid w:val="00F13C62"/>
    <w:rsid w:val="00F14570"/>
    <w:rsid w:val="00F1462C"/>
    <w:rsid w:val="00F14630"/>
    <w:rsid w:val="00F14694"/>
    <w:rsid w:val="00F14800"/>
    <w:rsid w:val="00F1500F"/>
    <w:rsid w:val="00F1559B"/>
    <w:rsid w:val="00F15F66"/>
    <w:rsid w:val="00F16580"/>
    <w:rsid w:val="00F16D0F"/>
    <w:rsid w:val="00F174D8"/>
    <w:rsid w:val="00F2024B"/>
    <w:rsid w:val="00F202BC"/>
    <w:rsid w:val="00F2081D"/>
    <w:rsid w:val="00F21623"/>
    <w:rsid w:val="00F21ABE"/>
    <w:rsid w:val="00F21B36"/>
    <w:rsid w:val="00F21B3C"/>
    <w:rsid w:val="00F21D22"/>
    <w:rsid w:val="00F21FAB"/>
    <w:rsid w:val="00F225EB"/>
    <w:rsid w:val="00F22710"/>
    <w:rsid w:val="00F22990"/>
    <w:rsid w:val="00F22D91"/>
    <w:rsid w:val="00F23115"/>
    <w:rsid w:val="00F2314B"/>
    <w:rsid w:val="00F23DCA"/>
    <w:rsid w:val="00F23ED5"/>
    <w:rsid w:val="00F243D4"/>
    <w:rsid w:val="00F24B98"/>
    <w:rsid w:val="00F24BB8"/>
    <w:rsid w:val="00F25109"/>
    <w:rsid w:val="00F253B5"/>
    <w:rsid w:val="00F25D46"/>
    <w:rsid w:val="00F26A41"/>
    <w:rsid w:val="00F2788C"/>
    <w:rsid w:val="00F30224"/>
    <w:rsid w:val="00F3093E"/>
    <w:rsid w:val="00F30A39"/>
    <w:rsid w:val="00F314B1"/>
    <w:rsid w:val="00F31DD0"/>
    <w:rsid w:val="00F321C3"/>
    <w:rsid w:val="00F3229B"/>
    <w:rsid w:val="00F322BA"/>
    <w:rsid w:val="00F32A19"/>
    <w:rsid w:val="00F32DF0"/>
    <w:rsid w:val="00F332C7"/>
    <w:rsid w:val="00F349CD"/>
    <w:rsid w:val="00F35D32"/>
    <w:rsid w:val="00F35F8D"/>
    <w:rsid w:val="00F3615E"/>
    <w:rsid w:val="00F363F4"/>
    <w:rsid w:val="00F36A3D"/>
    <w:rsid w:val="00F3765F"/>
    <w:rsid w:val="00F37B52"/>
    <w:rsid w:val="00F40A9A"/>
    <w:rsid w:val="00F42D78"/>
    <w:rsid w:val="00F430FB"/>
    <w:rsid w:val="00F4340D"/>
    <w:rsid w:val="00F44081"/>
    <w:rsid w:val="00F44643"/>
    <w:rsid w:val="00F446FB"/>
    <w:rsid w:val="00F44849"/>
    <w:rsid w:val="00F44A02"/>
    <w:rsid w:val="00F44B0C"/>
    <w:rsid w:val="00F44C76"/>
    <w:rsid w:val="00F4520D"/>
    <w:rsid w:val="00F4636D"/>
    <w:rsid w:val="00F463EE"/>
    <w:rsid w:val="00F468DF"/>
    <w:rsid w:val="00F46C13"/>
    <w:rsid w:val="00F46CD2"/>
    <w:rsid w:val="00F46F4E"/>
    <w:rsid w:val="00F47DA9"/>
    <w:rsid w:val="00F47EC5"/>
    <w:rsid w:val="00F5144B"/>
    <w:rsid w:val="00F51579"/>
    <w:rsid w:val="00F5162B"/>
    <w:rsid w:val="00F518AD"/>
    <w:rsid w:val="00F51E76"/>
    <w:rsid w:val="00F52C04"/>
    <w:rsid w:val="00F536FB"/>
    <w:rsid w:val="00F5371F"/>
    <w:rsid w:val="00F53D1A"/>
    <w:rsid w:val="00F53F39"/>
    <w:rsid w:val="00F540C3"/>
    <w:rsid w:val="00F5449B"/>
    <w:rsid w:val="00F5481F"/>
    <w:rsid w:val="00F54E49"/>
    <w:rsid w:val="00F551E2"/>
    <w:rsid w:val="00F5537A"/>
    <w:rsid w:val="00F556AB"/>
    <w:rsid w:val="00F559B2"/>
    <w:rsid w:val="00F55DAD"/>
    <w:rsid w:val="00F55FB0"/>
    <w:rsid w:val="00F5636E"/>
    <w:rsid w:val="00F56754"/>
    <w:rsid w:val="00F5688A"/>
    <w:rsid w:val="00F57963"/>
    <w:rsid w:val="00F57C22"/>
    <w:rsid w:val="00F57F46"/>
    <w:rsid w:val="00F60B95"/>
    <w:rsid w:val="00F61A7A"/>
    <w:rsid w:val="00F61C7D"/>
    <w:rsid w:val="00F61D9B"/>
    <w:rsid w:val="00F6255E"/>
    <w:rsid w:val="00F62B52"/>
    <w:rsid w:val="00F62DEB"/>
    <w:rsid w:val="00F63382"/>
    <w:rsid w:val="00F63433"/>
    <w:rsid w:val="00F63D23"/>
    <w:rsid w:val="00F64091"/>
    <w:rsid w:val="00F6456F"/>
    <w:rsid w:val="00F64944"/>
    <w:rsid w:val="00F64A31"/>
    <w:rsid w:val="00F65711"/>
    <w:rsid w:val="00F65BF0"/>
    <w:rsid w:val="00F668FF"/>
    <w:rsid w:val="00F66F72"/>
    <w:rsid w:val="00F6751A"/>
    <w:rsid w:val="00F676C1"/>
    <w:rsid w:val="00F67A16"/>
    <w:rsid w:val="00F70397"/>
    <w:rsid w:val="00F7095E"/>
    <w:rsid w:val="00F70A04"/>
    <w:rsid w:val="00F7126A"/>
    <w:rsid w:val="00F71959"/>
    <w:rsid w:val="00F71D37"/>
    <w:rsid w:val="00F72086"/>
    <w:rsid w:val="00F728E4"/>
    <w:rsid w:val="00F72B67"/>
    <w:rsid w:val="00F72EB2"/>
    <w:rsid w:val="00F73029"/>
    <w:rsid w:val="00F730AB"/>
    <w:rsid w:val="00F73903"/>
    <w:rsid w:val="00F743A4"/>
    <w:rsid w:val="00F746B9"/>
    <w:rsid w:val="00F74D9C"/>
    <w:rsid w:val="00F74DC2"/>
    <w:rsid w:val="00F75876"/>
    <w:rsid w:val="00F759B3"/>
    <w:rsid w:val="00F76163"/>
    <w:rsid w:val="00F77903"/>
    <w:rsid w:val="00F77A03"/>
    <w:rsid w:val="00F77C3E"/>
    <w:rsid w:val="00F80110"/>
    <w:rsid w:val="00F801C2"/>
    <w:rsid w:val="00F80694"/>
    <w:rsid w:val="00F80998"/>
    <w:rsid w:val="00F80C36"/>
    <w:rsid w:val="00F810F3"/>
    <w:rsid w:val="00F814D1"/>
    <w:rsid w:val="00F818AF"/>
    <w:rsid w:val="00F82548"/>
    <w:rsid w:val="00F82FCD"/>
    <w:rsid w:val="00F836DD"/>
    <w:rsid w:val="00F83D4F"/>
    <w:rsid w:val="00F84B5C"/>
    <w:rsid w:val="00F84D14"/>
    <w:rsid w:val="00F85001"/>
    <w:rsid w:val="00F85D47"/>
    <w:rsid w:val="00F869D0"/>
    <w:rsid w:val="00F8740A"/>
    <w:rsid w:val="00F87FAF"/>
    <w:rsid w:val="00F90756"/>
    <w:rsid w:val="00F9091E"/>
    <w:rsid w:val="00F90A7A"/>
    <w:rsid w:val="00F90F0C"/>
    <w:rsid w:val="00F911B9"/>
    <w:rsid w:val="00F91389"/>
    <w:rsid w:val="00F915CF"/>
    <w:rsid w:val="00F928B1"/>
    <w:rsid w:val="00F93CE2"/>
    <w:rsid w:val="00F946D7"/>
    <w:rsid w:val="00F9502B"/>
    <w:rsid w:val="00F95A78"/>
    <w:rsid w:val="00F962F0"/>
    <w:rsid w:val="00F966CB"/>
    <w:rsid w:val="00F96A28"/>
    <w:rsid w:val="00F97418"/>
    <w:rsid w:val="00F977A4"/>
    <w:rsid w:val="00F97B28"/>
    <w:rsid w:val="00FA0CA1"/>
    <w:rsid w:val="00FA153A"/>
    <w:rsid w:val="00FA177E"/>
    <w:rsid w:val="00FA1D8D"/>
    <w:rsid w:val="00FA2036"/>
    <w:rsid w:val="00FA24BD"/>
    <w:rsid w:val="00FA2991"/>
    <w:rsid w:val="00FA2CE1"/>
    <w:rsid w:val="00FA50F1"/>
    <w:rsid w:val="00FA584E"/>
    <w:rsid w:val="00FA63D0"/>
    <w:rsid w:val="00FA64D0"/>
    <w:rsid w:val="00FA682A"/>
    <w:rsid w:val="00FA6B51"/>
    <w:rsid w:val="00FA7070"/>
    <w:rsid w:val="00FA75D4"/>
    <w:rsid w:val="00FA77BB"/>
    <w:rsid w:val="00FA7F73"/>
    <w:rsid w:val="00FB05D1"/>
    <w:rsid w:val="00FB0623"/>
    <w:rsid w:val="00FB080E"/>
    <w:rsid w:val="00FB1017"/>
    <w:rsid w:val="00FB18B1"/>
    <w:rsid w:val="00FB2510"/>
    <w:rsid w:val="00FB2791"/>
    <w:rsid w:val="00FB2B90"/>
    <w:rsid w:val="00FB4403"/>
    <w:rsid w:val="00FB4481"/>
    <w:rsid w:val="00FB4F1A"/>
    <w:rsid w:val="00FB5939"/>
    <w:rsid w:val="00FB615D"/>
    <w:rsid w:val="00FB656A"/>
    <w:rsid w:val="00FB659D"/>
    <w:rsid w:val="00FB6F41"/>
    <w:rsid w:val="00FC061E"/>
    <w:rsid w:val="00FC07C8"/>
    <w:rsid w:val="00FC0EEC"/>
    <w:rsid w:val="00FC11AB"/>
    <w:rsid w:val="00FC149C"/>
    <w:rsid w:val="00FC1934"/>
    <w:rsid w:val="00FC2631"/>
    <w:rsid w:val="00FC2A7D"/>
    <w:rsid w:val="00FC2AE6"/>
    <w:rsid w:val="00FC3234"/>
    <w:rsid w:val="00FC37F8"/>
    <w:rsid w:val="00FC3A65"/>
    <w:rsid w:val="00FC3D92"/>
    <w:rsid w:val="00FC3DE6"/>
    <w:rsid w:val="00FC5177"/>
    <w:rsid w:val="00FC564B"/>
    <w:rsid w:val="00FC576D"/>
    <w:rsid w:val="00FC5EFA"/>
    <w:rsid w:val="00FC6441"/>
    <w:rsid w:val="00FC6698"/>
    <w:rsid w:val="00FD0268"/>
    <w:rsid w:val="00FD028D"/>
    <w:rsid w:val="00FD06DE"/>
    <w:rsid w:val="00FD0936"/>
    <w:rsid w:val="00FD104C"/>
    <w:rsid w:val="00FD1294"/>
    <w:rsid w:val="00FD13F5"/>
    <w:rsid w:val="00FD1D13"/>
    <w:rsid w:val="00FD1D32"/>
    <w:rsid w:val="00FD21B2"/>
    <w:rsid w:val="00FD2533"/>
    <w:rsid w:val="00FD2B33"/>
    <w:rsid w:val="00FD2D35"/>
    <w:rsid w:val="00FD3654"/>
    <w:rsid w:val="00FD4A57"/>
    <w:rsid w:val="00FD4AAC"/>
    <w:rsid w:val="00FD5C8C"/>
    <w:rsid w:val="00FD5EE7"/>
    <w:rsid w:val="00FD6775"/>
    <w:rsid w:val="00FD717F"/>
    <w:rsid w:val="00FD71C3"/>
    <w:rsid w:val="00FD77D8"/>
    <w:rsid w:val="00FE0589"/>
    <w:rsid w:val="00FE1D03"/>
    <w:rsid w:val="00FE319A"/>
    <w:rsid w:val="00FE31E9"/>
    <w:rsid w:val="00FE3C26"/>
    <w:rsid w:val="00FE3DAE"/>
    <w:rsid w:val="00FE3FFA"/>
    <w:rsid w:val="00FE428D"/>
    <w:rsid w:val="00FE511A"/>
    <w:rsid w:val="00FE55CB"/>
    <w:rsid w:val="00FE5930"/>
    <w:rsid w:val="00FE5B0D"/>
    <w:rsid w:val="00FE5B2B"/>
    <w:rsid w:val="00FE5EB2"/>
    <w:rsid w:val="00FE647A"/>
    <w:rsid w:val="00FE6530"/>
    <w:rsid w:val="00FE6B2E"/>
    <w:rsid w:val="00FE74A1"/>
    <w:rsid w:val="00FE7A3E"/>
    <w:rsid w:val="00FF0B0B"/>
    <w:rsid w:val="00FF0E10"/>
    <w:rsid w:val="00FF182F"/>
    <w:rsid w:val="00FF1C5C"/>
    <w:rsid w:val="00FF25CF"/>
    <w:rsid w:val="00FF272F"/>
    <w:rsid w:val="00FF2824"/>
    <w:rsid w:val="00FF2C9B"/>
    <w:rsid w:val="00FF33E9"/>
    <w:rsid w:val="00FF3B58"/>
    <w:rsid w:val="00FF45F4"/>
    <w:rsid w:val="00FF5712"/>
    <w:rsid w:val="00FF57E8"/>
    <w:rsid w:val="00FF60C4"/>
    <w:rsid w:val="00FF62E4"/>
    <w:rsid w:val="00FF636B"/>
    <w:rsid w:val="00FF6542"/>
    <w:rsid w:val="00FF6B01"/>
    <w:rsid w:val="00FF7968"/>
    <w:rsid w:val="220D77DF"/>
    <w:rsid w:val="2FB60487"/>
    <w:rsid w:val="4D5C0E47"/>
    <w:rsid w:val="4E964BFA"/>
    <w:rsid w:val="4FDC17DF"/>
    <w:rsid w:val="6CCF3405"/>
    <w:rsid w:val="7B2A40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qFormat="1" w:uiPriority="39" w:name="toc 4"/>
    <w:lsdException w:qFormat="1" w:uiPriority="39" w:name="toc 5"/>
    <w:lsdException w:uiPriority="39" w:name="toc 6"/>
    <w:lsdException w:uiPriority="39" w:name="toc 7"/>
    <w:lsdException w:qFormat="1" w:uiPriority="39" w:name="toc 8"/>
    <w:lsdException w:qFormat="1" w:uiPriority="39" w:name="toc 9"/>
    <w:lsdException w:uiPriority="99"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qFormat="1" w:unhideWhenUsed="0" w:uiPriority="99"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contextualSpacing/>
      <w:jc w:val="both"/>
    </w:pPr>
    <w:rPr>
      <w:rFonts w:ascii="Times New Roman" w:hAnsi="Times New Roman" w:eastAsia="宋体" w:cs="思源宋体 CN Light"/>
      <w:kern w:val="2"/>
      <w:sz w:val="21"/>
      <w:lang w:val="en-US" w:eastAsia="zh-CN" w:bidi="ar-SA"/>
    </w:rPr>
  </w:style>
  <w:style w:type="paragraph" w:styleId="2">
    <w:name w:val="heading 1"/>
    <w:basedOn w:val="1"/>
    <w:next w:val="1"/>
    <w:link w:val="43"/>
    <w:autoRedefine/>
    <w:qFormat/>
    <w:uiPriority w:val="9"/>
    <w:pPr>
      <w:keepNext/>
      <w:keepLines/>
      <w:spacing w:before="340" w:after="330" w:line="578" w:lineRule="auto"/>
      <w:outlineLvl w:val="0"/>
    </w:pPr>
    <w:rPr>
      <w:rFonts w:ascii="Calibri" w:hAnsi="Calibri" w:cs="华文中宋"/>
      <w:b/>
      <w:bCs/>
      <w:kern w:val="44"/>
      <w:sz w:val="44"/>
      <w:szCs w:val="44"/>
    </w:rPr>
  </w:style>
  <w:style w:type="paragraph" w:styleId="3">
    <w:name w:val="heading 2"/>
    <w:basedOn w:val="1"/>
    <w:next w:val="1"/>
    <w:link w:val="65"/>
    <w:autoRedefine/>
    <w:qFormat/>
    <w:uiPriority w:val="9"/>
    <w:pPr>
      <w:keepNext/>
      <w:keepLines/>
      <w:spacing w:before="260" w:after="260" w:line="416" w:lineRule="auto"/>
      <w:outlineLvl w:val="1"/>
    </w:pPr>
    <w:rPr>
      <w:rFonts w:ascii="Cambria" w:hAnsi="Cambria" w:cs="黑体"/>
      <w:b/>
      <w:bCs/>
      <w:kern w:val="0"/>
      <w:sz w:val="32"/>
      <w:szCs w:val="32"/>
    </w:rPr>
  </w:style>
  <w:style w:type="paragraph" w:styleId="4">
    <w:name w:val="heading 3"/>
    <w:basedOn w:val="1"/>
    <w:next w:val="1"/>
    <w:link w:val="44"/>
    <w:autoRedefine/>
    <w:qFormat/>
    <w:uiPriority w:val="9"/>
    <w:pPr>
      <w:keepNext/>
      <w:keepLines/>
      <w:spacing w:before="50" w:beforeLines="50" w:after="50" w:afterLines="50"/>
      <w:ind w:firstLine="0" w:firstLineChars="0"/>
      <w:jc w:val="center"/>
      <w:outlineLvl w:val="2"/>
    </w:pPr>
    <w:rPr>
      <w:bCs/>
      <w:kern w:val="0"/>
      <w:sz w:val="24"/>
      <w:szCs w:val="32"/>
    </w:rPr>
  </w:style>
  <w:style w:type="paragraph" w:styleId="5">
    <w:name w:val="heading 4"/>
    <w:basedOn w:val="1"/>
    <w:next w:val="1"/>
    <w:link w:val="66"/>
    <w:autoRedefine/>
    <w:qFormat/>
    <w:uiPriority w:val="0"/>
    <w:pPr>
      <w:keepNext/>
      <w:keepLines/>
      <w:jc w:val="left"/>
      <w:outlineLvl w:val="3"/>
    </w:pPr>
    <w:rPr>
      <w:rFonts w:eastAsia="新宋体" w:cstheme="majorBidi"/>
      <w:bCs/>
      <w:kern w:val="0"/>
      <w:szCs w:val="24"/>
    </w:rPr>
  </w:style>
  <w:style w:type="paragraph" w:styleId="6">
    <w:name w:val="heading 5"/>
    <w:basedOn w:val="1"/>
    <w:next w:val="1"/>
    <w:link w:val="67"/>
    <w:autoRedefine/>
    <w:qFormat/>
    <w:uiPriority w:val="9"/>
    <w:pPr>
      <w:keepNext/>
      <w:keepLines/>
      <w:jc w:val="left"/>
      <w:outlineLvl w:val="4"/>
    </w:pPr>
    <w:rPr>
      <w:rFonts w:eastAsia="黑体"/>
      <w:bCs/>
      <w:kern w:val="0"/>
      <w:szCs w:val="28"/>
    </w:rPr>
  </w:style>
  <w:style w:type="paragraph" w:styleId="7">
    <w:name w:val="heading 6"/>
    <w:basedOn w:val="1"/>
    <w:next w:val="1"/>
    <w:link w:val="68"/>
    <w:qFormat/>
    <w:uiPriority w:val="0"/>
    <w:pPr>
      <w:keepNext/>
      <w:keepLines/>
      <w:spacing w:before="240" w:after="64" w:line="320" w:lineRule="auto"/>
      <w:outlineLvl w:val="5"/>
    </w:pPr>
    <w:rPr>
      <w:rFonts w:ascii="Arial" w:hAnsi="Arial" w:eastAsia="黑体" w:cstheme="majorBidi"/>
      <w:b/>
      <w:bCs/>
      <w:kern w:val="0"/>
      <w:sz w:val="24"/>
      <w:szCs w:val="24"/>
    </w:rPr>
  </w:style>
  <w:style w:type="paragraph" w:styleId="8">
    <w:name w:val="heading 7"/>
    <w:basedOn w:val="1"/>
    <w:next w:val="1"/>
    <w:link w:val="69"/>
    <w:autoRedefine/>
    <w:qFormat/>
    <w:uiPriority w:val="0"/>
    <w:pPr>
      <w:keepNext/>
      <w:keepLines/>
      <w:snapToGrid w:val="0"/>
      <w:spacing w:after="50" w:afterLines="50"/>
      <w:ind w:firstLine="0" w:firstLineChars="0"/>
      <w:jc w:val="center"/>
      <w:outlineLvl w:val="6"/>
    </w:pPr>
    <w:rPr>
      <w:rFonts w:eastAsia="黑体"/>
      <w:bCs/>
      <w:kern w:val="0"/>
      <w:szCs w:val="24"/>
    </w:rPr>
  </w:style>
  <w:style w:type="paragraph" w:styleId="9">
    <w:name w:val="heading 9"/>
    <w:basedOn w:val="1"/>
    <w:next w:val="1"/>
    <w:link w:val="70"/>
    <w:qFormat/>
    <w:uiPriority w:val="0"/>
    <w:pPr>
      <w:keepLines/>
      <w:spacing w:before="50" w:beforeLines="50"/>
      <w:ind w:firstLine="0" w:firstLineChars="0"/>
      <w:contextualSpacing w:val="0"/>
      <w:jc w:val="center"/>
      <w:outlineLvl w:val="8"/>
    </w:pPr>
    <w:rPr>
      <w:rFonts w:eastAsia="仿宋" w:cstheme="majorBidi"/>
      <w:b/>
      <w:kern w:val="0"/>
      <w:szCs w:val="21"/>
      <w:lang w:val="zh-CN" w:eastAsia="zh-CN"/>
    </w:rPr>
  </w:style>
  <w:style w:type="character" w:default="1" w:styleId="30">
    <w:name w:val="Default Paragraph Font"/>
    <w:autoRedefine/>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10">
    <w:name w:val="caption"/>
    <w:basedOn w:val="1"/>
    <w:next w:val="1"/>
    <w:link w:val="72"/>
    <w:semiHidden/>
    <w:unhideWhenUsed/>
    <w:qFormat/>
    <w:uiPriority w:val="0"/>
    <w:rPr>
      <w:rFonts w:ascii="Calibri Light" w:hAnsi="Calibri Light" w:eastAsia="黑体" w:cstheme="majorBidi"/>
      <w:sz w:val="20"/>
    </w:rPr>
  </w:style>
  <w:style w:type="paragraph" w:styleId="11">
    <w:name w:val="Document Map"/>
    <w:basedOn w:val="1"/>
    <w:link w:val="80"/>
    <w:autoRedefine/>
    <w:qFormat/>
    <w:uiPriority w:val="0"/>
    <w:pPr>
      <w:shd w:val="clear" w:color="auto" w:fill="000080"/>
    </w:pPr>
    <w:rPr>
      <w:kern w:val="0"/>
      <w:sz w:val="20"/>
      <w:szCs w:val="24"/>
    </w:rPr>
  </w:style>
  <w:style w:type="paragraph" w:styleId="12">
    <w:name w:val="annotation text"/>
    <w:basedOn w:val="1"/>
    <w:link w:val="39"/>
    <w:autoRedefine/>
    <w:unhideWhenUsed/>
    <w:qFormat/>
    <w:uiPriority w:val="99"/>
    <w:pPr>
      <w:jc w:val="left"/>
    </w:pPr>
  </w:style>
  <w:style w:type="paragraph" w:styleId="13">
    <w:name w:val="Body Text"/>
    <w:basedOn w:val="1"/>
    <w:link w:val="76"/>
    <w:autoRedefine/>
    <w:semiHidden/>
    <w:unhideWhenUsed/>
    <w:qFormat/>
    <w:uiPriority w:val="0"/>
    <w:pPr>
      <w:spacing w:after="120"/>
    </w:pPr>
    <w:rPr>
      <w:kern w:val="0"/>
      <w:sz w:val="20"/>
    </w:rPr>
  </w:style>
  <w:style w:type="paragraph" w:styleId="14">
    <w:name w:val="Plain Text"/>
    <w:basedOn w:val="1"/>
    <w:link w:val="81"/>
    <w:autoRedefine/>
    <w:qFormat/>
    <w:uiPriority w:val="0"/>
    <w:rPr>
      <w:rFonts w:ascii="宋体" w:hAnsi="Courier New"/>
      <w:kern w:val="0"/>
      <w:sz w:val="20"/>
      <w:szCs w:val="21"/>
    </w:rPr>
  </w:style>
  <w:style w:type="paragraph" w:styleId="15">
    <w:name w:val="Date"/>
    <w:basedOn w:val="1"/>
    <w:next w:val="1"/>
    <w:link w:val="78"/>
    <w:autoRedefine/>
    <w:qFormat/>
    <w:uiPriority w:val="0"/>
    <w:pPr>
      <w:ind w:left="100" w:leftChars="2500"/>
    </w:pPr>
    <w:rPr>
      <w:kern w:val="0"/>
      <w:sz w:val="20"/>
      <w:szCs w:val="24"/>
    </w:rPr>
  </w:style>
  <w:style w:type="paragraph" w:styleId="16">
    <w:name w:val="Body Text Indent 2"/>
    <w:basedOn w:val="1"/>
    <w:link w:val="79"/>
    <w:autoRedefine/>
    <w:qFormat/>
    <w:uiPriority w:val="0"/>
    <w:pPr>
      <w:snapToGrid w:val="0"/>
      <w:ind w:firstLine="0" w:firstLineChars="0"/>
      <w:jc w:val="center"/>
    </w:pPr>
    <w:rPr>
      <w:rFonts w:eastAsia="新宋体"/>
      <w:kern w:val="0"/>
      <w:sz w:val="18"/>
      <w:szCs w:val="24"/>
      <w:lang w:val="zh-CN" w:eastAsia="zh-CN"/>
    </w:rPr>
  </w:style>
  <w:style w:type="paragraph" w:styleId="17">
    <w:name w:val="endnote text"/>
    <w:basedOn w:val="1"/>
    <w:link w:val="74"/>
    <w:autoRedefine/>
    <w:qFormat/>
    <w:uiPriority w:val="99"/>
    <w:pPr>
      <w:jc w:val="left"/>
    </w:pPr>
    <w:rPr>
      <w:kern w:val="0"/>
      <w:sz w:val="20"/>
    </w:rPr>
  </w:style>
  <w:style w:type="paragraph" w:styleId="18">
    <w:name w:val="Balloon Text"/>
    <w:basedOn w:val="1"/>
    <w:link w:val="82"/>
    <w:autoRedefine/>
    <w:qFormat/>
    <w:uiPriority w:val="99"/>
    <w:rPr>
      <w:rFonts w:cs="Segoe UI"/>
      <w:kern w:val="0"/>
      <w:sz w:val="18"/>
      <w:szCs w:val="18"/>
      <w:lang w:val="zh-CN"/>
    </w:rPr>
  </w:style>
  <w:style w:type="paragraph" w:styleId="19">
    <w:name w:val="footer"/>
    <w:basedOn w:val="1"/>
    <w:link w:val="42"/>
    <w:autoRedefine/>
    <w:unhideWhenUsed/>
    <w:qFormat/>
    <w:uiPriority w:val="99"/>
    <w:pPr>
      <w:tabs>
        <w:tab w:val="center" w:pos="4153"/>
        <w:tab w:val="right" w:pos="8306"/>
      </w:tabs>
      <w:jc w:val="left"/>
    </w:pPr>
    <w:rPr>
      <w:rFonts w:ascii="Calibri" w:hAnsi="Calibri"/>
      <w:kern w:val="0"/>
      <w:sz w:val="18"/>
      <w:szCs w:val="18"/>
    </w:rPr>
  </w:style>
  <w:style w:type="paragraph" w:styleId="20">
    <w:name w:val="header"/>
    <w:basedOn w:val="1"/>
    <w:link w:val="41"/>
    <w:autoRedefine/>
    <w:unhideWhenUsed/>
    <w:qFormat/>
    <w:uiPriority w:val="99"/>
    <w:pPr>
      <w:pBdr>
        <w:bottom w:val="single" w:color="auto" w:sz="6" w:space="1"/>
      </w:pBdr>
      <w:tabs>
        <w:tab w:val="center" w:pos="4153"/>
        <w:tab w:val="right" w:pos="8306"/>
      </w:tabs>
      <w:jc w:val="center"/>
    </w:pPr>
    <w:rPr>
      <w:rFonts w:ascii="Calibri" w:hAnsi="Calibri"/>
      <w:kern w:val="0"/>
      <w:sz w:val="18"/>
      <w:szCs w:val="18"/>
    </w:rPr>
  </w:style>
  <w:style w:type="paragraph" w:styleId="21">
    <w:name w:val="toc 1"/>
    <w:basedOn w:val="1"/>
    <w:next w:val="1"/>
    <w:autoRedefine/>
    <w:unhideWhenUsed/>
    <w:qFormat/>
    <w:uiPriority w:val="39"/>
  </w:style>
  <w:style w:type="paragraph" w:styleId="22">
    <w:name w:val="Subtitle"/>
    <w:basedOn w:val="23"/>
    <w:next w:val="1"/>
    <w:link w:val="77"/>
    <w:autoRedefine/>
    <w:qFormat/>
    <w:uiPriority w:val="11"/>
    <w:pPr>
      <w:spacing w:line="312" w:lineRule="auto"/>
      <w:ind w:firstLine="200" w:firstLineChars="200"/>
      <w:outlineLvl w:val="1"/>
    </w:pPr>
    <w:rPr>
      <w:rFonts w:ascii="LM Roman 10" w:hAnsi="LM Roman 10" w:cstheme="minorBidi"/>
      <w:kern w:val="28"/>
      <w:lang w:eastAsia="en-US"/>
    </w:rPr>
  </w:style>
  <w:style w:type="paragraph" w:styleId="23">
    <w:name w:val="Title"/>
    <w:basedOn w:val="1"/>
    <w:next w:val="1"/>
    <w:link w:val="75"/>
    <w:autoRedefine/>
    <w:qFormat/>
    <w:uiPriority w:val="0"/>
    <w:pPr>
      <w:ind w:firstLine="0" w:firstLineChars="0"/>
      <w:jc w:val="left"/>
      <w:outlineLvl w:val="0"/>
    </w:pPr>
    <w:rPr>
      <w:rFonts w:eastAsia="仿宋" w:cs="黑体"/>
      <w:b/>
      <w:bCs/>
      <w:kern w:val="0"/>
      <w:sz w:val="24"/>
      <w:szCs w:val="32"/>
    </w:rPr>
  </w:style>
  <w:style w:type="paragraph" w:styleId="24">
    <w:name w:val="footnote text"/>
    <w:basedOn w:val="1"/>
    <w:link w:val="71"/>
    <w:autoRedefine/>
    <w:qFormat/>
    <w:uiPriority w:val="99"/>
    <w:pPr>
      <w:snapToGrid w:val="0"/>
    </w:pPr>
    <w:rPr>
      <w:kern w:val="0"/>
      <w:sz w:val="18"/>
      <w:szCs w:val="18"/>
      <w:lang w:val="zh-CN" w:eastAsia="zh-CN"/>
    </w:rPr>
  </w:style>
  <w:style w:type="paragraph" w:styleId="25">
    <w:name w:val="table of figures"/>
    <w:basedOn w:val="1"/>
    <w:next w:val="1"/>
    <w:autoRedefine/>
    <w:qFormat/>
    <w:uiPriority w:val="99"/>
    <w:pPr>
      <w:ind w:left="200" w:leftChars="200" w:hanging="200" w:hangingChars="200"/>
    </w:pPr>
  </w:style>
  <w:style w:type="paragraph" w:styleId="26">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7">
    <w:name w:val="annotation subject"/>
    <w:basedOn w:val="12"/>
    <w:next w:val="12"/>
    <w:link w:val="40"/>
    <w:autoRedefine/>
    <w:semiHidden/>
    <w:unhideWhenUsed/>
    <w:qFormat/>
    <w:uiPriority w:val="99"/>
    <w:rPr>
      <w:b/>
      <w:bCs/>
    </w:rPr>
  </w:style>
  <w:style w:type="table" w:styleId="29">
    <w:name w:val="Table Grid"/>
    <w:basedOn w:val="2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uiPriority w:val="22"/>
    <w:rPr>
      <w:rFonts w:ascii="Times New Roman" w:hAnsi="Times New Roman" w:eastAsia="黑体"/>
      <w:bCs/>
      <w:sz w:val="15"/>
    </w:rPr>
  </w:style>
  <w:style w:type="character" w:styleId="32">
    <w:name w:val="endnote reference"/>
    <w:autoRedefine/>
    <w:qFormat/>
    <w:uiPriority w:val="99"/>
    <w:rPr>
      <w:vertAlign w:val="superscript"/>
    </w:rPr>
  </w:style>
  <w:style w:type="character" w:styleId="33">
    <w:name w:val="page number"/>
    <w:autoRedefine/>
    <w:qFormat/>
    <w:uiPriority w:val="0"/>
  </w:style>
  <w:style w:type="character" w:styleId="34">
    <w:name w:val="FollowedHyperlink"/>
    <w:autoRedefine/>
    <w:semiHidden/>
    <w:unhideWhenUsed/>
    <w:qFormat/>
    <w:uiPriority w:val="0"/>
    <w:rPr>
      <w:color w:val="000000"/>
      <w:u w:val="single"/>
    </w:rPr>
  </w:style>
  <w:style w:type="character" w:styleId="35">
    <w:name w:val="Hyperlink"/>
    <w:autoRedefine/>
    <w:qFormat/>
    <w:uiPriority w:val="99"/>
    <w:rPr>
      <w:color w:val="0000FF"/>
      <w:u w:val="single"/>
    </w:rPr>
  </w:style>
  <w:style w:type="character" w:styleId="36">
    <w:name w:val="annotation reference"/>
    <w:autoRedefine/>
    <w:qFormat/>
    <w:uiPriority w:val="99"/>
    <w:rPr>
      <w:sz w:val="21"/>
      <w:szCs w:val="21"/>
    </w:rPr>
  </w:style>
  <w:style w:type="character" w:styleId="37">
    <w:name w:val="footnote reference"/>
    <w:autoRedefine/>
    <w:qFormat/>
    <w:uiPriority w:val="99"/>
    <w:rPr>
      <w:vertAlign w:val="superscript"/>
    </w:rPr>
  </w:style>
  <w:style w:type="paragraph" w:styleId="38">
    <w:name w:val="List Paragraph"/>
    <w:basedOn w:val="1"/>
    <w:autoRedefine/>
    <w:qFormat/>
    <w:uiPriority w:val="34"/>
    <w:pPr>
      <w:ind w:firstLine="420"/>
    </w:pPr>
    <w:rPr>
      <w:rFonts w:cs="黑体"/>
    </w:rPr>
  </w:style>
  <w:style w:type="character" w:customStyle="1" w:styleId="39">
    <w:name w:val="批注文字 字符"/>
    <w:basedOn w:val="30"/>
    <w:link w:val="12"/>
    <w:autoRedefine/>
    <w:qFormat/>
    <w:uiPriority w:val="99"/>
  </w:style>
  <w:style w:type="character" w:customStyle="1" w:styleId="40">
    <w:name w:val="批注主题 字符"/>
    <w:basedOn w:val="39"/>
    <w:link w:val="27"/>
    <w:autoRedefine/>
    <w:semiHidden/>
    <w:qFormat/>
    <w:uiPriority w:val="99"/>
    <w:rPr>
      <w:b/>
      <w:bCs/>
    </w:rPr>
  </w:style>
  <w:style w:type="character" w:customStyle="1" w:styleId="41">
    <w:name w:val="页眉 字符"/>
    <w:link w:val="20"/>
    <w:autoRedefine/>
    <w:qFormat/>
    <w:uiPriority w:val="99"/>
    <w:rPr>
      <w:rFonts w:cs="思源宋体 CN Light"/>
      <w:sz w:val="18"/>
      <w:szCs w:val="18"/>
    </w:rPr>
  </w:style>
  <w:style w:type="character" w:customStyle="1" w:styleId="42">
    <w:name w:val="页脚 字符"/>
    <w:link w:val="19"/>
    <w:autoRedefine/>
    <w:qFormat/>
    <w:uiPriority w:val="99"/>
    <w:rPr>
      <w:rFonts w:cs="思源宋体 CN Light"/>
      <w:sz w:val="18"/>
      <w:szCs w:val="18"/>
    </w:rPr>
  </w:style>
  <w:style w:type="character" w:customStyle="1" w:styleId="43">
    <w:name w:val="标题 1 字符"/>
    <w:link w:val="2"/>
    <w:autoRedefine/>
    <w:qFormat/>
    <w:uiPriority w:val="9"/>
    <w:rPr>
      <w:rFonts w:cs="华文中宋"/>
      <w:b/>
      <w:bCs/>
      <w:kern w:val="44"/>
      <w:sz w:val="44"/>
      <w:szCs w:val="44"/>
    </w:rPr>
  </w:style>
  <w:style w:type="character" w:customStyle="1" w:styleId="44">
    <w:name w:val="标题 3 字符"/>
    <w:link w:val="4"/>
    <w:autoRedefine/>
    <w:qFormat/>
    <w:uiPriority w:val="9"/>
    <w:rPr>
      <w:rFonts w:ascii="Times New Roman" w:hAnsi="Times New Roman" w:cs="思源宋体 CN Light"/>
      <w:bCs/>
      <w:sz w:val="24"/>
      <w:szCs w:val="32"/>
    </w:rPr>
  </w:style>
  <w:style w:type="character" w:customStyle="1" w:styleId="45">
    <w:name w:val="markedcontent"/>
    <w:basedOn w:val="30"/>
    <w:autoRedefine/>
    <w:qFormat/>
    <w:uiPriority w:val="0"/>
  </w:style>
  <w:style w:type="paragraph" w:customStyle="1" w:styleId="46">
    <w:name w:val="Revision"/>
    <w:autoRedefine/>
    <w:hidden/>
    <w:semiHidden/>
    <w:qFormat/>
    <w:uiPriority w:val="99"/>
    <w:rPr>
      <w:rFonts w:ascii="Calibri" w:hAnsi="Calibri" w:eastAsia="宋体" w:cs="Times New Roman"/>
      <w:lang w:val="en-US" w:eastAsia="zh-CN" w:bidi="ar-SA"/>
    </w:rPr>
  </w:style>
  <w:style w:type="paragraph" w:customStyle="1" w:styleId="47">
    <w:name w:val="TOC 51"/>
    <w:basedOn w:val="1"/>
    <w:next w:val="1"/>
    <w:autoRedefine/>
    <w:semiHidden/>
    <w:unhideWhenUsed/>
    <w:qFormat/>
    <w:uiPriority w:val="39"/>
    <w:pPr>
      <w:ind w:left="1680" w:leftChars="800"/>
    </w:pPr>
    <w:rPr>
      <w:rFonts w:ascii="Calibri" w:hAnsi="Calibri"/>
      <w:szCs w:val="22"/>
    </w:rPr>
  </w:style>
  <w:style w:type="paragraph" w:customStyle="1" w:styleId="48">
    <w:name w:val="TOC 31"/>
    <w:basedOn w:val="1"/>
    <w:next w:val="1"/>
    <w:autoRedefine/>
    <w:qFormat/>
    <w:uiPriority w:val="39"/>
    <w:pPr>
      <w:ind w:left="840" w:leftChars="400"/>
    </w:pPr>
  </w:style>
  <w:style w:type="paragraph" w:customStyle="1" w:styleId="49">
    <w:name w:val="TOC 81"/>
    <w:basedOn w:val="1"/>
    <w:next w:val="1"/>
    <w:autoRedefine/>
    <w:semiHidden/>
    <w:unhideWhenUsed/>
    <w:qFormat/>
    <w:uiPriority w:val="39"/>
    <w:pPr>
      <w:ind w:left="2940" w:leftChars="1400"/>
    </w:pPr>
    <w:rPr>
      <w:rFonts w:ascii="Calibri" w:hAnsi="Calibri"/>
      <w:szCs w:val="22"/>
    </w:rPr>
  </w:style>
  <w:style w:type="paragraph" w:customStyle="1" w:styleId="50">
    <w:name w:val="TOC 41"/>
    <w:basedOn w:val="1"/>
    <w:next w:val="1"/>
    <w:autoRedefine/>
    <w:semiHidden/>
    <w:unhideWhenUsed/>
    <w:qFormat/>
    <w:uiPriority w:val="39"/>
    <w:pPr>
      <w:ind w:left="1260" w:leftChars="600"/>
    </w:pPr>
    <w:rPr>
      <w:rFonts w:ascii="Calibri" w:hAnsi="Calibri"/>
      <w:szCs w:val="22"/>
    </w:rPr>
  </w:style>
  <w:style w:type="paragraph" w:customStyle="1" w:styleId="51">
    <w:name w:val="TOC 21"/>
    <w:basedOn w:val="1"/>
    <w:next w:val="1"/>
    <w:autoRedefine/>
    <w:qFormat/>
    <w:uiPriority w:val="39"/>
    <w:pPr>
      <w:ind w:left="420" w:leftChars="200"/>
    </w:pPr>
  </w:style>
  <w:style w:type="paragraph" w:customStyle="1" w:styleId="52">
    <w:name w:val="TOC 91"/>
    <w:basedOn w:val="1"/>
    <w:next w:val="1"/>
    <w:autoRedefine/>
    <w:semiHidden/>
    <w:unhideWhenUsed/>
    <w:qFormat/>
    <w:uiPriority w:val="39"/>
    <w:pPr>
      <w:ind w:left="3360" w:leftChars="1600"/>
    </w:pPr>
    <w:rPr>
      <w:rFonts w:ascii="Calibri" w:hAnsi="Calibri"/>
      <w:szCs w:val="22"/>
    </w:rPr>
  </w:style>
  <w:style w:type="character" w:customStyle="1" w:styleId="53">
    <w:name w:val="访问过的超链接1"/>
    <w:autoRedefine/>
    <w:qFormat/>
    <w:uiPriority w:val="0"/>
    <w:rPr>
      <w:color w:val="800080"/>
      <w:u w:val="single"/>
    </w:rPr>
  </w:style>
  <w:style w:type="character" w:customStyle="1" w:styleId="54">
    <w:name w:val="powered"/>
    <w:autoRedefine/>
    <w:qFormat/>
    <w:uiPriority w:val="0"/>
  </w:style>
  <w:style w:type="character" w:customStyle="1" w:styleId="55">
    <w:name w:val="apple-converted-space"/>
    <w:autoRedefine/>
    <w:qFormat/>
    <w:uiPriority w:val="0"/>
  </w:style>
  <w:style w:type="paragraph" w:customStyle="1" w:styleId="56">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7">
    <w:name w:val="TOC 标题1"/>
    <w:basedOn w:val="2"/>
    <w:next w:val="1"/>
    <w:autoRedefine/>
    <w:semiHidden/>
    <w:unhideWhenUsed/>
    <w:qFormat/>
    <w:uiPriority w:val="39"/>
    <w:pPr>
      <w:widowControl/>
      <w:spacing w:before="240" w:after="0" w:line="259" w:lineRule="auto"/>
      <w:jc w:val="left"/>
      <w:outlineLvl w:val="9"/>
    </w:pPr>
    <w:rPr>
      <w:rFonts w:ascii="Calibri Light" w:hAnsi="Calibri Light" w:cs="Times New Roman"/>
      <w:b w:val="0"/>
      <w:bCs w:val="0"/>
      <w:color w:val="2E74B5"/>
      <w:kern w:val="0"/>
      <w:sz w:val="32"/>
      <w:szCs w:val="32"/>
      <w:lang w:val="zh-CN" w:eastAsia="zh-CN"/>
    </w:rPr>
  </w:style>
  <w:style w:type="paragraph" w:customStyle="1" w:styleId="58">
    <w:name w:val="式：中"/>
    <w:basedOn w:val="1"/>
    <w:autoRedefine/>
    <w:qFormat/>
    <w:uiPriority w:val="0"/>
    <w:pPr>
      <w:tabs>
        <w:tab w:val="center" w:pos="4620"/>
      </w:tabs>
      <w:ind w:firstLine="420"/>
    </w:pPr>
  </w:style>
  <w:style w:type="paragraph" w:customStyle="1" w:styleId="59">
    <w:name w:val="公式"/>
    <w:basedOn w:val="1"/>
    <w:autoRedefine/>
    <w:qFormat/>
    <w:uiPriority w:val="0"/>
    <w:pPr>
      <w:tabs>
        <w:tab w:val="center" w:pos="4673"/>
        <w:tab w:val="right" w:pos="9345"/>
      </w:tabs>
      <w:spacing w:line="400" w:lineRule="atLeast"/>
      <w:ind w:firstLine="480"/>
    </w:pPr>
    <w:rPr>
      <w:sz w:val="24"/>
      <w:szCs w:val="24"/>
    </w:rPr>
  </w:style>
  <w:style w:type="paragraph" w:customStyle="1" w:styleId="60">
    <w:name w:val="列出段落1"/>
    <w:basedOn w:val="1"/>
    <w:autoRedefine/>
    <w:qFormat/>
    <w:uiPriority w:val="0"/>
    <w:pPr>
      <w:ind w:firstLine="420"/>
    </w:pPr>
  </w:style>
  <w:style w:type="paragraph" w:customStyle="1" w:styleId="61">
    <w:name w:val="列表段落1"/>
    <w:basedOn w:val="1"/>
    <w:autoRedefine/>
    <w:qFormat/>
    <w:uiPriority w:val="34"/>
    <w:pPr>
      <w:ind w:firstLine="420"/>
    </w:pPr>
    <w:rPr>
      <w:rFonts w:ascii="Calibri" w:hAnsi="Calibri"/>
      <w:szCs w:val="22"/>
    </w:rPr>
  </w:style>
  <w:style w:type="character" w:customStyle="1" w:styleId="62">
    <w:name w:val="页脚 Char"/>
    <w:autoRedefine/>
    <w:qFormat/>
    <w:uiPriority w:val="0"/>
    <w:rPr>
      <w:sz w:val="18"/>
      <w:szCs w:val="18"/>
    </w:rPr>
  </w:style>
  <w:style w:type="paragraph" w:customStyle="1" w:styleId="63">
    <w:name w:val="图表注脚"/>
    <w:basedOn w:val="1"/>
    <w:link w:val="64"/>
    <w:autoRedefine/>
    <w:qFormat/>
    <w:uiPriority w:val="0"/>
    <w:pPr>
      <w:snapToGrid w:val="0"/>
      <w:spacing w:after="50" w:afterLines="50" w:line="288" w:lineRule="auto"/>
      <w:ind w:firstLine="0" w:firstLineChars="0"/>
    </w:pPr>
    <w:rPr>
      <w:bCs/>
      <w:sz w:val="18"/>
      <w:szCs w:val="22"/>
      <w:lang w:val="zh-CN" w:eastAsia="zh-CN"/>
    </w:rPr>
  </w:style>
  <w:style w:type="character" w:customStyle="1" w:styleId="64">
    <w:name w:val="图表注脚 字符"/>
    <w:link w:val="63"/>
    <w:autoRedefine/>
    <w:qFormat/>
    <w:uiPriority w:val="0"/>
    <w:rPr>
      <w:rFonts w:ascii="Times New Roman" w:hAnsi="Times New Roman" w:cs="思源宋体 CN Light"/>
      <w:bCs/>
      <w:kern w:val="2"/>
      <w:sz w:val="18"/>
      <w:szCs w:val="22"/>
      <w:lang w:val="zh-CN" w:eastAsia="zh-CN"/>
    </w:rPr>
  </w:style>
  <w:style w:type="character" w:customStyle="1" w:styleId="65">
    <w:name w:val="标题 2 字符"/>
    <w:link w:val="3"/>
    <w:autoRedefine/>
    <w:qFormat/>
    <w:uiPriority w:val="9"/>
    <w:rPr>
      <w:rFonts w:ascii="Cambria" w:hAnsi="Cambria" w:cs="黑体"/>
      <w:b/>
      <w:bCs/>
      <w:sz w:val="32"/>
      <w:szCs w:val="32"/>
    </w:rPr>
  </w:style>
  <w:style w:type="character" w:customStyle="1" w:styleId="66">
    <w:name w:val="标题 4 字符"/>
    <w:link w:val="5"/>
    <w:autoRedefine/>
    <w:qFormat/>
    <w:uiPriority w:val="0"/>
    <w:rPr>
      <w:rFonts w:ascii="Times New Roman" w:hAnsi="Times New Roman" w:eastAsia="新宋体" w:cstheme="majorBidi"/>
      <w:bCs/>
      <w:sz w:val="21"/>
      <w:szCs w:val="24"/>
    </w:rPr>
  </w:style>
  <w:style w:type="character" w:customStyle="1" w:styleId="67">
    <w:name w:val="标题 5 字符"/>
    <w:link w:val="6"/>
    <w:autoRedefine/>
    <w:qFormat/>
    <w:uiPriority w:val="9"/>
    <w:rPr>
      <w:rFonts w:ascii="Times New Roman" w:hAnsi="Times New Roman" w:eastAsia="黑体" w:cs="思源宋体 CN Light"/>
      <w:bCs/>
      <w:sz w:val="21"/>
      <w:szCs w:val="28"/>
    </w:rPr>
  </w:style>
  <w:style w:type="character" w:customStyle="1" w:styleId="68">
    <w:name w:val="标题 6 字符"/>
    <w:link w:val="7"/>
    <w:autoRedefine/>
    <w:qFormat/>
    <w:uiPriority w:val="0"/>
    <w:rPr>
      <w:rFonts w:ascii="Arial" w:hAnsi="Arial" w:eastAsia="黑体" w:cstheme="majorBidi"/>
      <w:b/>
      <w:bCs/>
      <w:sz w:val="24"/>
      <w:szCs w:val="24"/>
    </w:rPr>
  </w:style>
  <w:style w:type="character" w:customStyle="1" w:styleId="69">
    <w:name w:val="标题 7 字符"/>
    <w:link w:val="8"/>
    <w:autoRedefine/>
    <w:qFormat/>
    <w:uiPriority w:val="0"/>
    <w:rPr>
      <w:rFonts w:ascii="Times New Roman" w:hAnsi="Times New Roman" w:eastAsia="黑体" w:cs="思源宋体 CN Light"/>
      <w:bCs/>
      <w:sz w:val="21"/>
      <w:szCs w:val="24"/>
    </w:rPr>
  </w:style>
  <w:style w:type="character" w:customStyle="1" w:styleId="70">
    <w:name w:val="标题 9 字符"/>
    <w:link w:val="9"/>
    <w:autoRedefine/>
    <w:qFormat/>
    <w:uiPriority w:val="0"/>
    <w:rPr>
      <w:rFonts w:ascii="Times New Roman" w:hAnsi="Times New Roman" w:eastAsia="仿宋" w:cstheme="majorBidi"/>
      <w:b/>
      <w:sz w:val="21"/>
      <w:szCs w:val="21"/>
      <w:lang w:val="zh-CN" w:eastAsia="zh-CN"/>
    </w:rPr>
  </w:style>
  <w:style w:type="character" w:customStyle="1" w:styleId="71">
    <w:name w:val="脚注文本 字符"/>
    <w:link w:val="24"/>
    <w:autoRedefine/>
    <w:qFormat/>
    <w:uiPriority w:val="99"/>
    <w:rPr>
      <w:rFonts w:ascii="Times New Roman" w:hAnsi="Times New Roman" w:cs="思源宋体 CN Light"/>
      <w:sz w:val="18"/>
      <w:szCs w:val="18"/>
      <w:lang w:val="zh-CN" w:eastAsia="zh-CN"/>
    </w:rPr>
  </w:style>
  <w:style w:type="character" w:customStyle="1" w:styleId="72">
    <w:name w:val="题注 字符"/>
    <w:link w:val="10"/>
    <w:autoRedefine/>
    <w:semiHidden/>
    <w:unhideWhenUsed/>
    <w:qFormat/>
    <w:uiPriority w:val="0"/>
    <w:rPr>
      <w:rFonts w:ascii="Calibri Light" w:hAnsi="Calibri Light" w:eastAsia="黑体" w:cstheme="majorBidi"/>
      <w:kern w:val="2"/>
    </w:rPr>
  </w:style>
  <w:style w:type="character" w:customStyle="1" w:styleId="73">
    <w:name w:val="尾注文本 字符"/>
    <w:basedOn w:val="30"/>
    <w:autoRedefine/>
    <w:semiHidden/>
    <w:qFormat/>
    <w:uiPriority w:val="99"/>
    <w:rPr>
      <w:rFonts w:ascii="Times New Roman" w:hAnsi="Times New Roman"/>
      <w:kern w:val="2"/>
      <w:sz w:val="21"/>
    </w:rPr>
  </w:style>
  <w:style w:type="character" w:customStyle="1" w:styleId="74">
    <w:name w:val="尾注文本 字符1"/>
    <w:link w:val="17"/>
    <w:autoRedefine/>
    <w:qFormat/>
    <w:uiPriority w:val="99"/>
    <w:rPr>
      <w:rFonts w:ascii="Times New Roman" w:hAnsi="Times New Roman" w:cs="思源宋体 CN Light"/>
    </w:rPr>
  </w:style>
  <w:style w:type="character" w:customStyle="1" w:styleId="75">
    <w:name w:val="标题 字符"/>
    <w:link w:val="23"/>
    <w:autoRedefine/>
    <w:qFormat/>
    <w:uiPriority w:val="0"/>
    <w:rPr>
      <w:rFonts w:ascii="Times New Roman" w:hAnsi="Times New Roman" w:eastAsia="仿宋" w:cs="黑体"/>
      <w:b/>
      <w:bCs/>
      <w:sz w:val="24"/>
      <w:szCs w:val="32"/>
    </w:rPr>
  </w:style>
  <w:style w:type="character" w:customStyle="1" w:styleId="76">
    <w:name w:val="正文文本 字符"/>
    <w:link w:val="13"/>
    <w:autoRedefine/>
    <w:semiHidden/>
    <w:qFormat/>
    <w:uiPriority w:val="0"/>
    <w:rPr>
      <w:rFonts w:ascii="Times New Roman" w:hAnsi="Times New Roman" w:cs="思源宋体 CN Light"/>
    </w:rPr>
  </w:style>
  <w:style w:type="character" w:customStyle="1" w:styleId="77">
    <w:name w:val="副标题 字符"/>
    <w:link w:val="22"/>
    <w:autoRedefine/>
    <w:qFormat/>
    <w:uiPriority w:val="11"/>
    <w:rPr>
      <w:rFonts w:ascii="LM Roman 10" w:hAnsi="LM Roman 10" w:eastAsia="黑体" w:cstheme="minorBidi"/>
      <w:b/>
      <w:bCs/>
      <w:kern w:val="28"/>
      <w:sz w:val="32"/>
      <w:szCs w:val="32"/>
      <w:lang w:eastAsia="en-US"/>
    </w:rPr>
  </w:style>
  <w:style w:type="character" w:customStyle="1" w:styleId="78">
    <w:name w:val="日期 字符"/>
    <w:link w:val="15"/>
    <w:autoRedefine/>
    <w:qFormat/>
    <w:uiPriority w:val="0"/>
    <w:rPr>
      <w:rFonts w:ascii="Times New Roman" w:hAnsi="Times New Roman" w:cs="思源宋体 CN Light"/>
      <w:szCs w:val="24"/>
    </w:rPr>
  </w:style>
  <w:style w:type="character" w:customStyle="1" w:styleId="79">
    <w:name w:val="正文文本缩进 2 字符"/>
    <w:link w:val="16"/>
    <w:autoRedefine/>
    <w:qFormat/>
    <w:uiPriority w:val="0"/>
    <w:rPr>
      <w:rFonts w:ascii="Times New Roman" w:hAnsi="Times New Roman" w:eastAsia="新宋体" w:cs="思源宋体 CN Light"/>
      <w:sz w:val="18"/>
      <w:szCs w:val="24"/>
      <w:lang w:val="zh-CN" w:eastAsia="zh-CN"/>
    </w:rPr>
  </w:style>
  <w:style w:type="character" w:customStyle="1" w:styleId="80">
    <w:name w:val="文档结构图 字符"/>
    <w:link w:val="11"/>
    <w:autoRedefine/>
    <w:qFormat/>
    <w:uiPriority w:val="0"/>
    <w:rPr>
      <w:rFonts w:ascii="Times New Roman" w:hAnsi="Times New Roman" w:cs="思源宋体 CN Light"/>
      <w:szCs w:val="24"/>
      <w:shd w:val="clear" w:color="auto" w:fill="000080"/>
    </w:rPr>
  </w:style>
  <w:style w:type="character" w:customStyle="1" w:styleId="81">
    <w:name w:val="纯文本 字符"/>
    <w:link w:val="14"/>
    <w:autoRedefine/>
    <w:qFormat/>
    <w:uiPriority w:val="0"/>
    <w:rPr>
      <w:rFonts w:ascii="宋体" w:hAnsi="Courier New" w:cs="思源宋体 CN Light"/>
      <w:szCs w:val="21"/>
    </w:rPr>
  </w:style>
  <w:style w:type="character" w:customStyle="1" w:styleId="82">
    <w:name w:val="批注框文本 字符"/>
    <w:link w:val="18"/>
    <w:autoRedefine/>
    <w:qFormat/>
    <w:uiPriority w:val="99"/>
    <w:rPr>
      <w:rFonts w:ascii="Times New Roman" w:hAnsi="Times New Roman" w:cs="Segoe UI"/>
      <w:sz w:val="18"/>
      <w:szCs w:val="18"/>
      <w:lang w:val="zh-CN"/>
    </w:rPr>
  </w:style>
  <w:style w:type="paragraph" w:styleId="83">
    <w:name w:val="No Spacing"/>
    <w:autoRedefine/>
    <w:qFormat/>
    <w:uiPriority w:val="1"/>
    <w:pPr>
      <w:widowControl w:val="0"/>
      <w:ind w:firstLine="200" w:firstLineChars="200"/>
      <w:jc w:val="both"/>
    </w:pPr>
    <w:rPr>
      <w:rFonts w:ascii="Times New Roman" w:hAnsi="Times New Roman" w:eastAsia="宋体" w:cs="思源宋体 CN Light"/>
      <w:kern w:val="2"/>
      <w:sz w:val="21"/>
      <w:lang w:val="en-US" w:eastAsia="zh-CN" w:bidi="ar-SA"/>
    </w:rPr>
  </w:style>
  <w:style w:type="paragraph" w:customStyle="1" w:styleId="84">
    <w:name w:val="TOC Heading"/>
    <w:basedOn w:val="2"/>
    <w:next w:val="1"/>
    <w:autoRedefine/>
    <w:semiHidden/>
    <w:unhideWhenUsed/>
    <w:qFormat/>
    <w:uiPriority w:val="39"/>
    <w:pPr>
      <w:outlineLvl w:val="9"/>
    </w:pPr>
    <w:rPr>
      <w:rFonts w:ascii="Times New Roman" w:hAnsi="Times New Roman" w:cs="思源宋体 CN Light"/>
      <w:lang w:val="zh-CN" w:eastAsia="en-US"/>
    </w:rPr>
  </w:style>
  <w:style w:type="character" w:customStyle="1" w:styleId="85">
    <w:name w:val="Book Title"/>
    <w:basedOn w:val="30"/>
    <w:autoRedefine/>
    <w:qFormat/>
    <w:uiPriority w:val="33"/>
    <w:rPr>
      <w:b/>
      <w:bCs/>
      <w:i/>
      <w:iCs/>
      <w:spacing w:val="5"/>
    </w:rPr>
  </w:style>
  <w:style w:type="paragraph" w:styleId="86">
    <w:name w:val="Quote"/>
    <w:basedOn w:val="1"/>
    <w:next w:val="1"/>
    <w:link w:val="87"/>
    <w:autoRedefine/>
    <w:qFormat/>
    <w:uiPriority w:val="29"/>
    <w:pPr>
      <w:ind w:firstLine="0" w:firstLineChars="0"/>
      <w:jc w:val="center"/>
    </w:pPr>
    <w:rPr>
      <w:rFonts w:eastAsia="仿宋" w:cs="Times New Roman"/>
      <w:iCs/>
      <w:color w:val="404040" w:themeColor="text1" w:themeTint="BF"/>
      <w14:textFill>
        <w14:solidFill>
          <w14:schemeClr w14:val="tx1">
            <w14:lumMod w14:val="75000"/>
            <w14:lumOff w14:val="25000"/>
          </w14:schemeClr>
        </w14:solidFill>
      </w14:textFill>
    </w:rPr>
  </w:style>
  <w:style w:type="character" w:customStyle="1" w:styleId="87">
    <w:name w:val="引用 字符"/>
    <w:basedOn w:val="30"/>
    <w:link w:val="86"/>
    <w:autoRedefine/>
    <w:qFormat/>
    <w:uiPriority w:val="29"/>
    <w:rPr>
      <w:rFonts w:ascii="Times New Roman" w:hAnsi="Times New Roman" w:eastAsia="仿宋"/>
      <w:iCs/>
      <w:color w:val="404040" w:themeColor="text1" w:themeTint="BF"/>
      <w:kern w:val="2"/>
      <w:sz w:val="21"/>
      <w14:textFill>
        <w14:solidFill>
          <w14:schemeClr w14:val="tx1">
            <w14:lumMod w14:val="75000"/>
            <w14:lumOff w14:val="25000"/>
          </w14:schemeClr>
        </w14:solidFill>
      </w14:textFill>
    </w:rPr>
  </w:style>
  <w:style w:type="character" w:styleId="88">
    <w:name w:val="Placeholder Text"/>
    <w:basedOn w:val="30"/>
    <w:autoRedefine/>
    <w:semiHidden/>
    <w:qFormat/>
    <w:uiPriority w:val="99"/>
    <w:rPr>
      <w:color w:val="808080"/>
    </w:rPr>
  </w:style>
  <w:style w:type="table" w:customStyle="1" w:styleId="89">
    <w:name w:val="网格型1"/>
    <w:basedOn w:val="28"/>
    <w:autoRedefine/>
    <w:qFormat/>
    <w:uiPriority w:val="59"/>
    <w:rPr>
      <w:rFonts w:ascii="Times New Roman" w:hAnsi="Times New Roman" w:eastAsia="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90">
    <w:name w:val="title-text"/>
    <w:basedOn w:val="30"/>
    <w:autoRedefine/>
    <w:qFormat/>
    <w:uiPriority w:val="0"/>
  </w:style>
  <w:style w:type="character" w:customStyle="1" w:styleId="91">
    <w:name w:val="abstract-text"/>
    <w:basedOn w:val="30"/>
    <w:autoRedefine/>
    <w:qFormat/>
    <w:uiPriority w:val="0"/>
  </w:style>
  <w:style w:type="table" w:customStyle="1" w:styleId="92">
    <w:name w:val="网格型2"/>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未处理的提及1"/>
    <w:basedOn w:val="30"/>
    <w:autoRedefine/>
    <w:semiHidden/>
    <w:unhideWhenUsed/>
    <w:qFormat/>
    <w:uiPriority w:val="99"/>
    <w:rPr>
      <w:color w:val="605E5C"/>
      <w:shd w:val="clear" w:color="auto" w:fill="E1DFDD"/>
    </w:rPr>
  </w:style>
  <w:style w:type="paragraph" w:customStyle="1" w:styleId="94">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E303-60A4-4C82-B458-25EDDB14277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7441</Words>
  <Characters>8483</Characters>
  <Lines>257</Lines>
  <Paragraphs>81</Paragraphs>
  <TotalTime>0</TotalTime>
  <ScaleCrop>false</ScaleCrop>
  <LinksUpToDate>false</LinksUpToDate>
  <CharactersWithSpaces>15843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2024-03-16T06:49:00Z</dcterms:created>
  <dc:creator>Huang Wei</dc:creator>
  <cp:lastModifiedBy>刘京</cp:lastModifiedBy>
  <dcterms:modified xsi:type="dcterms:W3CDTF">2024-03-18T12:21:55Z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id="l9ZmrqWu"/&gt;&lt;style id="http://www.zotero.org/styles/apa" locale="zh-CN" hasBibliography="1" bibliographyStyleHasBeenSet="0"/&gt;&lt;prefs&gt;&lt;pref name="fieldType" value="Field"/&gt;&lt;/prefs&gt;&lt;/data&gt;</vt:lpwstr>
  </property>
  <property fmtid="{D5CDD505-2E9C-101B-9397-08002B2CF9AE}" pid="3" name="GrammarlyDocumentId">
    <vt:lpwstr>547590f5212d81dfda09eb741fb26a42969a78cf53a402eda6369a3f109c9c40</vt:lpwstr>
  </property>
  <property fmtid="{D5CDD505-2E9C-101B-9397-08002B2CF9AE}" pid="4" name="KSOProductBuildVer">
    <vt:lpwstr>2052-12.1.0.16388</vt:lpwstr>
  </property>
  <property fmtid="{D5CDD505-2E9C-101B-9397-08002B2CF9AE}" pid="5" name="ICV">
    <vt:lpwstr>B2291D250379431C95AE37251CF0EE7B_12</vt:lpwstr>
  </property>
</Properties>
</file>