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0" w:firstLineChars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失业保险、流动性约束及家庭消费</w:t>
      </w:r>
    </w:p>
    <w:p>
      <w:pPr>
        <w:spacing w:line="400" w:lineRule="exact"/>
        <w:ind w:firstLine="0" w:firstLineChars="0"/>
        <w:jc w:val="center"/>
        <w:rPr>
          <w:b/>
          <w:bCs/>
          <w:sz w:val="28"/>
          <w:szCs w:val="36"/>
        </w:rPr>
      </w:pPr>
    </w:p>
    <w:p>
      <w:pPr>
        <w:spacing w:line="400" w:lineRule="exact"/>
        <w:ind w:firstLine="0" w:firstLineChars="0"/>
        <w:jc w:val="center"/>
        <w:rPr>
          <w:rFonts w:hint="eastAsia" w:ascii="楷体" w:hAnsi="楷体" w:eastAsia="楷体" w:cs="楷体"/>
          <w:bCs/>
          <w:sz w:val="28"/>
          <w:szCs w:val="36"/>
        </w:rPr>
      </w:pPr>
      <w:r>
        <w:rPr>
          <w:rFonts w:hint="eastAsia" w:ascii="楷体" w:hAnsi="楷体" w:eastAsia="楷体" w:cs="楷体"/>
          <w:bCs/>
          <w:sz w:val="28"/>
          <w:szCs w:val="36"/>
        </w:rPr>
        <w:t>谢强 唐珏 吕思诺 白金</w:t>
      </w:r>
    </w:p>
    <w:p>
      <w:pPr>
        <w:ind w:firstLine="0" w:firstLineChars="0"/>
        <w:jc w:val="center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ind w:firstLine="0" w:firstLineChars="0"/>
        <w:jc w:val="center"/>
        <w:rPr>
          <w:rFonts w:hint="eastAsia" w:eastAsia="仿宋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目录</w:t>
      </w:r>
    </w:p>
    <w:sdt>
      <w:sdtPr>
        <w:rPr>
          <w:lang w:val="zh-CN"/>
        </w:rPr>
        <w:id w:val="1211607042"/>
        <w:docPartObj>
          <w:docPartGallery w:val="Table of Contents"/>
          <w:docPartUnique/>
        </w:docPartObj>
      </w:sdtPr>
      <w:sdtEndPr>
        <w:rPr>
          <w:rFonts w:ascii="Times New Roman" w:hAnsi="Times New Roman" w:eastAsia="仿宋" w:cs="Times New Roman"/>
          <w:b/>
          <w:bCs/>
          <w:color w:val="auto"/>
          <w:kern w:val="2"/>
          <w:sz w:val="21"/>
          <w:szCs w:val="24"/>
          <w:lang w:val="zh-CN"/>
        </w:rPr>
      </w:sdtEndPr>
      <w:sdtContent>
        <w:p>
          <w:pPr>
            <w:pStyle w:val="21"/>
            <w:rPr>
              <w:rFonts w:hint="eastAsia"/>
            </w:rPr>
          </w:pPr>
        </w:p>
        <w:p>
          <w:pPr>
            <w:pStyle w:val="6"/>
            <w:rPr>
              <w:rFonts w:asciiTheme="minorHAnsi" w:hAnsiTheme="minorHAnsi" w:eastAsiaTheme="minorEastAsia" w:cstheme="minorBidi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HYPERLINK \l "_Toc148719722" </w:instrText>
          </w:r>
          <w:r>
            <w:rPr>
              <w:sz w:val="22"/>
              <w:szCs w:val="22"/>
            </w:rPr>
            <w:fldChar w:fldCharType="separate"/>
          </w:r>
          <w:r>
            <w:rPr>
              <w:rStyle w:val="12"/>
              <w:sz w:val="22"/>
              <w:szCs w:val="22"/>
            </w:rPr>
            <w:t>附录</w:t>
          </w:r>
          <w:r>
            <w:rPr>
              <w:rStyle w:val="12"/>
              <w:rFonts w:hint="eastAsia" w:ascii="宋体" w:hAnsi="宋体" w:eastAsia="宋体" w:cs="宋体"/>
              <w:sz w:val="22"/>
              <w:szCs w:val="22"/>
            </w:rPr>
            <w:t>Ⅰ</w:t>
          </w:r>
          <w:r>
            <w:rPr>
              <w:rStyle w:val="12"/>
              <w:sz w:val="22"/>
              <w:szCs w:val="22"/>
            </w:rPr>
            <w:t xml:space="preserve"> 参保样本主要变量的统计性描述</w:t>
          </w:r>
          <w:r>
            <w:rPr>
              <w:sz w:val="22"/>
              <w:szCs w:val="22"/>
            </w:rPr>
            <w:tab/>
          </w:r>
          <w:r>
            <w:rPr>
              <w:rFonts w:hint="eastAsia"/>
              <w:sz w:val="22"/>
              <w:szCs w:val="22"/>
              <w:lang w:val="en-US" w:eastAsia="zh-CN"/>
            </w:rPr>
            <w:t>1</w:t>
          </w:r>
          <w:r>
            <w:rPr>
              <w:sz w:val="22"/>
              <w:szCs w:val="22"/>
            </w:rPr>
            <w:fldChar w:fldCharType="end"/>
          </w:r>
        </w:p>
        <w:p>
          <w:pPr>
            <w:pStyle w:val="6"/>
            <w:rPr>
              <w:rFonts w:asciiTheme="minorHAnsi" w:hAnsiTheme="minorHAnsi" w:eastAsiaTheme="minorEastAsia" w:cstheme="minorBidi"/>
              <w:sz w:val="22"/>
              <w:szCs w:val="22"/>
            </w:rPr>
          </w:pP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HYPERLINK \l "_Toc148719723" </w:instrText>
          </w:r>
          <w:r>
            <w:rPr>
              <w:sz w:val="22"/>
              <w:szCs w:val="22"/>
            </w:rPr>
            <w:fldChar w:fldCharType="separate"/>
          </w:r>
          <w:r>
            <w:rPr>
              <w:rStyle w:val="12"/>
              <w:sz w:val="22"/>
              <w:szCs w:val="22"/>
            </w:rPr>
            <w:t>附录</w:t>
          </w:r>
          <w:r>
            <w:rPr>
              <w:rStyle w:val="12"/>
              <w:rFonts w:hint="eastAsia" w:ascii="仿宋" w:hAnsi="仿宋" w:eastAsia="仿宋" w:cs="仿宋"/>
              <w:sz w:val="22"/>
              <w:szCs w:val="22"/>
            </w:rPr>
            <w:t>Ⅱ</w:t>
          </w:r>
          <w:r>
            <w:rPr>
              <w:rStyle w:val="12"/>
              <w:sz w:val="22"/>
              <w:szCs w:val="22"/>
            </w:rPr>
            <w:t xml:space="preserve"> 失业金标准月度调整情况</w:t>
          </w:r>
          <w:r>
            <w:rPr>
              <w:sz w:val="22"/>
              <w:szCs w:val="22"/>
            </w:rPr>
            <w:tab/>
          </w:r>
          <w:r>
            <w:rPr>
              <w:rFonts w:hint="eastAsia"/>
              <w:sz w:val="22"/>
              <w:szCs w:val="22"/>
              <w:lang w:val="en-US" w:eastAsia="zh-CN"/>
            </w:rPr>
            <w:t>2</w:t>
          </w:r>
          <w:r>
            <w:rPr>
              <w:sz w:val="22"/>
              <w:szCs w:val="22"/>
            </w:rPr>
            <w:fldChar w:fldCharType="end"/>
          </w:r>
        </w:p>
        <w:p>
          <w:pPr>
            <w:pStyle w:val="6"/>
            <w:rPr>
              <w:rFonts w:asciiTheme="minorHAnsi" w:hAnsiTheme="minorHAnsi" w:eastAsiaTheme="minorEastAsia" w:cstheme="minorBidi"/>
              <w:sz w:val="22"/>
              <w:szCs w:val="22"/>
            </w:rPr>
          </w:pP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HYPERLINK \l "_Toc148719724" </w:instrText>
          </w:r>
          <w:r>
            <w:rPr>
              <w:sz w:val="22"/>
              <w:szCs w:val="22"/>
            </w:rPr>
            <w:fldChar w:fldCharType="separate"/>
          </w:r>
          <w:r>
            <w:rPr>
              <w:rStyle w:val="12"/>
              <w:sz w:val="22"/>
              <w:szCs w:val="22"/>
            </w:rPr>
            <w:t>附录</w:t>
          </w:r>
          <w:r>
            <w:rPr>
              <w:rStyle w:val="12"/>
              <w:rFonts w:hint="eastAsia" w:ascii="仿宋" w:hAnsi="仿宋" w:eastAsia="仿宋" w:cs="仿宋"/>
              <w:sz w:val="22"/>
              <w:szCs w:val="22"/>
            </w:rPr>
            <w:t>Ⅲ</w:t>
          </w:r>
          <w:r>
            <w:rPr>
              <w:rStyle w:val="12"/>
              <w:sz w:val="22"/>
              <w:szCs w:val="22"/>
            </w:rPr>
            <w:t xml:space="preserve"> 流动性约束机制分析</w:t>
          </w:r>
          <w:r>
            <w:rPr>
              <w:sz w:val="22"/>
              <w:szCs w:val="22"/>
            </w:rPr>
            <w:tab/>
          </w:r>
          <w:r>
            <w:rPr>
              <w:rFonts w:hint="eastAsia"/>
              <w:sz w:val="22"/>
              <w:szCs w:val="22"/>
              <w:lang w:val="en-US" w:eastAsia="zh-CN"/>
            </w:rPr>
            <w:t>3</w:t>
          </w:r>
          <w:r>
            <w:rPr>
              <w:sz w:val="22"/>
              <w:szCs w:val="22"/>
            </w:rPr>
            <w:fldChar w:fldCharType="end"/>
          </w:r>
        </w:p>
        <w:p>
          <w:pPr>
            <w:pStyle w:val="6"/>
            <w:rPr>
              <w:rFonts w:asciiTheme="minorHAnsi" w:hAnsiTheme="minorHAnsi" w:eastAsiaTheme="minorEastAsia" w:cstheme="minorBidi"/>
              <w:sz w:val="22"/>
              <w:szCs w:val="22"/>
            </w:rPr>
          </w:pP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HYPERLINK \l "_Toc148719725" </w:instrText>
          </w:r>
          <w:r>
            <w:rPr>
              <w:sz w:val="22"/>
              <w:szCs w:val="22"/>
            </w:rPr>
            <w:fldChar w:fldCharType="separate"/>
          </w:r>
          <w:r>
            <w:rPr>
              <w:rStyle w:val="12"/>
              <w:sz w:val="22"/>
              <w:szCs w:val="22"/>
            </w:rPr>
            <w:t>附录</w:t>
          </w:r>
          <w:r>
            <w:rPr>
              <w:rStyle w:val="12"/>
              <w:rFonts w:hint="eastAsia" w:ascii="仿宋" w:hAnsi="仿宋" w:eastAsia="仿宋" w:cs="仿宋"/>
              <w:sz w:val="22"/>
              <w:szCs w:val="22"/>
            </w:rPr>
            <w:t>Ⅳ</w:t>
          </w:r>
          <w:r>
            <w:rPr>
              <w:rStyle w:val="12"/>
              <w:sz w:val="22"/>
              <w:szCs w:val="22"/>
            </w:rPr>
            <w:t xml:space="preserve"> 失业保险领取样本下的流动性约束</w:t>
          </w:r>
          <w:r>
            <w:rPr>
              <w:sz w:val="22"/>
              <w:szCs w:val="22"/>
            </w:rPr>
            <w:tab/>
          </w:r>
          <w:r>
            <w:rPr>
              <w:rFonts w:hint="eastAsia"/>
              <w:sz w:val="22"/>
              <w:szCs w:val="22"/>
              <w:lang w:val="en-US" w:eastAsia="zh-CN"/>
            </w:rPr>
            <w:t>5</w:t>
          </w:r>
          <w:r>
            <w:rPr>
              <w:sz w:val="22"/>
              <w:szCs w:val="22"/>
            </w:rPr>
            <w:fldChar w:fldCharType="end"/>
          </w:r>
        </w:p>
        <w:p>
          <w:pPr>
            <w:pStyle w:val="6"/>
            <w:rPr>
              <w:rFonts w:asciiTheme="minorHAnsi" w:hAnsiTheme="minorHAnsi" w:eastAsiaTheme="minorEastAsia" w:cstheme="minorBidi"/>
              <w:sz w:val="22"/>
              <w:szCs w:val="22"/>
            </w:rPr>
          </w:pP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HYPERLINK \l "_Toc148719726" </w:instrText>
          </w:r>
          <w:r>
            <w:rPr>
              <w:sz w:val="22"/>
              <w:szCs w:val="22"/>
            </w:rPr>
            <w:fldChar w:fldCharType="separate"/>
          </w:r>
          <w:r>
            <w:rPr>
              <w:rStyle w:val="12"/>
              <w:sz w:val="22"/>
              <w:szCs w:val="22"/>
            </w:rPr>
            <w:t>附录</w:t>
          </w:r>
          <w:r>
            <w:rPr>
              <w:rStyle w:val="12"/>
              <w:rFonts w:hint="eastAsia" w:ascii="仿宋" w:hAnsi="仿宋" w:eastAsia="仿宋" w:cs="仿宋"/>
              <w:sz w:val="22"/>
              <w:szCs w:val="22"/>
            </w:rPr>
            <w:t>Ⅴ</w:t>
          </w:r>
          <w:r>
            <w:rPr>
              <w:rStyle w:val="12"/>
              <w:sz w:val="22"/>
              <w:szCs w:val="22"/>
            </w:rPr>
            <w:t xml:space="preserve"> 稳健性检验</w:t>
          </w:r>
          <w:r>
            <w:rPr>
              <w:sz w:val="22"/>
              <w:szCs w:val="22"/>
            </w:rPr>
            <w:tab/>
          </w:r>
          <w:r>
            <w:rPr>
              <w:rFonts w:hint="eastAsia"/>
              <w:sz w:val="22"/>
              <w:szCs w:val="22"/>
              <w:lang w:val="en-US" w:eastAsia="zh-CN"/>
            </w:rPr>
            <w:t>8</w:t>
          </w:r>
          <w:r>
            <w:rPr>
              <w:sz w:val="22"/>
              <w:szCs w:val="22"/>
            </w:rPr>
            <w:fldChar w:fldCharType="end"/>
          </w:r>
        </w:p>
        <w:p>
          <w:pPr>
            <w:pStyle w:val="6"/>
            <w:rPr>
              <w:rFonts w:asciiTheme="minorHAnsi" w:hAnsiTheme="minorHAnsi" w:eastAsiaTheme="minorEastAsia" w:cstheme="minorBidi"/>
              <w:szCs w:val="22"/>
            </w:rPr>
          </w:pP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HYPERLINK \l "_Toc148719727" </w:instrText>
          </w:r>
          <w:r>
            <w:rPr>
              <w:sz w:val="22"/>
              <w:szCs w:val="22"/>
            </w:rPr>
            <w:fldChar w:fldCharType="separate"/>
          </w:r>
          <w:r>
            <w:rPr>
              <w:rStyle w:val="12"/>
              <w:sz w:val="22"/>
              <w:szCs w:val="22"/>
            </w:rPr>
            <w:t>附录</w:t>
          </w:r>
          <w:r>
            <w:rPr>
              <w:rStyle w:val="12"/>
              <w:rFonts w:hint="eastAsia" w:ascii="仿宋" w:hAnsi="仿宋" w:eastAsia="仿宋" w:cs="仿宋"/>
              <w:sz w:val="22"/>
              <w:szCs w:val="22"/>
            </w:rPr>
            <w:t>Ⅵ</w:t>
          </w:r>
          <w:r>
            <w:rPr>
              <w:rStyle w:val="12"/>
              <w:sz w:val="22"/>
              <w:szCs w:val="22"/>
            </w:rPr>
            <w:t xml:space="preserve"> 失业保险待遇对不同消费类型的影响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_Toc148719727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1</w:t>
          </w:r>
          <w:r>
            <w:rPr>
              <w:rFonts w:hint="eastAsia"/>
              <w:sz w:val="22"/>
              <w:szCs w:val="22"/>
              <w:lang w:val="en-US" w:eastAsia="zh-CN"/>
            </w:rPr>
            <w:t>4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fldChar w:fldCharType="end"/>
          </w:r>
          <w:bookmarkStart w:id="6" w:name="_GoBack"/>
          <w:bookmarkEnd w:id="6"/>
        </w:p>
        <w:p>
          <w:pPr>
            <w:ind w:firstLine="422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pStyle w:val="8"/>
        <w:spacing w:before="312" w:after="312"/>
        <w:sectPr>
          <w:headerReference r:id="rId7" w:type="first"/>
          <w:footerReference r:id="rId9" w:type="first"/>
          <w:headerReference r:id="rId5" w:type="default"/>
          <w:headerReference r:id="rId6" w:type="even"/>
          <w:footerReference r:id="rId8" w:type="even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bookmarkStart w:id="0" w:name="_Toc148719722"/>
    </w:p>
    <w:p>
      <w:pPr>
        <w:pStyle w:val="8"/>
        <w:spacing w:before="312" w:after="312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附录Ⅰ 参保样本主要变量的统计性描述</w:t>
      </w:r>
      <w:bookmarkEnd w:id="0"/>
    </w:p>
    <w:p>
      <w:pPr>
        <w:spacing w:line="400" w:lineRule="exact"/>
        <w:ind w:firstLine="0" w:firstLineChars="0"/>
        <w:jc w:val="right"/>
        <w:rPr>
          <w:rFonts w:hint="eastAsia" w:ascii="黑体" w:hAnsi="黑体" w:eastAsia="黑体" w:cs="黑体"/>
          <w:b/>
          <w:bCs/>
          <w:sz w:val="18"/>
          <w:szCs w:val="21"/>
        </w:rPr>
      </w:pPr>
      <w:r>
        <w:rPr>
          <w:rFonts w:hint="eastAsia" w:ascii="黑体" w:hAnsi="黑体" w:eastAsia="黑体" w:cs="黑体"/>
          <w:b/>
          <w:bCs/>
          <w:sz w:val="18"/>
          <w:szCs w:val="21"/>
        </w:rPr>
        <w:t xml:space="preserve">表Ⅰ1  参保样本主要变量的统计性描述         </w:t>
      </w:r>
      <w:r>
        <w:rPr>
          <w:rFonts w:hint="eastAsia" w:ascii="黑体" w:hAnsi="黑体" w:eastAsia="黑体" w:cs="黑体"/>
          <w:b/>
          <w:bCs/>
          <w:sz w:val="18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18"/>
          <w:szCs w:val="21"/>
        </w:rPr>
        <w:t xml:space="preserve">       单位：元</w:t>
      </w:r>
    </w:p>
    <w:tbl>
      <w:tblPr>
        <w:tblStyle w:val="10"/>
        <w:tblW w:w="4998" w:type="pct"/>
        <w:jc w:val="center"/>
        <w:tblBorders>
          <w:top w:val="single" w:color="000000" w:sz="0" w:space="0"/>
          <w:left w:val="none" w:color="000000" w:sz="0" w:space="0"/>
          <w:bottom w:val="singl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7"/>
        <w:gridCol w:w="1232"/>
        <w:gridCol w:w="1232"/>
        <w:gridCol w:w="1232"/>
        <w:gridCol w:w="1236"/>
      </w:tblGrid>
      <w:tr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pct"/>
            <w:tcBorders>
              <w:bottom w:val="nil"/>
            </w:tcBorders>
            <w:vAlign w:val="center"/>
          </w:tcPr>
          <w:p>
            <w:pPr>
              <w:ind w:firstLine="0" w:firstLineChars="0"/>
              <w:jc w:val="left"/>
              <w:rPr>
                <w:b/>
                <w:bCs/>
                <w:kern w:val="0"/>
                <w:sz w:val="20"/>
              </w:rPr>
            </w:pPr>
          </w:p>
        </w:tc>
        <w:tc>
          <w:tcPr>
            <w:tcW w:w="723" w:type="pct"/>
            <w:tcBorders>
              <w:bottom w:val="nil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均值</w:t>
            </w:r>
          </w:p>
        </w:tc>
        <w:tc>
          <w:tcPr>
            <w:tcW w:w="723" w:type="pct"/>
            <w:tcBorders>
              <w:bottom w:val="nil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标准差</w:t>
            </w:r>
          </w:p>
        </w:tc>
        <w:tc>
          <w:tcPr>
            <w:tcW w:w="723" w:type="pct"/>
            <w:tcBorders>
              <w:bottom w:val="nil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最小值</w:t>
            </w:r>
          </w:p>
        </w:tc>
        <w:tc>
          <w:tcPr>
            <w:tcW w:w="724" w:type="pct"/>
            <w:tcBorders>
              <w:bottom w:val="nil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最大值</w:t>
            </w:r>
          </w:p>
        </w:tc>
      </w:tr>
      <w:tr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0" w:firstLineChars="0"/>
              <w:jc w:val="left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变量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（1）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（2）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（3）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（4）</w:t>
            </w:r>
          </w:p>
        </w:tc>
      </w:tr>
      <w:tr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pct"/>
            <w:tcBorders>
              <w:top w:val="nil"/>
            </w:tcBorders>
            <w:vAlign w:val="center"/>
          </w:tcPr>
          <w:p>
            <w:pPr>
              <w:ind w:firstLine="0" w:firstLineChars="0"/>
              <w:jc w:val="left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家庭收入</w:t>
            </w:r>
          </w:p>
        </w:tc>
        <w:tc>
          <w:tcPr>
            <w:tcW w:w="723" w:type="pct"/>
            <w:tcBorders>
              <w:top w:val="nil"/>
            </w:tcBorders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</w:p>
        </w:tc>
        <w:tc>
          <w:tcPr>
            <w:tcW w:w="723" w:type="pct"/>
            <w:tcBorders>
              <w:top w:val="nil"/>
            </w:tcBorders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</w:p>
        </w:tc>
        <w:tc>
          <w:tcPr>
            <w:tcW w:w="723" w:type="pct"/>
            <w:tcBorders>
              <w:top w:val="nil"/>
            </w:tcBorders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</w:p>
        </w:tc>
        <w:tc>
          <w:tcPr>
            <w:tcW w:w="724" w:type="pct"/>
            <w:tcBorders>
              <w:top w:val="nil"/>
            </w:tcBorders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pct"/>
            <w:tcBorders>
              <w:top w:val="single" w:color="000000" w:sz="0" w:space="0"/>
            </w:tcBorders>
            <w:vAlign w:val="center"/>
          </w:tcPr>
          <w:p>
            <w:pPr>
              <w:ind w:firstLineChars="10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家庭总收入</w:t>
            </w:r>
          </w:p>
        </w:tc>
        <w:tc>
          <w:tcPr>
            <w:tcW w:w="723" w:type="pct"/>
            <w:tcBorders>
              <w:top w:val="single" w:color="000000" w:sz="0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6472.</w:t>
            </w:r>
            <w:r>
              <w:rPr>
                <w:rFonts w:hint="eastAsia"/>
                <w:kern w:val="0"/>
                <w:sz w:val="20"/>
              </w:rPr>
              <w:t>68</w:t>
            </w:r>
          </w:p>
        </w:tc>
        <w:tc>
          <w:tcPr>
            <w:tcW w:w="723" w:type="pct"/>
            <w:tcBorders>
              <w:top w:val="single" w:color="000000" w:sz="0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4251.3</w:t>
            </w: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23" w:type="pct"/>
            <w:tcBorders>
              <w:top w:val="single" w:color="000000" w:sz="0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200</w:t>
            </w:r>
          </w:p>
        </w:tc>
        <w:tc>
          <w:tcPr>
            <w:tcW w:w="724" w:type="pct"/>
            <w:tcBorders>
              <w:top w:val="single" w:color="000000" w:sz="0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21900</w:t>
            </w:r>
          </w:p>
        </w:tc>
      </w:tr>
      <w:tr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pct"/>
            <w:vAlign w:val="center"/>
          </w:tcPr>
          <w:p>
            <w:pPr>
              <w:ind w:firstLineChars="10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其他收入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5841.</w:t>
            </w:r>
            <w:r>
              <w:rPr>
                <w:rFonts w:hint="eastAsia"/>
                <w:kern w:val="0"/>
                <w:sz w:val="20"/>
              </w:rPr>
              <w:t>47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4113.4</w:t>
            </w:r>
            <w:r>
              <w:rPr>
                <w:rFonts w:hint="eastAsia"/>
                <w:kern w:val="0"/>
                <w:sz w:val="20"/>
              </w:rPr>
              <w:t>4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  <w:tc>
          <w:tcPr>
            <w:tcW w:w="724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20032</w:t>
            </w:r>
          </w:p>
        </w:tc>
      </w:tr>
      <w:tr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pct"/>
            <w:vAlign w:val="center"/>
          </w:tcPr>
          <w:p>
            <w:pPr>
              <w:ind w:firstLineChars="100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失业金标准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912.40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330.02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385</w:t>
            </w:r>
          </w:p>
        </w:tc>
        <w:tc>
          <w:tcPr>
            <w:tcW w:w="724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1446</w:t>
            </w:r>
          </w:p>
        </w:tc>
      </w:tr>
      <w:tr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pct"/>
            <w:vAlign w:val="center"/>
          </w:tcPr>
          <w:p>
            <w:pPr>
              <w:ind w:firstLine="0" w:firstLineChars="0"/>
              <w:jc w:val="left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家庭消费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</w:p>
        </w:tc>
        <w:tc>
          <w:tcPr>
            <w:tcW w:w="724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pct"/>
            <w:vAlign w:val="center"/>
          </w:tcPr>
          <w:p>
            <w:pPr>
              <w:ind w:firstLineChars="10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家庭总消费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3729.7</w:t>
            </w: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2486.8</w:t>
            </w: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664</w:t>
            </w:r>
          </w:p>
        </w:tc>
        <w:tc>
          <w:tcPr>
            <w:tcW w:w="724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12938</w:t>
            </w:r>
          </w:p>
        </w:tc>
      </w:tr>
      <w:tr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pct"/>
            <w:vAlign w:val="center"/>
          </w:tcPr>
          <w:p>
            <w:pPr>
              <w:ind w:firstLineChars="10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Log家庭总消费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8.0</w:t>
            </w:r>
            <w:r>
              <w:rPr>
                <w:rFonts w:hint="eastAsia"/>
                <w:kern w:val="0"/>
                <w:sz w:val="20"/>
              </w:rPr>
              <w:t>3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0.6</w:t>
            </w:r>
            <w:r>
              <w:rPr>
                <w:rFonts w:hint="eastAsia"/>
                <w:kern w:val="0"/>
                <w:sz w:val="20"/>
              </w:rPr>
              <w:t>5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6</w:t>
            </w:r>
          </w:p>
        </w:tc>
        <w:tc>
          <w:tcPr>
            <w:tcW w:w="724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9</w:t>
            </w:r>
          </w:p>
        </w:tc>
      </w:tr>
      <w:tr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pct"/>
            <w:vAlign w:val="center"/>
          </w:tcPr>
          <w:p>
            <w:pPr>
              <w:ind w:firstLine="0" w:firstLineChars="0"/>
              <w:jc w:val="left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家庭生存型消费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</w:p>
        </w:tc>
        <w:tc>
          <w:tcPr>
            <w:tcW w:w="724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pct"/>
            <w:vAlign w:val="center"/>
          </w:tcPr>
          <w:p>
            <w:pPr>
              <w:ind w:firstLineChars="10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食品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1135.</w:t>
            </w:r>
            <w:r>
              <w:rPr>
                <w:rFonts w:hint="eastAsia"/>
                <w:kern w:val="0"/>
                <w:sz w:val="20"/>
              </w:rPr>
              <w:t>19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604.09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184</w:t>
            </w:r>
          </w:p>
        </w:tc>
        <w:tc>
          <w:tcPr>
            <w:tcW w:w="724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3058</w:t>
            </w:r>
          </w:p>
        </w:tc>
      </w:tr>
      <w:tr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pct"/>
            <w:vAlign w:val="center"/>
          </w:tcPr>
          <w:p>
            <w:pPr>
              <w:ind w:firstLine="40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高蛋白质类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483.82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340.36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15</w:t>
            </w:r>
          </w:p>
        </w:tc>
        <w:tc>
          <w:tcPr>
            <w:tcW w:w="724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1660</w:t>
            </w:r>
          </w:p>
        </w:tc>
      </w:tr>
      <w:tr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pct"/>
            <w:vAlign w:val="center"/>
          </w:tcPr>
          <w:p>
            <w:pPr>
              <w:ind w:firstLine="40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粮油蔬菜类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325.52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188.54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18</w:t>
            </w:r>
          </w:p>
        </w:tc>
        <w:tc>
          <w:tcPr>
            <w:tcW w:w="724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911</w:t>
            </w:r>
          </w:p>
        </w:tc>
      </w:tr>
      <w:tr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pct"/>
            <w:vAlign w:val="center"/>
          </w:tcPr>
          <w:p>
            <w:pPr>
              <w:ind w:firstLine="40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在外饮食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305.73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497.72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  <w:tc>
          <w:tcPr>
            <w:tcW w:w="724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2302</w:t>
            </w:r>
          </w:p>
        </w:tc>
      </w:tr>
      <w:tr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pct"/>
            <w:vAlign w:val="center"/>
          </w:tcPr>
          <w:p>
            <w:pPr>
              <w:ind w:firstLineChars="10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服装金额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215.67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380.29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  <w:tc>
          <w:tcPr>
            <w:tcW w:w="724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1836</w:t>
            </w:r>
          </w:p>
        </w:tc>
      </w:tr>
      <w:tr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pct"/>
            <w:vAlign w:val="center"/>
          </w:tcPr>
          <w:p>
            <w:pPr>
              <w:ind w:firstLineChars="10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住房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363.98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493.06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  <w:tc>
          <w:tcPr>
            <w:tcW w:w="724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2691</w:t>
            </w:r>
          </w:p>
        </w:tc>
      </w:tr>
      <w:tr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pct"/>
            <w:vAlign w:val="center"/>
          </w:tcPr>
          <w:p>
            <w:pPr>
              <w:ind w:firstLineChars="10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日用品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76.378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182.55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  <w:tc>
          <w:tcPr>
            <w:tcW w:w="724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1020</w:t>
            </w:r>
          </w:p>
        </w:tc>
      </w:tr>
      <w:tr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pct"/>
            <w:vAlign w:val="center"/>
          </w:tcPr>
          <w:p>
            <w:pPr>
              <w:ind w:firstLineChars="10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家庭设备用品及服务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164.94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312.43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  <w:tc>
          <w:tcPr>
            <w:tcW w:w="724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1676</w:t>
            </w:r>
          </w:p>
        </w:tc>
      </w:tr>
      <w:tr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pct"/>
            <w:vAlign w:val="center"/>
          </w:tcPr>
          <w:p>
            <w:pPr>
              <w:ind w:firstLine="0" w:firstLineChars="0"/>
              <w:jc w:val="left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家庭发展型消费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</w:p>
        </w:tc>
        <w:tc>
          <w:tcPr>
            <w:tcW w:w="724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pct"/>
            <w:vAlign w:val="center"/>
          </w:tcPr>
          <w:p>
            <w:pPr>
              <w:ind w:firstLineChars="10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不良健康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0.06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0.24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  <w:tc>
          <w:tcPr>
            <w:tcW w:w="724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</w:t>
            </w:r>
          </w:p>
        </w:tc>
      </w:tr>
      <w:tr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pct"/>
            <w:vAlign w:val="center"/>
          </w:tcPr>
          <w:p>
            <w:pPr>
              <w:ind w:firstLineChars="10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医疗保健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187.42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430.63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  <w:tc>
          <w:tcPr>
            <w:tcW w:w="724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2176</w:t>
            </w:r>
          </w:p>
        </w:tc>
      </w:tr>
      <w:tr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pct"/>
            <w:vAlign w:val="center"/>
          </w:tcPr>
          <w:p>
            <w:pPr>
              <w:ind w:firstLine="40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保健费用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29.7</w:t>
            </w:r>
            <w:r>
              <w:rPr>
                <w:rFonts w:hint="eastAsia"/>
                <w:kern w:val="0"/>
                <w:sz w:val="20"/>
              </w:rPr>
              <w:t>3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186.43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  <w:tc>
          <w:tcPr>
            <w:tcW w:w="724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768</w:t>
            </w:r>
          </w:p>
        </w:tc>
      </w:tr>
      <w:tr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pct"/>
            <w:vAlign w:val="center"/>
          </w:tcPr>
          <w:p>
            <w:pPr>
              <w:ind w:firstLine="40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医疗药品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155.51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378.73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  <w:tc>
          <w:tcPr>
            <w:tcW w:w="724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1980</w:t>
            </w:r>
          </w:p>
        </w:tc>
      </w:tr>
      <w:tr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pct"/>
            <w:vAlign w:val="center"/>
          </w:tcPr>
          <w:p>
            <w:pPr>
              <w:ind w:firstLineChars="10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烟草类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69.96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155.31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  <w:tc>
          <w:tcPr>
            <w:tcW w:w="724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800</w:t>
            </w:r>
          </w:p>
        </w:tc>
      </w:tr>
      <w:tr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pct"/>
            <w:vAlign w:val="center"/>
          </w:tcPr>
          <w:p>
            <w:pPr>
              <w:ind w:firstLineChars="10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酒类金额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14.56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26.</w:t>
            </w:r>
            <w:r>
              <w:rPr>
                <w:rFonts w:hint="eastAsia"/>
                <w:kern w:val="0"/>
                <w:sz w:val="20"/>
              </w:rPr>
              <w:t>80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  <w:tc>
          <w:tcPr>
            <w:tcW w:w="724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120</w:t>
            </w:r>
          </w:p>
        </w:tc>
      </w:tr>
      <w:tr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pct"/>
            <w:vAlign w:val="center"/>
          </w:tcPr>
          <w:p>
            <w:pPr>
              <w:ind w:firstLineChars="10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教育文化娱乐服务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427.24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1110.4</w:t>
            </w:r>
            <w:r>
              <w:rPr>
                <w:rFonts w:hint="eastAsia"/>
                <w:kern w:val="0"/>
                <w:sz w:val="20"/>
              </w:rPr>
              <w:t>0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  <w:tc>
          <w:tcPr>
            <w:tcW w:w="724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5823</w:t>
            </w:r>
          </w:p>
        </w:tc>
      </w:tr>
      <w:tr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pct"/>
            <w:vAlign w:val="center"/>
          </w:tcPr>
          <w:p>
            <w:pPr>
              <w:ind w:firstLine="40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教育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201.32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788.67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  <w:tc>
          <w:tcPr>
            <w:tcW w:w="724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3800</w:t>
            </w:r>
          </w:p>
        </w:tc>
      </w:tr>
      <w:tr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pct"/>
            <w:vAlign w:val="center"/>
          </w:tcPr>
          <w:p>
            <w:pPr>
              <w:ind w:firstLine="40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文化娱乐支出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166.71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451.63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  <w:tc>
          <w:tcPr>
            <w:tcW w:w="724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2690</w:t>
            </w:r>
          </w:p>
        </w:tc>
      </w:tr>
      <w:tr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pct"/>
            <w:vAlign w:val="center"/>
          </w:tcPr>
          <w:p>
            <w:pPr>
              <w:ind w:firstLineChars="10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交通通信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533.95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671.30</w:t>
            </w:r>
          </w:p>
        </w:tc>
        <w:tc>
          <w:tcPr>
            <w:tcW w:w="723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  <w:tc>
          <w:tcPr>
            <w:tcW w:w="724" w:type="pct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3418</w:t>
            </w:r>
          </w:p>
        </w:tc>
      </w:tr>
      <w:tr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pct"/>
            <w:vAlign w:val="center"/>
          </w:tcPr>
          <w:p>
            <w:pPr>
              <w:ind w:firstLine="0" w:firstLineChars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家户数</w:t>
            </w:r>
          </w:p>
        </w:tc>
        <w:tc>
          <w:tcPr>
            <w:tcW w:w="2894" w:type="pct"/>
            <w:gridSpan w:val="4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517</w:t>
            </w:r>
          </w:p>
        </w:tc>
      </w:tr>
      <w:tr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pct"/>
            <w:vAlign w:val="center"/>
          </w:tcPr>
          <w:p>
            <w:pPr>
              <w:ind w:firstLine="0" w:firstLineChars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观测值</w:t>
            </w:r>
          </w:p>
        </w:tc>
        <w:tc>
          <w:tcPr>
            <w:tcW w:w="2894" w:type="pct"/>
            <w:gridSpan w:val="4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3752</w:t>
            </w:r>
          </w:p>
        </w:tc>
      </w:tr>
    </w:tbl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widowControl/>
        <w:ind w:firstLine="0" w:firstLineChars="0"/>
        <w:jc w:val="left"/>
      </w:pPr>
      <w:r>
        <w:br w:type="page"/>
      </w:r>
    </w:p>
    <w:p>
      <w:pPr>
        <w:pStyle w:val="8"/>
        <w:spacing w:before="312" w:after="312"/>
        <w:rPr>
          <w:rFonts w:hint="eastAsia" w:ascii="楷体" w:hAnsi="楷体" w:eastAsia="楷体" w:cs="楷体"/>
        </w:rPr>
      </w:pPr>
      <w:bookmarkStart w:id="1" w:name="_Toc148719723"/>
      <w:r>
        <w:rPr>
          <w:rFonts w:hint="eastAsia" w:ascii="楷体" w:hAnsi="楷体" w:eastAsia="楷体" w:cs="楷体"/>
        </w:rPr>
        <w:t>附录Ⅱ 失业金标准月度调整情况</w:t>
      </w:r>
      <w:bookmarkEnd w:id="1"/>
    </w:p>
    <w:p>
      <w:pPr>
        <w:ind w:firstLine="0" w:firstLineChars="0"/>
      </w:pPr>
      <w:r>
        <w:drawing>
          <wp:inline distT="0" distB="0" distL="114300" distR="114300">
            <wp:extent cx="5273040" cy="2413000"/>
            <wp:effectExtent l="0" t="0" r="0" b="10160"/>
            <wp:docPr id="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18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1"/>
        </w:rPr>
        <w:t>图Ⅱ1  失业金标准月度调整情况（选取四个地区代表性地描述）</w:t>
      </w: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widowControl/>
        <w:ind w:firstLine="0" w:firstLineChars="0"/>
        <w:jc w:val="left"/>
      </w:pPr>
      <w:r>
        <w:br w:type="page"/>
      </w:r>
    </w:p>
    <w:p>
      <w:pPr>
        <w:pStyle w:val="8"/>
        <w:spacing w:before="312" w:after="312"/>
        <w:rPr>
          <w:rFonts w:hint="eastAsia" w:ascii="楷体" w:hAnsi="楷体" w:eastAsia="楷体" w:cs="楷体"/>
        </w:rPr>
      </w:pPr>
      <w:bookmarkStart w:id="2" w:name="_Toc148719724"/>
      <w:r>
        <w:rPr>
          <w:rFonts w:hint="eastAsia" w:ascii="楷体" w:hAnsi="楷体" w:eastAsia="楷体" w:cs="楷体"/>
        </w:rPr>
        <w:t>附录Ⅲ 流动性约束机制分析</w:t>
      </w:r>
      <w:bookmarkEnd w:id="2"/>
    </w:p>
    <w:p>
      <w:pPr>
        <w:ind w:firstLine="0" w:firstLineChars="0"/>
        <w:jc w:val="center"/>
      </w:pPr>
      <w:r>
        <w:drawing>
          <wp:inline distT="0" distB="0" distL="114300" distR="114300">
            <wp:extent cx="5025390" cy="3669665"/>
            <wp:effectExtent l="0" t="0" r="3810" b="3175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25390" cy="36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56" w:afterLines="50"/>
        <w:ind w:firstLine="422"/>
        <w:jc w:val="center"/>
        <w:rPr>
          <w:rFonts w:hint="eastAsia" w:ascii="黑体" w:hAnsi="黑体" w:eastAsia="黑体" w:cs="黑体"/>
          <w:b w:val="0"/>
          <w:bCs w:val="0"/>
          <w:sz w:val="18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1"/>
        </w:rPr>
        <w:t>图Ⅲ1  流动性约束机制分析：家庭借贷水平</w:t>
      </w: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0" w:firstLineChars="0"/>
        <w:jc w:val="center"/>
      </w:pPr>
      <w:r>
        <w:drawing>
          <wp:inline distT="0" distB="0" distL="114300" distR="114300">
            <wp:extent cx="5031105" cy="3660775"/>
            <wp:effectExtent l="0" t="0" r="13335" b="12065"/>
            <wp:docPr id="3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31105" cy="366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56" w:afterLines="50"/>
        <w:ind w:firstLine="422"/>
        <w:jc w:val="center"/>
        <w:rPr>
          <w:rFonts w:hint="eastAsia" w:ascii="黑体" w:hAnsi="黑体" w:eastAsia="黑体" w:cs="黑体"/>
          <w:b w:val="0"/>
          <w:bCs w:val="0"/>
          <w:sz w:val="18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1"/>
        </w:rPr>
        <w:t>图Ⅲ2  流动性约束机制分析：家庭收入</w:t>
      </w:r>
    </w:p>
    <w:p>
      <w:pPr>
        <w:ind w:firstLine="0" w:firstLineChars="0"/>
        <w:jc w:val="center"/>
      </w:pPr>
      <w:r>
        <w:drawing>
          <wp:inline distT="0" distB="0" distL="114300" distR="114300">
            <wp:extent cx="5031105" cy="3660775"/>
            <wp:effectExtent l="0" t="0" r="13335" b="12065"/>
            <wp:docPr id="3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31105" cy="366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2"/>
        <w:jc w:val="center"/>
        <w:rPr>
          <w:rFonts w:hint="eastAsia" w:ascii="黑体" w:hAnsi="黑体" w:eastAsia="黑体" w:cs="黑体"/>
          <w:b w:val="0"/>
          <w:bCs w:val="0"/>
          <w:sz w:val="18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1"/>
        </w:rPr>
        <w:t>图Ⅲ3  流动性约束机制分析：家庭外出饮食支出</w:t>
      </w:r>
    </w:p>
    <w:p>
      <w:pPr>
        <w:ind w:firstLine="420"/>
      </w:pPr>
    </w:p>
    <w:p>
      <w:pPr>
        <w:ind w:firstLine="420"/>
      </w:pPr>
    </w:p>
    <w:p>
      <w:pPr>
        <w:pStyle w:val="8"/>
        <w:spacing w:before="312" w:after="312"/>
        <w:rPr>
          <w:rFonts w:hint="eastAsia" w:ascii="楷体" w:hAnsi="楷体" w:eastAsia="楷体" w:cs="楷体"/>
        </w:rPr>
      </w:pPr>
      <w:bookmarkStart w:id="3" w:name="_Toc148719725"/>
      <w:r>
        <w:rPr>
          <w:rFonts w:hint="eastAsia" w:ascii="楷体" w:hAnsi="楷体" w:eastAsia="楷体" w:cs="楷体"/>
        </w:rPr>
        <w:t>附录Ⅳ 失业保险领取样本下的流动性约束</w:t>
      </w:r>
      <w:bookmarkEnd w:id="3"/>
    </w:p>
    <w:p>
      <w:pPr>
        <w:ind w:firstLine="420"/>
      </w:pPr>
      <w:r>
        <w:t>图</w:t>
      </w:r>
      <w:r>
        <w:rPr>
          <w:rFonts w:hint="eastAsia" w:ascii="仿宋" w:hAnsi="仿宋" w:eastAsia="仿宋" w:cs="仿宋"/>
        </w:rPr>
        <w:t>Ⅳ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至图</w:t>
      </w:r>
      <w:r>
        <w:rPr>
          <w:rFonts w:hint="eastAsia" w:ascii="仿宋" w:hAnsi="仿宋" w:eastAsia="仿宋" w:cs="仿宋"/>
          <w:lang w:val="en-US" w:eastAsia="zh-CN"/>
        </w:rPr>
        <w:t>Ⅳ</w:t>
      </w:r>
      <w:r>
        <w:rPr>
          <w:rFonts w:hint="eastAsia"/>
        </w:rPr>
        <w:t>4</w:t>
      </w:r>
      <w:r>
        <w:t>报告了在失业保险领取样本下高、低流动性约束家庭间消费对失业保险待遇收入变化的反应。可以发现，结果与在参保样本下几乎一致，进一步验证了流动性约束假说。</w:t>
      </w:r>
    </w:p>
    <w:p>
      <w:pPr>
        <w:ind w:firstLine="0" w:firstLineChars="0"/>
        <w:jc w:val="center"/>
      </w:pPr>
      <w:r>
        <w:drawing>
          <wp:inline distT="0" distB="0" distL="114300" distR="114300">
            <wp:extent cx="5031105" cy="3660775"/>
            <wp:effectExtent l="0" t="0" r="13335" b="12065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31105" cy="366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18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1"/>
        </w:rPr>
        <w:t>图Ⅳ1  流动性约束机制分析：家庭收入</w:t>
      </w:r>
    </w:p>
    <w:p>
      <w:pPr>
        <w:ind w:firstLine="0" w:firstLineChars="0"/>
        <w:jc w:val="center"/>
        <w:rPr>
          <w:b/>
          <w:bCs/>
        </w:rPr>
      </w:pPr>
    </w:p>
    <w:p>
      <w:pPr>
        <w:ind w:firstLine="0" w:firstLineChars="0"/>
        <w:jc w:val="center"/>
      </w:pPr>
      <w:r>
        <w:drawing>
          <wp:inline distT="0" distB="0" distL="114300" distR="114300">
            <wp:extent cx="5031105" cy="3660775"/>
            <wp:effectExtent l="0" t="0" r="13335" b="12065"/>
            <wp:docPr id="2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31105" cy="366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18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1"/>
        </w:rPr>
        <w:t>图Ⅳ2  流动性约束机制分析：流动性资产与支出</w:t>
      </w:r>
    </w:p>
    <w:p>
      <w:pPr>
        <w:ind w:firstLine="0" w:firstLineChars="0"/>
        <w:jc w:val="center"/>
        <w:rPr>
          <w:b/>
          <w:bCs/>
        </w:rPr>
      </w:pPr>
    </w:p>
    <w:p>
      <w:pPr>
        <w:ind w:firstLine="0" w:firstLineChars="0"/>
        <w:jc w:val="center"/>
      </w:pPr>
      <w:r>
        <w:drawing>
          <wp:inline distT="0" distB="0" distL="114300" distR="114300">
            <wp:extent cx="5031105" cy="3660775"/>
            <wp:effectExtent l="0" t="0" r="13335" b="12065"/>
            <wp:docPr id="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31105" cy="366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18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1"/>
        </w:rPr>
        <w:t>图Ⅳ3  流动性约束机制分析：家庭借贷水平</w:t>
      </w:r>
    </w:p>
    <w:p>
      <w:pPr>
        <w:ind w:firstLine="0" w:firstLineChars="0"/>
        <w:jc w:val="center"/>
      </w:pPr>
      <w:r>
        <w:drawing>
          <wp:inline distT="0" distB="0" distL="114300" distR="114300">
            <wp:extent cx="5031105" cy="3660775"/>
            <wp:effectExtent l="0" t="0" r="13335" b="12065"/>
            <wp:docPr id="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31105" cy="366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18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1"/>
        </w:rPr>
        <w:t>图Ⅳ4  流动性约束机制分析：家庭外出饮食支出</w:t>
      </w: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widowControl/>
        <w:ind w:firstLine="0" w:firstLineChars="0"/>
        <w:jc w:val="left"/>
      </w:pPr>
      <w:r>
        <w:br w:type="page"/>
      </w:r>
    </w:p>
    <w:p>
      <w:pPr>
        <w:pStyle w:val="8"/>
        <w:spacing w:before="312" w:after="312"/>
        <w:rPr>
          <w:rFonts w:hint="eastAsia" w:ascii="楷体" w:hAnsi="楷体" w:eastAsia="楷体" w:cs="楷体"/>
        </w:rPr>
      </w:pPr>
      <w:bookmarkStart w:id="4" w:name="_Toc148719726"/>
      <w:r>
        <w:rPr>
          <w:rFonts w:hint="eastAsia" w:ascii="楷体" w:hAnsi="楷体" w:eastAsia="楷体" w:cs="楷体"/>
        </w:rPr>
        <w:t>附录Ⅴ 稳健性检验</w:t>
      </w:r>
      <w:bookmarkEnd w:id="4"/>
    </w:p>
    <w:p>
      <w:pPr>
        <w:pStyle w:val="18"/>
        <w:numPr>
          <w:ilvl w:val="0"/>
          <w:numId w:val="1"/>
        </w:numPr>
        <w:ind w:firstLineChars="0"/>
        <w:rPr>
          <w:b/>
          <w:bCs/>
        </w:rPr>
      </w:pPr>
      <w:r>
        <w:rPr>
          <w:b/>
          <w:bCs/>
        </w:rPr>
        <w:t>限制</w:t>
      </w:r>
      <w:r>
        <w:rPr>
          <w:rFonts w:hint="eastAsia"/>
          <w:b/>
          <w:bCs/>
        </w:rPr>
        <w:t>样本</w:t>
      </w:r>
      <w:r>
        <w:rPr>
          <w:b/>
          <w:bCs/>
        </w:rPr>
        <w:t>为失业保险领取</w:t>
      </w:r>
      <w:r>
        <w:rPr>
          <w:rFonts w:hint="eastAsia"/>
          <w:b/>
          <w:bCs/>
        </w:rPr>
        <w:t>家庭</w:t>
      </w:r>
    </w:p>
    <w:p>
      <w:pPr>
        <w:ind w:firstLine="0" w:firstLineChars="0"/>
        <w:jc w:val="center"/>
      </w:pPr>
      <w:r>
        <w:drawing>
          <wp:inline distT="0" distB="0" distL="114300" distR="114300">
            <wp:extent cx="5025390" cy="3669665"/>
            <wp:effectExtent l="0" t="0" r="3810" b="3175"/>
            <wp:docPr id="1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25390" cy="36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2"/>
        <w:jc w:val="center"/>
        <w:rPr>
          <w:rFonts w:hint="eastAsia" w:ascii="黑体" w:hAnsi="黑体" w:eastAsia="黑体" w:cs="黑体"/>
          <w:b w:val="0"/>
          <w:bCs w:val="0"/>
          <w:sz w:val="18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1"/>
        </w:rPr>
        <w:t>图Ⅴ1  稳健性检验：限制为失业保险领取</w:t>
      </w:r>
    </w:p>
    <w:p>
      <w:pPr>
        <w:ind w:firstLine="420"/>
      </w:pPr>
    </w:p>
    <w:p>
      <w:pPr>
        <w:ind w:firstLine="420"/>
      </w:pPr>
    </w:p>
    <w:p>
      <w:pPr>
        <w:widowControl/>
        <w:ind w:firstLine="0" w:firstLineChars="0"/>
        <w:jc w:val="left"/>
      </w:pPr>
      <w:r>
        <w:br w:type="page"/>
      </w:r>
    </w:p>
    <w:p>
      <w:pPr>
        <w:pStyle w:val="18"/>
        <w:numPr>
          <w:ilvl w:val="0"/>
          <w:numId w:val="1"/>
        </w:numPr>
        <w:ind w:firstLineChars="0"/>
        <w:rPr>
          <w:b/>
          <w:bCs/>
        </w:rPr>
      </w:pPr>
      <w:r>
        <w:rPr>
          <w:b/>
          <w:bCs/>
        </w:rPr>
        <w:t>排除潜在可预期性收入变化</w:t>
      </w:r>
    </w:p>
    <w:p>
      <w:pPr>
        <w:ind w:left="199" w:firstLine="420"/>
      </w:pPr>
      <w:r>
        <w:t>根据</w:t>
      </w:r>
      <w:r>
        <w:rPr>
          <w:rFonts w:hint="eastAsia"/>
        </w:rPr>
        <w:t>我国</w:t>
      </w:r>
      <w:r>
        <w:t>各地区失业保险待遇调整模式可知，样本</w:t>
      </w:r>
      <w:r>
        <w:rPr>
          <w:rFonts w:hint="eastAsia"/>
        </w:rPr>
        <w:t>期</w:t>
      </w:r>
      <w:r>
        <w:t>内除上海市外</w:t>
      </w:r>
      <w:r>
        <w:rPr>
          <w:rFonts w:hint="eastAsia"/>
        </w:rPr>
        <w:t>的其他</w:t>
      </w:r>
      <w:r>
        <w:t>地区的失业保险待遇调整</w:t>
      </w:r>
      <w:r>
        <w:rPr>
          <w:rFonts w:hint="eastAsia"/>
        </w:rPr>
        <w:t>时间</w:t>
      </w:r>
      <w:r>
        <w:t>无明显规律。上海市在样本期内失业保险待遇的调整</w:t>
      </w:r>
      <w:r>
        <w:rPr>
          <w:rFonts w:hint="eastAsia"/>
        </w:rPr>
        <w:t>都</w:t>
      </w:r>
      <w:r>
        <w:t>是在每年4月份，</w:t>
      </w:r>
      <w:r>
        <w:rPr>
          <w:rFonts w:hint="eastAsia"/>
        </w:rPr>
        <w:t>上海地区的家户很可能会形成</w:t>
      </w:r>
      <w:r>
        <w:t>每年4月失业保险金增长的预期，这不仅会影响人们的就业行为也会影响家庭消费行为的调整。为排除上述潜在可预期性收入变化的影响，</w:t>
      </w:r>
      <w:r>
        <w:rPr>
          <w:rFonts w:hint="eastAsia"/>
        </w:rPr>
        <w:t>图</w:t>
      </w:r>
      <w:r>
        <w:rPr>
          <w:rFonts w:hint="eastAsia" w:ascii="仿宋" w:hAnsi="仿宋" w:eastAsia="仿宋" w:cs="仿宋"/>
          <w:b/>
          <w:bCs/>
        </w:rPr>
        <w:t>Ⅴ</w:t>
      </w:r>
      <w:r>
        <w:t>2报告了剔除上海市样本后的估计结果。可以发现，估计结果与基准结果一致，</w:t>
      </w:r>
      <w:r>
        <w:rPr>
          <w:rFonts w:hint="eastAsia"/>
        </w:rPr>
        <w:t>本文结果并未受到可预期收入变化的影响。</w:t>
      </w:r>
    </w:p>
    <w:p>
      <w:pPr>
        <w:pStyle w:val="18"/>
        <w:ind w:left="919" w:firstLine="0" w:firstLineChars="0"/>
      </w:pPr>
    </w:p>
    <w:p>
      <w:pPr>
        <w:ind w:firstLine="420"/>
        <w:jc w:val="center"/>
      </w:pPr>
      <w:r>
        <w:drawing>
          <wp:inline distT="0" distB="0" distL="114300" distR="114300">
            <wp:extent cx="5031105" cy="3660775"/>
            <wp:effectExtent l="0" t="0" r="13335" b="12065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31105" cy="366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2"/>
        <w:jc w:val="center"/>
        <w:rPr>
          <w:rFonts w:hint="eastAsia" w:ascii="黑体" w:hAnsi="黑体" w:eastAsia="黑体" w:cs="黑体"/>
          <w:b w:val="0"/>
          <w:bCs w:val="0"/>
          <w:sz w:val="18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1"/>
        </w:rPr>
        <w:t>图Ⅴ2  稳健性检验：排除潜在可预期性收入变化</w:t>
      </w:r>
    </w:p>
    <w:p>
      <w:pPr>
        <w:ind w:firstLine="420"/>
      </w:pPr>
    </w:p>
    <w:p>
      <w:pPr>
        <w:widowControl/>
        <w:ind w:firstLine="0" w:firstLineChars="0"/>
        <w:jc w:val="left"/>
      </w:pPr>
      <w:r>
        <w:br w:type="page"/>
      </w:r>
    </w:p>
    <w:p>
      <w:pPr>
        <w:pStyle w:val="18"/>
        <w:numPr>
          <w:ilvl w:val="0"/>
          <w:numId w:val="1"/>
        </w:numPr>
        <w:ind w:firstLineChars="0"/>
        <w:rPr>
          <w:b/>
          <w:bCs/>
        </w:rPr>
      </w:pPr>
      <w:r>
        <w:rPr>
          <w:b/>
          <w:bCs/>
        </w:rPr>
        <w:t>限制为窗口期内被连续观测</w:t>
      </w:r>
    </w:p>
    <w:p>
      <w:pPr>
        <w:ind w:left="199" w:firstLine="420"/>
        <w:rPr>
          <w:sz w:val="24"/>
        </w:rPr>
      </w:pPr>
      <w:r>
        <w:t>在利用事件分析法进行分析时，需要在样本代表性及估计效率两个维度下权衡</w:t>
      </w:r>
      <w:r>
        <w:rPr>
          <w:rFonts w:hint="eastAsia"/>
        </w:rPr>
        <w:t>选取</w:t>
      </w:r>
      <w:r>
        <w:t>事件窗口期。在基准回归分析中</w:t>
      </w:r>
      <w:r>
        <w:rPr>
          <w:rFonts w:hint="eastAsia"/>
        </w:rPr>
        <w:t>，窗口期的选取是</w:t>
      </w:r>
      <w:r>
        <w:t>在失业保险待遇提升事件前3个月</w:t>
      </w:r>
      <w:r>
        <w:rPr>
          <w:rFonts w:hint="eastAsia"/>
        </w:rPr>
        <w:t>与</w:t>
      </w:r>
      <w:r>
        <w:t>事件后4个月共7个月的基础上将样本限定为在事件前后需连续观测4个月</w:t>
      </w:r>
      <w:r>
        <w:rPr>
          <w:rFonts w:hint="eastAsia"/>
        </w:rPr>
        <w:t>。</w:t>
      </w:r>
      <w:r>
        <w:t>上述处理方式可能存在</w:t>
      </w:r>
      <w:r>
        <w:rPr>
          <w:rFonts w:hint="eastAsia"/>
        </w:rPr>
        <w:t>的</w:t>
      </w:r>
      <w:r>
        <w:t>一个潜在问题是</w:t>
      </w:r>
      <w:r>
        <w:rPr>
          <w:rFonts w:hint="eastAsia"/>
        </w:rPr>
        <w:t>，</w:t>
      </w:r>
      <w:r>
        <w:t>在连续观测4个月的其他观测期的样本构成可能会发生变化，从而影响估计结果。为排除样本期内样本构成变化对估计结果的影响，</w:t>
      </w:r>
      <w:r>
        <w:rPr>
          <w:rFonts w:hint="eastAsia"/>
        </w:rPr>
        <w:t>图</w:t>
      </w:r>
      <w:r>
        <w:rPr>
          <w:rFonts w:hint="eastAsia" w:ascii="仿宋" w:hAnsi="仿宋" w:eastAsia="仿宋" w:cs="仿宋"/>
          <w:b/>
          <w:bCs/>
        </w:rPr>
        <w:t>Ⅴ</w:t>
      </w:r>
      <w:r>
        <w:t>3报告了在事件窗口期内均被连续观测到</w:t>
      </w:r>
      <w:r>
        <w:rPr>
          <w:rFonts w:hint="eastAsia"/>
        </w:rPr>
        <w:t>的</w:t>
      </w:r>
      <w:r>
        <w:t>样本（事件前后7期均被观测）的估计结果。可以发现，估计结果与基准回归结果一致，排除了样本构成变化对本文估计结果的影响。</w:t>
      </w:r>
    </w:p>
    <w:p>
      <w:pPr>
        <w:ind w:firstLine="420"/>
        <w:jc w:val="center"/>
      </w:pPr>
      <w:r>
        <w:drawing>
          <wp:inline distT="0" distB="0" distL="114300" distR="114300">
            <wp:extent cx="5031105" cy="3660775"/>
            <wp:effectExtent l="0" t="0" r="13335" b="12065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31105" cy="366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2"/>
        <w:jc w:val="center"/>
        <w:rPr>
          <w:rFonts w:hint="eastAsia" w:ascii="黑体" w:hAnsi="黑体" w:eastAsia="黑体" w:cs="黑体"/>
          <w:b w:val="0"/>
          <w:bCs w:val="0"/>
          <w:sz w:val="18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1"/>
        </w:rPr>
        <w:t>图Ⅴ3  稳健性检验：限制为窗口期内被连续观测</w:t>
      </w:r>
    </w:p>
    <w:p>
      <w:pPr>
        <w:spacing w:line="400" w:lineRule="exact"/>
        <w:ind w:firstLine="0" w:firstLineChars="0"/>
        <w:jc w:val="center"/>
        <w:rPr>
          <w:b/>
          <w:bCs/>
        </w:rPr>
      </w:pPr>
    </w:p>
    <w:p>
      <w:pPr>
        <w:spacing w:line="400" w:lineRule="exact"/>
        <w:ind w:firstLine="0" w:firstLineChars="0"/>
        <w:jc w:val="center"/>
        <w:rPr>
          <w:b/>
          <w:bCs/>
        </w:rPr>
      </w:pPr>
    </w:p>
    <w:p>
      <w:pPr>
        <w:spacing w:line="400" w:lineRule="exact"/>
        <w:ind w:firstLine="0" w:firstLineChars="0"/>
        <w:jc w:val="center"/>
        <w:rPr>
          <w:b/>
          <w:bCs/>
        </w:rPr>
      </w:pPr>
    </w:p>
    <w:p>
      <w:pPr>
        <w:spacing w:line="400" w:lineRule="exact"/>
        <w:ind w:firstLine="0" w:firstLineChars="0"/>
        <w:jc w:val="center"/>
        <w:rPr>
          <w:b/>
          <w:bCs/>
        </w:rPr>
      </w:pPr>
    </w:p>
    <w:p>
      <w:pPr>
        <w:spacing w:line="400" w:lineRule="exact"/>
        <w:ind w:firstLine="0" w:firstLineChars="0"/>
        <w:jc w:val="center"/>
        <w:rPr>
          <w:b/>
          <w:bCs/>
        </w:rPr>
      </w:pPr>
    </w:p>
    <w:p>
      <w:pPr>
        <w:spacing w:line="400" w:lineRule="exact"/>
        <w:ind w:firstLine="0" w:firstLineChars="0"/>
        <w:jc w:val="center"/>
        <w:rPr>
          <w:b/>
          <w:bCs/>
        </w:rPr>
      </w:pPr>
    </w:p>
    <w:p>
      <w:pPr>
        <w:spacing w:line="400" w:lineRule="exact"/>
        <w:ind w:firstLine="0" w:firstLineChars="0"/>
        <w:jc w:val="center"/>
        <w:rPr>
          <w:b/>
          <w:bCs/>
        </w:rPr>
      </w:pPr>
    </w:p>
    <w:p>
      <w:pPr>
        <w:spacing w:line="400" w:lineRule="exact"/>
        <w:ind w:firstLine="0" w:firstLineChars="0"/>
        <w:jc w:val="center"/>
        <w:rPr>
          <w:b/>
          <w:bCs/>
        </w:rPr>
      </w:pPr>
    </w:p>
    <w:p>
      <w:pPr>
        <w:widowControl/>
        <w:ind w:firstLine="0" w:firstLineChars="0"/>
        <w:jc w:val="left"/>
        <w:rPr>
          <w:b/>
          <w:bCs/>
        </w:rPr>
      </w:pPr>
      <w:r>
        <w:rPr>
          <w:b/>
          <w:bCs/>
        </w:rPr>
        <w:br w:type="page"/>
      </w:r>
    </w:p>
    <w:p>
      <w:pPr>
        <w:pStyle w:val="18"/>
        <w:numPr>
          <w:ilvl w:val="0"/>
          <w:numId w:val="1"/>
        </w:numPr>
        <w:spacing w:line="400" w:lineRule="exact"/>
        <w:ind w:firstLineChars="0"/>
        <w:rPr>
          <w:b/>
          <w:bCs/>
        </w:rPr>
      </w:pPr>
      <w:r>
        <w:rPr>
          <w:rFonts w:hint="eastAsia"/>
          <w:b/>
          <w:bCs/>
        </w:rPr>
        <w:t>改变模型设定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为进一步证实消费对失业保险金变化的敏感反应，该部分利用地区-月份间失业保险金的差异及是否参保失业保险的差异，采用双重差分法估计失业保险待遇对家户消费的影响。模型设定如附录</w:t>
      </w:r>
      <w:r>
        <w:rPr>
          <w:rFonts w:hint="eastAsia" w:ascii="仿宋" w:hAnsi="仿宋" w:eastAsia="仿宋" w:cs="仿宋"/>
          <w:b/>
          <w:bCs/>
        </w:rPr>
        <w:t>Ⅴ</w:t>
      </w:r>
      <w:r>
        <w:rPr>
          <w:rFonts w:hint="eastAsia"/>
          <w:szCs w:val="21"/>
        </w:rPr>
        <w:t>中的方程（</w:t>
      </w:r>
      <w:r>
        <w:rPr>
          <w:rFonts w:hint="eastAsia" w:ascii="仿宋" w:hAnsi="仿宋" w:eastAsia="仿宋" w:cs="仿宋"/>
          <w:b/>
          <w:bCs/>
        </w:rPr>
        <w:t>Ⅴ</w:t>
      </w:r>
      <w:r>
        <w:rPr>
          <w:rFonts w:hint="eastAsia"/>
          <w:szCs w:val="21"/>
        </w:rPr>
        <w:t>1）所示，</w:t>
      </w:r>
    </w:p>
    <w:p>
      <w:pPr>
        <w:ind w:firstLine="420" w:firstLineChars="0"/>
        <w:rPr>
          <w:szCs w:val="21"/>
        </w:rPr>
      </w:pPr>
      <w:r>
        <w:rPr>
          <w:rFonts w:hint="eastAsia"/>
          <w:szCs w:val="21"/>
        </w:rPr>
        <w:t>模型设定如方程（</w:t>
      </w:r>
      <w:r>
        <w:rPr>
          <w:rFonts w:hint="eastAsia" w:ascii="仿宋" w:hAnsi="仿宋" w:eastAsia="仿宋" w:cs="仿宋"/>
          <w:b/>
          <w:bCs/>
        </w:rPr>
        <w:t>Ⅴ</w:t>
      </w:r>
      <w:r>
        <w:rPr>
          <w:rFonts w:hint="eastAsia"/>
          <w:szCs w:val="21"/>
        </w:rPr>
        <w:t>1）所示：</w:t>
      </w:r>
    </w:p>
    <w:p>
      <w:pPr>
        <w:ind w:firstLine="420" w:firstLineChars="0"/>
        <w:rPr>
          <w:rFonts w:hAnsi="Cambria Math" w:eastAsia="楷体"/>
          <w:szCs w:val="21"/>
        </w:rPr>
      </w:pPr>
      <m:oMathPara>
        <m:oMath>
          <m:sSub>
            <m:sSubPr>
              <m:ctrlPr>
                <w:rPr>
                  <w:rFonts w:ascii="Cambria Math" w:hAnsi="Cambria Math" w:eastAsia="楷体"/>
                  <w:i/>
                  <w:iCs/>
                  <w:szCs w:val="21"/>
                </w:rPr>
              </m:ctrlPr>
            </m:sSubPr>
            <m:e>
              <m:r>
                <m:rPr/>
                <w:rPr>
                  <w:rFonts w:ascii="Cambria Math" w:hAnsi="Cambria Math" w:eastAsia="楷体"/>
                  <w:szCs w:val="21"/>
                </w:rPr>
                <m:t>Y</m:t>
              </m:r>
              <m:ctrlPr>
                <w:rPr>
                  <w:rFonts w:ascii="Cambria Math" w:hAnsi="Cambria Math" w:eastAsia="楷体"/>
                  <w:i/>
                  <w:iCs/>
                  <w:szCs w:val="21"/>
                </w:rPr>
              </m:ctrlPr>
            </m:e>
            <m:sub>
              <m:r>
                <m:rPr/>
                <w:rPr>
                  <w:rFonts w:ascii="Cambria Math" w:hAnsi="Cambria Math" w:eastAsia="楷体"/>
                  <w:szCs w:val="21"/>
                </w:rPr>
                <m:t>ℎt</m:t>
              </m:r>
              <m:ctrlPr>
                <w:rPr>
                  <w:rFonts w:ascii="Cambria Math" w:hAnsi="Cambria Math" w:eastAsia="楷体"/>
                  <w:i/>
                  <w:iCs/>
                  <w:szCs w:val="21"/>
                </w:rPr>
              </m:ctrlPr>
            </m:sub>
          </m:sSub>
          <m:r>
            <m:rPr/>
            <w:rPr>
              <w:rFonts w:ascii="Cambria Math" w:hAnsi="Cambria Math" w:eastAsia="楷体"/>
              <w:szCs w:val="21"/>
            </w:rPr>
            <m:t>=</m:t>
          </m:r>
          <m:sSub>
            <m:sSubPr>
              <m:ctrlPr>
                <w:rPr>
                  <w:rFonts w:ascii="Cambria Math" w:hAnsi="Cambria Math" w:eastAsia="楷体"/>
                  <w:i/>
                  <w:iCs/>
                  <w:szCs w:val="21"/>
                </w:rPr>
              </m:ctrlPr>
            </m:sSubPr>
            <m:e>
              <m:r>
                <m:rPr/>
                <w:rPr>
                  <w:rFonts w:ascii="Cambria Math" w:hAnsi="Cambria Math" w:eastAsia="楷体"/>
                  <w:szCs w:val="21"/>
                </w:rPr>
                <m:t>γ</m:t>
              </m:r>
              <m:ctrlPr>
                <w:rPr>
                  <w:rFonts w:ascii="Cambria Math" w:hAnsi="Cambria Math" w:eastAsia="楷体"/>
                  <w:i/>
                  <w:iCs/>
                  <w:szCs w:val="21"/>
                </w:rPr>
              </m:ctrlPr>
            </m:e>
            <m:sub>
              <m:r>
                <m:rPr/>
                <w:rPr>
                  <w:rFonts w:ascii="Cambria Math" w:hAnsi="Cambria Math" w:eastAsia="楷体"/>
                  <w:szCs w:val="21"/>
                </w:rPr>
                <m:t>t</m:t>
              </m:r>
              <m:ctrlPr>
                <w:rPr>
                  <w:rFonts w:ascii="Cambria Math" w:hAnsi="Cambria Math" w:eastAsia="楷体"/>
                  <w:i/>
                  <w:iCs/>
                  <w:szCs w:val="21"/>
                </w:rPr>
              </m:ctrlPr>
            </m:sub>
          </m:sSub>
          <m:r>
            <m:rPr/>
            <w:rPr>
              <w:rFonts w:ascii="Cambria Math" w:hAnsi="Cambria Math" w:eastAsia="楷体"/>
              <w:szCs w:val="21"/>
            </w:rPr>
            <m:t>+</m:t>
          </m:r>
          <m:sSub>
            <m:sSubPr>
              <m:ctrlPr>
                <w:rPr>
                  <w:rFonts w:ascii="Cambria Math" w:hAnsi="Cambria Math" w:eastAsia="楷体"/>
                  <w:i/>
                  <w:iCs/>
                  <w:szCs w:val="21"/>
                </w:rPr>
              </m:ctrlPr>
            </m:sSubPr>
            <m:e>
              <m:r>
                <m:rPr/>
                <w:rPr>
                  <w:rFonts w:ascii="Cambria Math" w:hAnsi="Cambria Math" w:eastAsia="楷体"/>
                  <w:szCs w:val="21"/>
                </w:rPr>
                <m:t>δ</m:t>
              </m:r>
              <m:ctrlPr>
                <w:rPr>
                  <w:rFonts w:ascii="Cambria Math" w:hAnsi="Cambria Math" w:eastAsia="楷体"/>
                  <w:i/>
                  <w:iCs/>
                  <w:szCs w:val="21"/>
                </w:rPr>
              </m:ctrlPr>
            </m:e>
            <m:sub>
              <m:r>
                <m:rPr/>
                <w:rPr>
                  <w:rFonts w:ascii="Cambria Math" w:hAnsi="Cambria Math" w:eastAsia="楷体"/>
                  <w:szCs w:val="21"/>
                </w:rPr>
                <m:t>c</m:t>
              </m:r>
              <m:ctrlPr>
                <w:rPr>
                  <w:rFonts w:ascii="Cambria Math" w:hAnsi="Cambria Math" w:eastAsia="楷体"/>
                  <w:i/>
                  <w:iCs/>
                  <w:szCs w:val="21"/>
                </w:rPr>
              </m:ctrlPr>
            </m:sub>
          </m:sSub>
          <m:r>
            <m:rPr/>
            <w:rPr>
              <w:rFonts w:ascii="Cambria Math" w:hAnsi="Cambria Math" w:eastAsia="楷体"/>
              <w:szCs w:val="21"/>
            </w:rPr>
            <m:t>+</m:t>
          </m:r>
          <m:sSub>
            <m:sSubPr>
              <m:ctrlPr>
                <w:rPr>
                  <w:rFonts w:ascii="Cambria Math" w:hAnsi="Cambria Math" w:eastAsia="楷体"/>
                  <w:i/>
                  <w:iCs/>
                  <w:szCs w:val="21"/>
                </w:rPr>
              </m:ctrlPr>
            </m:sSubPr>
            <m:e>
              <m:r>
                <m:rPr/>
                <w:rPr>
                  <w:rFonts w:ascii="Cambria Math" w:hAnsi="Cambria Math" w:eastAsia="楷体"/>
                  <w:szCs w:val="21"/>
                </w:rPr>
                <m:t>X</m:t>
              </m:r>
              <m:ctrlPr>
                <w:rPr>
                  <w:rFonts w:ascii="Cambria Math" w:hAnsi="Cambria Math" w:eastAsia="楷体"/>
                  <w:i/>
                  <w:iCs/>
                  <w:szCs w:val="21"/>
                </w:rPr>
              </m:ctrlPr>
            </m:e>
            <m:sub>
              <m:r>
                <m:rPr/>
                <w:rPr>
                  <w:rFonts w:ascii="Cambria Math" w:hAnsi="Cambria Math" w:eastAsia="楷体"/>
                  <w:szCs w:val="21"/>
                </w:rPr>
                <m:t>ℎt</m:t>
              </m:r>
              <m:ctrlPr>
                <w:rPr>
                  <w:rFonts w:ascii="Cambria Math" w:hAnsi="Cambria Math" w:eastAsia="楷体"/>
                  <w:i/>
                  <w:iCs/>
                  <w:szCs w:val="21"/>
                </w:rPr>
              </m:ctrlPr>
            </m:sub>
          </m:sSub>
          <m:r>
            <m:rPr/>
            <w:rPr>
              <w:rFonts w:ascii="Cambria Math" w:hAnsi="Cambria Math" w:eastAsia="楷体"/>
              <w:szCs w:val="21"/>
            </w:rPr>
            <m:t>α+</m:t>
          </m:r>
          <m:sSub>
            <m:sSubPr>
              <m:ctrlPr>
                <w:rPr>
                  <w:rFonts w:ascii="Cambria Math" w:hAnsi="Cambria Math" w:eastAsia="楷体"/>
                  <w:i/>
                  <w:szCs w:val="21"/>
                </w:rPr>
              </m:ctrlPr>
            </m:sSubPr>
            <m:e>
              <m:r>
                <m:rPr/>
                <w:rPr>
                  <w:rFonts w:ascii="Cambria Math" w:hAnsi="Cambria Math"/>
                  <w:szCs w:val="21"/>
                </w:rPr>
                <m:t>β</m:t>
              </m:r>
              <m:ctrlPr>
                <w:rPr>
                  <w:rFonts w:ascii="Cambria Math" w:hAnsi="Cambria Math" w:eastAsia="楷体"/>
                  <w:i/>
                  <w:szCs w:val="21"/>
                </w:rPr>
              </m:ctrlPr>
            </m:e>
            <m:sub>
              <m:r>
                <m:rPr/>
                <w:rPr>
                  <w:rFonts w:ascii="Cambria Math" w:hAnsi="Cambria Math" w:eastAsia="楷体"/>
                  <w:szCs w:val="21"/>
                </w:rPr>
                <m:t>0</m:t>
              </m:r>
              <m:ctrlPr>
                <w:rPr>
                  <w:rFonts w:ascii="Cambria Math" w:hAnsi="Cambria Math" w:eastAsia="楷体"/>
                  <w:i/>
                  <w:szCs w:val="21"/>
                </w:rPr>
              </m:ctrlPr>
            </m:sub>
          </m:sSub>
          <m:sSub>
            <m:sSubPr>
              <m:ctrlPr>
                <w:rPr>
                  <w:rFonts w:ascii="Cambria Math" w:hAnsi="Cambria Math" w:eastAsia="楷体"/>
                  <w:i/>
                  <w:szCs w:val="21"/>
                </w:rPr>
              </m:ctrlPr>
            </m:sSubPr>
            <m:e>
              <m:r>
                <m:rPr/>
                <w:rPr>
                  <w:rFonts w:ascii="Cambria Math" w:hAnsi="Cambria Math" w:eastAsia="楷体"/>
                  <w:szCs w:val="21"/>
                </w:rPr>
                <m:t>UI_benefit</m:t>
              </m:r>
              <m:ctrlPr>
                <w:rPr>
                  <w:rFonts w:ascii="Cambria Math" w:hAnsi="Cambria Math" w:eastAsia="楷体"/>
                  <w:i/>
                  <w:szCs w:val="21"/>
                </w:rPr>
              </m:ctrlPr>
            </m:e>
            <m:sub>
              <m:r>
                <m:rPr/>
                <w:rPr>
                  <w:rFonts w:ascii="Cambria Math" w:hAnsi="Cambria Math" w:eastAsia="楷体"/>
                  <w:szCs w:val="21"/>
                </w:rPr>
                <m:t>ct</m:t>
              </m:r>
              <m:ctrlPr>
                <w:rPr>
                  <w:rFonts w:ascii="Cambria Math" w:hAnsi="Cambria Math" w:eastAsia="楷体"/>
                  <w:i/>
                  <w:szCs w:val="21"/>
                </w:rPr>
              </m:ctrlPr>
            </m:sub>
          </m:sSub>
          <m:r>
            <m:rPr/>
            <w:rPr>
              <w:rFonts w:ascii="Cambria Math" w:hAnsi="Cambria Math"/>
              <w:szCs w:val="21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Cs w:val="21"/>
                </w:rPr>
              </m:ctrlPr>
            </m:sSubPr>
            <m:e>
              <m:r>
                <m:rPr/>
                <w:rPr>
                  <w:rFonts w:ascii="Cambria Math" w:hAnsi="Cambria Math"/>
                  <w:szCs w:val="21"/>
                </w:rPr>
                <m:t>UI</m:t>
              </m:r>
              <m:ctrlPr>
                <w:rPr>
                  <w:rFonts w:ascii="Cambria Math" w:hAnsi="Cambria Math"/>
                  <w:i/>
                  <w:szCs w:val="21"/>
                </w:rPr>
              </m:ctrlPr>
            </m:e>
            <m:sub>
              <m:r>
                <m:rPr/>
                <w:rPr>
                  <w:rFonts w:ascii="Cambria Math" w:hAnsi="Cambria Math"/>
                  <w:szCs w:val="21"/>
                </w:rPr>
                <m:t>ℎ</m:t>
              </m:r>
              <m:ctrlPr>
                <w:rPr>
                  <w:rFonts w:ascii="Cambria Math" w:hAnsi="Cambria Math"/>
                  <w:i/>
                  <w:szCs w:val="21"/>
                </w:rPr>
              </m:ctrlPr>
            </m:sub>
          </m:sSub>
          <m:r>
            <m:rPr/>
            <w:rPr>
              <w:rFonts w:ascii="Cambria Math" w:hAnsi="Cambria Math" w:eastAsia="楷体"/>
              <w:szCs w:val="21"/>
            </w:rPr>
            <m:t>+</m:t>
          </m:r>
          <m:sSub>
            <m:sSubPr>
              <m:ctrlPr>
                <w:rPr>
                  <w:rFonts w:ascii="Cambria Math" w:hAnsi="Cambria Math" w:eastAsia="楷体"/>
                  <w:i/>
                  <w:szCs w:val="21"/>
                </w:rPr>
              </m:ctrlPr>
            </m:sSubPr>
            <m:e>
              <m:r>
                <m:rPr/>
                <w:rPr>
                  <w:rFonts w:ascii="Cambria Math" w:hAnsi="Cambria Math"/>
                  <w:szCs w:val="21"/>
                </w:rPr>
                <m:t>β</m:t>
              </m:r>
              <m:ctrlPr>
                <w:rPr>
                  <w:rFonts w:ascii="Cambria Math" w:hAnsi="Cambria Math" w:eastAsia="楷体"/>
                  <w:i/>
                  <w:szCs w:val="21"/>
                </w:rPr>
              </m:ctrlPr>
            </m:e>
            <m:sub>
              <m:r>
                <m:rPr/>
                <w:rPr>
                  <w:rFonts w:ascii="Cambria Math" w:hAnsi="Cambria Math" w:eastAsia="楷体"/>
                  <w:szCs w:val="21"/>
                </w:rPr>
                <m:t>1</m:t>
              </m:r>
              <m:ctrlPr>
                <w:rPr>
                  <w:rFonts w:ascii="Cambria Math" w:hAnsi="Cambria Math" w:eastAsia="楷体"/>
                  <w:i/>
                  <w:szCs w:val="21"/>
                </w:rPr>
              </m:ctrlPr>
            </m:sub>
          </m:sSub>
          <m:sSub>
            <m:sSubPr>
              <m:ctrlPr>
                <w:rPr>
                  <w:rFonts w:ascii="Cambria Math" w:hAnsi="Cambria Math" w:eastAsia="楷体"/>
                  <w:i/>
                  <w:szCs w:val="21"/>
                </w:rPr>
              </m:ctrlPr>
            </m:sSubPr>
            <m:e>
              <m:r>
                <m:rPr/>
                <w:rPr>
                  <w:rFonts w:ascii="Cambria Math" w:hAnsi="Cambria Math" w:eastAsia="楷体"/>
                  <w:szCs w:val="21"/>
                </w:rPr>
                <m:t>UI_benefit</m:t>
              </m:r>
              <m:ctrlPr>
                <w:rPr>
                  <w:rFonts w:ascii="Cambria Math" w:hAnsi="Cambria Math" w:eastAsia="楷体"/>
                  <w:i/>
                  <w:szCs w:val="21"/>
                </w:rPr>
              </m:ctrlPr>
            </m:e>
            <m:sub>
              <m:r>
                <m:rPr/>
                <w:rPr>
                  <w:rFonts w:ascii="Cambria Math" w:hAnsi="Cambria Math" w:eastAsia="楷体"/>
                  <w:szCs w:val="21"/>
                </w:rPr>
                <m:t>ct</m:t>
              </m:r>
              <m:ctrlPr>
                <w:rPr>
                  <w:rFonts w:ascii="Cambria Math" w:hAnsi="Cambria Math" w:eastAsia="楷体"/>
                  <w:i/>
                  <w:szCs w:val="21"/>
                </w:rPr>
              </m:ctrlPr>
            </m:sub>
          </m:sSub>
          <m:r>
            <m:rPr/>
            <w:rPr>
              <w:rFonts w:ascii="Cambria Math" w:hAnsi="Cambria Math" w:eastAsia="楷体"/>
              <w:szCs w:val="21"/>
            </w:rPr>
            <m:t>+</m:t>
          </m:r>
          <m:sSub>
            <m:sSubPr>
              <m:ctrlPr>
                <w:rPr>
                  <w:rFonts w:ascii="Cambria Math" w:hAnsi="Cambria Math" w:eastAsia="楷体"/>
                  <w:i/>
                  <w:szCs w:val="21"/>
                </w:rPr>
              </m:ctrlPr>
            </m:sSubPr>
            <m:e>
              <m:r>
                <m:rPr/>
                <w:rPr>
                  <w:rFonts w:ascii="Cambria Math" w:hAnsi="Cambria Math"/>
                  <w:szCs w:val="21"/>
                </w:rPr>
                <m:t>β</m:t>
              </m:r>
              <m:ctrlPr>
                <w:rPr>
                  <w:rFonts w:ascii="Cambria Math" w:hAnsi="Cambria Math" w:eastAsia="楷体"/>
                  <w:i/>
                  <w:szCs w:val="21"/>
                </w:rPr>
              </m:ctrlPr>
            </m:e>
            <m:sub>
              <m:r>
                <m:rPr/>
                <w:rPr>
                  <w:rFonts w:ascii="Cambria Math" w:hAnsi="Cambria Math" w:eastAsia="楷体"/>
                  <w:szCs w:val="21"/>
                </w:rPr>
                <m:t>2</m:t>
              </m:r>
              <m:ctrlPr>
                <w:rPr>
                  <w:rFonts w:ascii="Cambria Math" w:hAnsi="Cambria Math" w:eastAsia="楷体"/>
                  <w:i/>
                  <w:szCs w:val="21"/>
                </w:rPr>
              </m:ctrlPr>
            </m:sub>
          </m:sSub>
          <m:sSub>
            <m:sSubPr>
              <m:ctrlPr>
                <w:rPr>
                  <w:rFonts w:ascii="Cambria Math" w:hAnsi="Cambria Math"/>
                  <w:i/>
                  <w:szCs w:val="21"/>
                </w:rPr>
              </m:ctrlPr>
            </m:sSubPr>
            <m:e>
              <m:r>
                <m:rPr/>
                <w:rPr>
                  <w:rFonts w:ascii="Cambria Math" w:hAnsi="Cambria Math"/>
                  <w:szCs w:val="21"/>
                </w:rPr>
                <m:t>UI</m:t>
              </m:r>
              <m:ctrlPr>
                <w:rPr>
                  <w:rFonts w:ascii="Cambria Math" w:hAnsi="Cambria Math"/>
                  <w:i/>
                  <w:szCs w:val="21"/>
                </w:rPr>
              </m:ctrlPr>
            </m:e>
            <m:sub>
              <m:r>
                <m:rPr/>
                <w:rPr>
                  <w:rFonts w:ascii="Cambria Math" w:hAnsi="Cambria Math"/>
                  <w:szCs w:val="21"/>
                </w:rPr>
                <m:t>ℎ</m:t>
              </m:r>
              <m:ctrlPr>
                <w:rPr>
                  <w:rFonts w:ascii="Cambria Math" w:hAnsi="Cambria Math"/>
                  <w:i/>
                  <w:szCs w:val="21"/>
                </w:rPr>
              </m:ctrlPr>
            </m:sub>
          </m:sSub>
          <m:r>
            <m:rPr/>
            <w:rPr>
              <w:rFonts w:ascii="Cambria Math" w:hAnsi="Cambria Math" w:eastAsia="楷体"/>
              <w:szCs w:val="21"/>
            </w:rPr>
            <m:t>+</m:t>
          </m:r>
          <m:sSub>
            <m:sSubPr>
              <m:ctrlPr>
                <w:rPr>
                  <w:rFonts w:ascii="Cambria Math" w:hAnsi="Cambria Math" w:eastAsia="楷体"/>
                  <w:i/>
                  <w:iCs/>
                  <w:szCs w:val="21"/>
                </w:rPr>
              </m:ctrlPr>
            </m:sSubPr>
            <m:e>
              <m:r>
                <m:rPr/>
                <w:rPr>
                  <w:rFonts w:ascii="Cambria Math" w:hAnsi="Cambria Math" w:eastAsia="楷体"/>
                  <w:szCs w:val="21"/>
                </w:rPr>
                <m:t>ε</m:t>
              </m:r>
              <m:ctrlPr>
                <w:rPr>
                  <w:rFonts w:ascii="Cambria Math" w:hAnsi="Cambria Math" w:eastAsia="楷体"/>
                  <w:i/>
                  <w:iCs/>
                  <w:szCs w:val="21"/>
                </w:rPr>
              </m:ctrlPr>
            </m:e>
            <m:sub>
              <m:r>
                <m:rPr/>
                <w:rPr>
                  <w:rFonts w:ascii="Cambria Math" w:hAnsi="Cambria Math" w:eastAsia="楷体"/>
                  <w:szCs w:val="21"/>
                </w:rPr>
                <m:t>ℎt</m:t>
              </m:r>
              <m:ctrlPr>
                <w:rPr>
                  <w:rFonts w:ascii="Cambria Math" w:hAnsi="Cambria Math" w:eastAsia="楷体"/>
                  <w:i/>
                  <w:iCs/>
                  <w:szCs w:val="21"/>
                </w:rPr>
              </m:ctrlPr>
            </m:sub>
          </m:sSub>
          <m:r>
            <m:rPr/>
            <w:rPr>
              <w:rFonts w:ascii="Cambria Math" w:hAnsi="Cambria Math" w:eastAsia="楷体"/>
              <w:szCs w:val="21"/>
            </w:rPr>
            <m:t xml:space="preserve">      (</m:t>
          </m:r>
          <m:r>
            <m:rPr>
              <m:sty m:val="b"/>
            </m:rPr>
            <w:rPr>
              <w:rFonts w:hint="eastAsia" w:ascii="仿宋" w:hAnsi="仿宋" w:eastAsia="仿宋" w:cs="仿宋"/>
            </w:rPr>
            <m:t>Ⅴ</m:t>
          </m:r>
          <m:r>
            <m:rPr/>
            <w:rPr>
              <w:rFonts w:ascii="Cambria Math" w:hAnsi="Cambria Math" w:eastAsia="楷体"/>
              <w:szCs w:val="21"/>
            </w:rPr>
            <m:t>1)</m:t>
          </m:r>
        </m:oMath>
      </m:oMathPara>
    </w:p>
    <w:p>
      <w:pPr>
        <w:ind w:firstLine="420" w:firstLineChars="0"/>
        <w:rPr>
          <w:iCs/>
          <w:szCs w:val="21"/>
        </w:rPr>
      </w:pPr>
      <w:r>
        <w:rPr>
          <w:szCs w:val="21"/>
        </w:rPr>
        <w:t>其中，</w:t>
      </w:r>
      <m:oMath>
        <m:sSub>
          <m:sSubPr>
            <m:ctrlPr>
              <w:rPr>
                <w:rFonts w:ascii="Cambria Math" w:hAnsi="Cambria Math"/>
                <w:i/>
                <w:iCs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szCs w:val="21"/>
              </w:rPr>
              <m:t>Y</m:t>
            </m:r>
            <m:ctrlPr>
              <w:rPr>
                <w:rFonts w:ascii="Cambria Math" w:hAnsi="Cambria Math"/>
                <w:i/>
                <w:iCs/>
                <w:szCs w:val="21"/>
              </w:rPr>
            </m:ctrlPr>
          </m:e>
          <m:sub>
            <m:r>
              <m:rPr/>
              <w:rPr>
                <w:rFonts w:ascii="Cambria Math" w:hAnsi="Cambria Math"/>
                <w:szCs w:val="21"/>
              </w:rPr>
              <m:t>ℎt</m:t>
            </m:r>
            <m:ctrlPr>
              <w:rPr>
                <w:rFonts w:ascii="Cambria Math" w:hAnsi="Cambria Math"/>
                <w:i/>
                <w:iCs/>
                <w:szCs w:val="21"/>
              </w:rPr>
            </m:ctrlPr>
          </m:sub>
        </m:sSub>
      </m:oMath>
      <w:r>
        <w:rPr>
          <w:iCs/>
          <w:szCs w:val="21"/>
        </w:rPr>
        <w:t>为本文关注的一系列结果变量</w:t>
      </w:r>
      <w:r>
        <w:rPr>
          <w:rFonts w:hint="eastAsia"/>
          <w:iCs/>
          <w:szCs w:val="21"/>
        </w:rPr>
        <w:t>，</w:t>
      </w:r>
      <w:r>
        <w:rPr>
          <w:iCs/>
          <w:szCs w:val="21"/>
        </w:rPr>
        <w:t>表示家户</w:t>
      </w:r>
      <w:r>
        <w:rPr>
          <w:i/>
          <w:szCs w:val="21"/>
        </w:rPr>
        <w:t>h</w:t>
      </w:r>
      <w:r>
        <w:rPr>
          <w:iCs/>
          <w:szCs w:val="21"/>
        </w:rPr>
        <w:t>在</w:t>
      </w:r>
      <w:r>
        <w:rPr>
          <w:i/>
          <w:szCs w:val="21"/>
        </w:rPr>
        <w:t>t</w:t>
      </w:r>
      <w:r>
        <w:rPr>
          <w:iCs/>
          <w:szCs w:val="21"/>
        </w:rPr>
        <w:t>月的各类收入与支出等；</w:t>
      </w:r>
      <m:oMath>
        <m:sSub>
          <m:sSubPr>
            <m:ctrlPr>
              <w:rPr>
                <w:rFonts w:ascii="Cambria Math" w:hAnsi="Cambria Math"/>
                <w:i/>
                <w:iCs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szCs w:val="21"/>
              </w:rPr>
              <m:t>γ</m:t>
            </m:r>
            <m:ctrlPr>
              <w:rPr>
                <w:rFonts w:ascii="Cambria Math" w:hAnsi="Cambria Math"/>
                <w:i/>
                <w:iCs/>
                <w:szCs w:val="21"/>
              </w:rPr>
            </m:ctrlPr>
          </m:e>
          <m:sub>
            <m:r>
              <m:rPr/>
              <w:rPr>
                <w:rFonts w:ascii="Cambria Math" w:hAnsi="Cambria Math"/>
                <w:szCs w:val="21"/>
              </w:rPr>
              <m:t>t</m:t>
            </m:r>
            <m:ctrlPr>
              <w:rPr>
                <w:rFonts w:ascii="Cambria Math" w:hAnsi="Cambria Math"/>
                <w:i/>
                <w:iCs/>
                <w:szCs w:val="21"/>
              </w:rPr>
            </m:ctrlPr>
          </m:sub>
        </m:sSub>
      </m:oMath>
      <w:r>
        <w:rPr>
          <w:szCs w:val="21"/>
        </w:rPr>
        <w:t>和</w:t>
      </w:r>
      <m:oMath>
        <m:sSub>
          <m:sSubPr>
            <m:ctrlPr>
              <w:rPr>
                <w:rFonts w:ascii="Cambria Math" w:hAnsi="Cambria Math"/>
                <w:i/>
                <w:iCs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szCs w:val="21"/>
              </w:rPr>
              <m:t>δ</m:t>
            </m:r>
            <m:ctrlPr>
              <w:rPr>
                <w:rFonts w:ascii="Cambria Math" w:hAnsi="Cambria Math"/>
                <w:i/>
                <w:iCs/>
                <w:szCs w:val="21"/>
              </w:rPr>
            </m:ctrlPr>
          </m:e>
          <m:sub>
            <m:r>
              <m:rPr/>
              <w:rPr>
                <w:rFonts w:ascii="Cambria Math" w:hAnsi="Cambria Math"/>
                <w:szCs w:val="21"/>
              </w:rPr>
              <m:t>c</m:t>
            </m:r>
            <m:ctrlPr>
              <w:rPr>
                <w:rFonts w:ascii="Cambria Math" w:hAnsi="Cambria Math"/>
                <w:i/>
                <w:iCs/>
                <w:szCs w:val="21"/>
              </w:rPr>
            </m:ctrlPr>
          </m:sub>
        </m:sSub>
      </m:oMath>
      <w:r>
        <w:rPr>
          <w:iCs/>
          <w:szCs w:val="21"/>
        </w:rPr>
        <w:t>分别表示月度时间的固定效应与</w:t>
      </w:r>
      <w:r>
        <w:rPr>
          <w:rFonts w:hint="eastAsia"/>
          <w:iCs/>
          <w:szCs w:val="21"/>
        </w:rPr>
        <w:t>区（县）</w:t>
      </w:r>
      <w:r>
        <w:rPr>
          <w:iCs/>
          <w:szCs w:val="21"/>
        </w:rPr>
        <w:t>的固定效应</w:t>
      </w:r>
      <w:r>
        <w:rPr>
          <w:szCs w:val="21"/>
        </w:rPr>
        <w:t>。</w:t>
      </w:r>
      <m:oMath>
        <m:sSub>
          <m:sSubPr>
            <m:ctrlPr>
              <w:rPr>
                <w:rFonts w:ascii="Cambria Math" w:hAnsi="Cambria Math"/>
                <w:i/>
                <w:iCs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szCs w:val="21"/>
              </w:rPr>
              <m:t>X</m:t>
            </m:r>
            <m:ctrlPr>
              <w:rPr>
                <w:rFonts w:ascii="Cambria Math" w:hAnsi="Cambria Math"/>
                <w:i/>
                <w:iCs/>
                <w:szCs w:val="21"/>
              </w:rPr>
            </m:ctrlPr>
          </m:e>
          <m:sub>
            <m:r>
              <m:rPr/>
              <w:rPr>
                <w:rFonts w:ascii="Cambria Math" w:hAnsi="Cambria Math"/>
                <w:szCs w:val="21"/>
              </w:rPr>
              <m:t>ℎt</m:t>
            </m:r>
            <m:ctrlPr>
              <w:rPr>
                <w:rFonts w:ascii="Cambria Math" w:hAnsi="Cambria Math"/>
                <w:i/>
                <w:iCs/>
                <w:szCs w:val="21"/>
              </w:rPr>
            </m:ctrlPr>
          </m:sub>
        </m:sSub>
      </m:oMath>
      <w:r>
        <w:rPr>
          <w:iCs/>
          <w:szCs w:val="21"/>
        </w:rPr>
        <w:t>表示一系列家户的控制变量包括家户规模、失业者年龄及教育等；</w:t>
      </w:r>
      <m:oMath>
        <m:r>
          <m:rPr/>
          <w:rPr>
            <w:rFonts w:ascii="Cambria Math" w:hAnsi="Cambria Math"/>
            <w:szCs w:val="21"/>
          </w:rPr>
          <m:t xml:space="preserve"> </m:t>
        </m:r>
        <m:sSub>
          <m:sSubPr>
            <m:ctrlPr>
              <w:rPr>
                <w:rFonts w:ascii="Cambria Math" w:hAnsi="Cambria Math" w:eastAsia="楷体"/>
                <w:i/>
                <w:szCs w:val="21"/>
              </w:rPr>
            </m:ctrlPr>
          </m:sSubPr>
          <m:e>
            <m:r>
              <m:rPr/>
              <w:rPr>
                <w:rFonts w:ascii="Cambria Math" w:hAnsi="Cambria Math" w:eastAsia="楷体"/>
                <w:szCs w:val="21"/>
              </w:rPr>
              <m:t>UI_benefit</m:t>
            </m:r>
            <m:ctrlPr>
              <w:rPr>
                <w:rFonts w:ascii="Cambria Math" w:hAnsi="Cambria Math" w:eastAsia="楷体"/>
                <w:i/>
                <w:szCs w:val="21"/>
              </w:rPr>
            </m:ctrlPr>
          </m:e>
          <m:sub>
            <m:r>
              <m:rPr/>
              <w:rPr>
                <w:rFonts w:ascii="Cambria Math" w:hAnsi="Cambria Math" w:eastAsia="楷体"/>
                <w:szCs w:val="21"/>
              </w:rPr>
              <m:t>ct</m:t>
            </m:r>
            <m:ctrlPr>
              <w:rPr>
                <w:rFonts w:ascii="Cambria Math" w:hAnsi="Cambria Math" w:eastAsia="楷体"/>
                <w:i/>
                <w:szCs w:val="21"/>
              </w:rPr>
            </m:ctrlPr>
          </m:sub>
        </m:sSub>
      </m:oMath>
      <w:r>
        <w:rPr>
          <w:iCs/>
          <w:szCs w:val="21"/>
        </w:rPr>
        <w:t>表示在</w:t>
      </w:r>
      <w:r>
        <w:rPr>
          <w:rFonts w:hint="eastAsia"/>
          <w:iCs/>
          <w:szCs w:val="21"/>
        </w:rPr>
        <w:t>月份</w:t>
      </w:r>
      <w:r>
        <w:rPr>
          <w:rFonts w:hint="eastAsia"/>
          <w:i/>
          <w:szCs w:val="21"/>
        </w:rPr>
        <w:t>t</w:t>
      </w:r>
      <w:r>
        <w:rPr>
          <w:iCs/>
          <w:szCs w:val="21"/>
        </w:rPr>
        <w:t>家户所在</w:t>
      </w:r>
      <w:r>
        <w:rPr>
          <w:rFonts w:hint="eastAsia"/>
          <w:iCs/>
          <w:szCs w:val="21"/>
        </w:rPr>
        <w:t>区（县）c</w:t>
      </w:r>
      <w:r>
        <w:rPr>
          <w:iCs/>
          <w:szCs w:val="21"/>
        </w:rPr>
        <w:t>的失业保险待遇；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szCs w:val="21"/>
              </w:rPr>
              <m:t>UI</m:t>
            </m:r>
            <m:ctrlPr>
              <w:rPr>
                <w:rFonts w:ascii="Cambria Math" w:hAnsi="Cambria Math"/>
                <w:i/>
                <w:szCs w:val="21"/>
              </w:rPr>
            </m:ctrlPr>
          </m:e>
          <m:sub>
            <m:r>
              <m:rPr/>
              <w:rPr>
                <w:rFonts w:ascii="Cambria Math" w:hAnsi="Cambria Math"/>
                <w:szCs w:val="21"/>
              </w:rPr>
              <m:t>ℎ</m:t>
            </m:r>
            <m:ctrlPr>
              <w:rPr>
                <w:rFonts w:ascii="Cambria Math" w:hAnsi="Cambria Math"/>
                <w:i/>
                <w:szCs w:val="21"/>
              </w:rPr>
            </m:ctrlPr>
          </m:sub>
        </m:sSub>
      </m:oMath>
      <w:r>
        <w:rPr>
          <w:iCs/>
          <w:szCs w:val="21"/>
        </w:rPr>
        <w:t>表示</w:t>
      </w:r>
      <w:r>
        <w:rPr>
          <w:rFonts w:hint="eastAsia"/>
          <w:iCs/>
          <w:szCs w:val="21"/>
        </w:rPr>
        <w:t>失业保险 待遇变化前</w:t>
      </w:r>
      <w:r>
        <w:rPr>
          <w:iCs/>
          <w:szCs w:val="21"/>
        </w:rPr>
        <w:t>家户</w:t>
      </w:r>
      <w:r>
        <w:rPr>
          <w:i/>
          <w:szCs w:val="21"/>
        </w:rPr>
        <w:t>h</w:t>
      </w:r>
      <w:r>
        <w:rPr>
          <w:rFonts w:hint="eastAsia"/>
          <w:iCs/>
          <w:szCs w:val="21"/>
        </w:rPr>
        <w:t>是否参加了失业保险</w:t>
      </w:r>
      <w:r>
        <w:rPr>
          <w:szCs w:val="21"/>
        </w:rPr>
        <w:t>。本文最为关注的参数为</w:t>
      </w:r>
      <m:oMath>
        <m:sSub>
          <m:sSubPr>
            <m:ctrlPr>
              <w:rPr>
                <w:rFonts w:ascii="Cambria Math" w:hAnsi="Cambria Math"/>
                <w:i/>
                <w:iCs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szCs w:val="21"/>
              </w:rPr>
              <m:t>β</m:t>
            </m:r>
            <m:ctrlPr>
              <w:rPr>
                <w:rFonts w:ascii="Cambria Math" w:hAnsi="Cambria Math"/>
                <w:i/>
                <w:iCs/>
                <w:szCs w:val="21"/>
              </w:rPr>
            </m:ctrlPr>
          </m:e>
          <m:sub>
            <m:r>
              <m:rPr/>
              <w:rPr>
                <w:rFonts w:ascii="Cambria Math" w:hAnsi="Cambria Math"/>
                <w:szCs w:val="21"/>
              </w:rPr>
              <m:t>0</m:t>
            </m:r>
            <m:ctrlPr>
              <w:rPr>
                <w:rFonts w:ascii="Cambria Math" w:hAnsi="Cambria Math"/>
                <w:i/>
                <w:iCs/>
                <w:szCs w:val="21"/>
              </w:rPr>
            </m:ctrlPr>
          </m:sub>
        </m:sSub>
      </m:oMath>
      <w:r>
        <w:rPr>
          <w:iCs/>
          <w:szCs w:val="21"/>
        </w:rPr>
        <w:t>，表示</w:t>
      </w:r>
      <w:r>
        <w:rPr>
          <w:rFonts w:hint="eastAsia"/>
          <w:iCs/>
          <w:szCs w:val="21"/>
        </w:rPr>
        <w:t>相对于未参保家庭而言，失业保险待遇提升对参保家庭结果变量</w:t>
      </w:r>
      <w:r>
        <w:rPr>
          <w:iCs/>
          <w:szCs w:val="21"/>
        </w:rPr>
        <w:t>的</w:t>
      </w:r>
      <w:r>
        <w:rPr>
          <w:rFonts w:hint="eastAsia"/>
          <w:iCs/>
          <w:szCs w:val="21"/>
        </w:rPr>
        <w:t>影响</w:t>
      </w:r>
      <w:r>
        <w:rPr>
          <w:iCs/>
          <w:szCs w:val="21"/>
        </w:rPr>
        <w:t>；回归的标准误聚类到</w:t>
      </w:r>
      <w:r>
        <w:rPr>
          <w:rFonts w:hint="eastAsia"/>
          <w:iCs/>
          <w:szCs w:val="21"/>
        </w:rPr>
        <w:t>区（县）级</w:t>
      </w:r>
      <w:r>
        <w:rPr>
          <w:iCs/>
          <w:szCs w:val="21"/>
        </w:rPr>
        <w:t>层面。</w:t>
      </w:r>
    </w:p>
    <w:p>
      <w:pPr>
        <w:ind w:firstLine="420" w:firstLineChars="0"/>
        <w:rPr>
          <w:szCs w:val="21"/>
        </w:rPr>
      </w:pPr>
      <w:r>
        <w:rPr>
          <w:rFonts w:hint="eastAsia"/>
          <w:szCs w:val="21"/>
        </w:rPr>
        <w:t>回归结果如表</w:t>
      </w:r>
      <w:r>
        <w:rPr>
          <w:rFonts w:hint="eastAsia" w:ascii="仿宋" w:hAnsi="仿宋" w:eastAsia="仿宋" w:cs="仿宋"/>
          <w:b/>
          <w:bCs/>
        </w:rPr>
        <w:t>Ⅴ</w:t>
      </w:r>
      <w:r>
        <w:rPr>
          <w:szCs w:val="21"/>
        </w:rPr>
        <w:t>1</w:t>
      </w:r>
      <w:r>
        <w:rPr>
          <w:rFonts w:hint="eastAsia"/>
          <w:szCs w:val="21"/>
        </w:rPr>
        <w:t>所示。结果表明，失业保险金的提高显著增加了失业保险参保家庭的收入与消费，并且消费反应明显，进一步验证了本文结论的稳健性。</w:t>
      </w:r>
    </w:p>
    <w:p>
      <w:pPr>
        <w:spacing w:line="400" w:lineRule="exact"/>
        <w:ind w:firstLineChars="0"/>
        <w:rPr>
          <w:b/>
          <w:bCs/>
        </w:rPr>
      </w:pPr>
    </w:p>
    <w:p>
      <w:pPr>
        <w:spacing w:line="400" w:lineRule="exact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18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1"/>
        </w:rPr>
        <w:t>表Ⅴ1 失业保险待遇变化对家庭收入与消费的影响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2"/>
        <w:gridCol w:w="2898"/>
        <w:gridCol w:w="263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tcBorders>
              <w:bottom w:val="nil"/>
            </w:tcBorders>
          </w:tcPr>
          <w:p>
            <w:pPr>
              <w:spacing w:line="400" w:lineRule="exact"/>
              <w:ind w:firstLine="0" w:firstLineChars="0"/>
              <w:rPr>
                <w:kern w:val="0"/>
                <w:sz w:val="20"/>
                <w:szCs w:val="21"/>
              </w:rPr>
            </w:pPr>
          </w:p>
        </w:tc>
        <w:tc>
          <w:tcPr>
            <w:tcW w:w="2898" w:type="dxa"/>
            <w:tcBorders>
              <w:bottom w:val="nil"/>
            </w:tcBorders>
          </w:tcPr>
          <w:p>
            <w:pPr>
              <w:spacing w:line="400" w:lineRule="exact"/>
              <w:ind w:firstLine="0" w:firstLineChars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总收入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spacing w:line="400" w:lineRule="exact"/>
              <w:ind w:firstLine="0" w:firstLineChars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消费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tcBorders>
              <w:top w:val="nil"/>
              <w:bottom w:val="single" w:color="auto" w:sz="4" w:space="0"/>
            </w:tcBorders>
          </w:tcPr>
          <w:p>
            <w:pPr>
              <w:spacing w:line="400" w:lineRule="exact"/>
              <w:ind w:firstLine="0" w:firstLineChars="0"/>
              <w:rPr>
                <w:kern w:val="0"/>
                <w:sz w:val="20"/>
                <w:szCs w:val="21"/>
              </w:rPr>
            </w:pPr>
          </w:p>
        </w:tc>
        <w:tc>
          <w:tcPr>
            <w:tcW w:w="2898" w:type="dxa"/>
            <w:tcBorders>
              <w:top w:val="nil"/>
              <w:bottom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（1）</w:t>
            </w:r>
          </w:p>
        </w:tc>
        <w:tc>
          <w:tcPr>
            <w:tcW w:w="2636" w:type="dxa"/>
            <w:tcBorders>
              <w:top w:val="nil"/>
              <w:bottom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（2）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tcBorders>
              <w:top w:val="single" w:color="auto" w:sz="4" w:space="0"/>
            </w:tcBorders>
          </w:tcPr>
          <w:p>
            <w:pPr>
              <w:spacing w:line="400" w:lineRule="exact"/>
              <w:ind w:firstLine="0" w:firstLineChars="0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失业保险金*参加失业保险</w:t>
            </w:r>
          </w:p>
        </w:tc>
        <w:tc>
          <w:tcPr>
            <w:tcW w:w="2898" w:type="dxa"/>
            <w:tcBorders>
              <w:top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0.810</w:t>
            </w:r>
            <w:r>
              <w:rPr>
                <w:kern w:val="0"/>
                <w:sz w:val="20"/>
                <w:szCs w:val="21"/>
                <w:vertAlign w:val="superscript"/>
              </w:rPr>
              <w:t>***</w:t>
            </w:r>
          </w:p>
        </w:tc>
        <w:tc>
          <w:tcPr>
            <w:tcW w:w="2636" w:type="dxa"/>
            <w:tcBorders>
              <w:top w:val="single" w:color="auto" w:sz="4" w:space="0"/>
            </w:tcBorders>
          </w:tcPr>
          <w:p>
            <w:pPr>
              <w:spacing w:line="400" w:lineRule="exact"/>
              <w:ind w:firstLine="0" w:firstLineChars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0.355</w:t>
            </w:r>
            <w:r>
              <w:rPr>
                <w:kern w:val="0"/>
                <w:sz w:val="20"/>
                <w:szCs w:val="21"/>
                <w:vertAlign w:val="superscript"/>
              </w:rPr>
              <w:t>***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</w:tcPr>
          <w:p>
            <w:pPr>
              <w:spacing w:line="400" w:lineRule="exact"/>
              <w:ind w:firstLine="0" w:firstLineChars="0"/>
              <w:rPr>
                <w:kern w:val="0"/>
                <w:sz w:val="20"/>
                <w:szCs w:val="21"/>
              </w:rPr>
            </w:pPr>
          </w:p>
        </w:tc>
        <w:tc>
          <w:tcPr>
            <w:tcW w:w="2898" w:type="dxa"/>
          </w:tcPr>
          <w:p>
            <w:pPr>
              <w:spacing w:line="400" w:lineRule="exact"/>
              <w:ind w:firstLine="0" w:firstLineChars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(0.188)</w:t>
            </w:r>
          </w:p>
        </w:tc>
        <w:tc>
          <w:tcPr>
            <w:tcW w:w="2636" w:type="dxa"/>
          </w:tcPr>
          <w:p>
            <w:pPr>
              <w:spacing w:line="400" w:lineRule="exact"/>
              <w:ind w:firstLine="0" w:firstLineChars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(0.105)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失业保险金、参加失业保险</w:t>
            </w:r>
          </w:p>
        </w:tc>
        <w:tc>
          <w:tcPr>
            <w:tcW w:w="289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Y</w:t>
            </w:r>
          </w:p>
        </w:tc>
        <w:tc>
          <w:tcPr>
            <w:tcW w:w="26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kern w:val="0"/>
                <w:sz w:val="20"/>
                <w:szCs w:val="21"/>
              </w:rPr>
            </w:pPr>
            <w:r>
              <w:rPr>
                <w:kern w:val="24"/>
                <w:sz w:val="20"/>
                <w:szCs w:val="21"/>
              </w:rPr>
              <w:t>县固定效应</w:t>
            </w:r>
          </w:p>
        </w:tc>
        <w:tc>
          <w:tcPr>
            <w:tcW w:w="289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Y</w:t>
            </w:r>
          </w:p>
        </w:tc>
        <w:tc>
          <w:tcPr>
            <w:tcW w:w="26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kern w:val="0"/>
                <w:sz w:val="20"/>
                <w:szCs w:val="21"/>
              </w:rPr>
            </w:pPr>
            <w:r>
              <w:rPr>
                <w:kern w:val="24"/>
                <w:sz w:val="20"/>
                <w:szCs w:val="21"/>
              </w:rPr>
              <w:t>年、月固定效应</w:t>
            </w:r>
          </w:p>
        </w:tc>
        <w:tc>
          <w:tcPr>
            <w:tcW w:w="289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Y</w:t>
            </w:r>
          </w:p>
        </w:tc>
        <w:tc>
          <w:tcPr>
            <w:tcW w:w="26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kern w:val="0"/>
                <w:sz w:val="20"/>
                <w:szCs w:val="21"/>
              </w:rPr>
            </w:pPr>
            <w:r>
              <w:rPr>
                <w:kern w:val="24"/>
                <w:sz w:val="20"/>
                <w:szCs w:val="21"/>
              </w:rPr>
              <w:t>个人、家庭特征</w:t>
            </w:r>
          </w:p>
        </w:tc>
        <w:tc>
          <w:tcPr>
            <w:tcW w:w="289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Y</w:t>
            </w:r>
          </w:p>
        </w:tc>
        <w:tc>
          <w:tcPr>
            <w:tcW w:w="26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</w:tcPr>
          <w:p>
            <w:pPr>
              <w:widowControl/>
              <w:ind w:firstLine="0" w:firstLineChars="0"/>
              <w:jc w:val="left"/>
              <w:textAlignment w:val="center"/>
              <w:rPr>
                <w:kern w:val="24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R方</w:t>
            </w:r>
          </w:p>
        </w:tc>
        <w:tc>
          <w:tcPr>
            <w:tcW w:w="2898" w:type="dxa"/>
          </w:tcPr>
          <w:p>
            <w:pPr>
              <w:spacing w:line="400" w:lineRule="exact"/>
              <w:ind w:firstLine="0" w:firstLineChars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0.306</w:t>
            </w:r>
          </w:p>
        </w:tc>
        <w:tc>
          <w:tcPr>
            <w:tcW w:w="2636" w:type="dxa"/>
          </w:tcPr>
          <w:p>
            <w:pPr>
              <w:spacing w:line="400" w:lineRule="exact"/>
              <w:ind w:firstLine="0" w:firstLineChars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0.224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</w:tcPr>
          <w:p>
            <w:pPr>
              <w:widowControl/>
              <w:ind w:firstLine="0" w:firstLineChars="0"/>
              <w:jc w:val="left"/>
              <w:textAlignment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样本数</w:t>
            </w:r>
          </w:p>
        </w:tc>
        <w:tc>
          <w:tcPr>
            <w:tcW w:w="2898" w:type="dxa"/>
          </w:tcPr>
          <w:p>
            <w:pPr>
              <w:spacing w:line="400" w:lineRule="exact"/>
              <w:ind w:firstLine="0" w:firstLineChars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11028</w:t>
            </w:r>
          </w:p>
        </w:tc>
        <w:tc>
          <w:tcPr>
            <w:tcW w:w="2636" w:type="dxa"/>
          </w:tcPr>
          <w:p>
            <w:pPr>
              <w:spacing w:line="400" w:lineRule="exact"/>
              <w:ind w:firstLine="0" w:firstLineChars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11028</w:t>
            </w:r>
          </w:p>
        </w:tc>
      </w:tr>
    </w:tbl>
    <w:p>
      <w:pPr>
        <w:ind w:firstLine="360"/>
        <w:rPr>
          <w:sz w:val="18"/>
          <w:szCs w:val="18"/>
        </w:rPr>
      </w:pPr>
      <w:r>
        <w:rPr>
          <w:sz w:val="18"/>
          <w:szCs w:val="21"/>
        </w:rPr>
        <w:t>注：“</w:t>
      </w:r>
      <w:r>
        <w:rPr>
          <w:kern w:val="0"/>
          <w:sz w:val="18"/>
          <w:szCs w:val="18"/>
          <w:lang w:bidi="ar"/>
        </w:rPr>
        <w:t>***、**、*</w:t>
      </w:r>
      <w:r>
        <w:rPr>
          <w:sz w:val="18"/>
          <w:szCs w:val="21"/>
        </w:rPr>
        <w:t>”分别表示在1%、5%、10%置信水平上统计显著；括号内为</w:t>
      </w:r>
      <w:r>
        <w:rPr>
          <w:rFonts w:hint="eastAsia"/>
          <w:sz w:val="18"/>
          <w:szCs w:val="21"/>
        </w:rPr>
        <w:t>区（县）</w:t>
      </w:r>
      <w:r>
        <w:rPr>
          <w:sz w:val="18"/>
          <w:szCs w:val="21"/>
        </w:rPr>
        <w:t>聚类标准误；个人、家庭特征包括年龄、</w:t>
      </w:r>
      <w:r>
        <w:rPr>
          <w:rFonts w:hint="eastAsia"/>
          <w:sz w:val="18"/>
          <w:szCs w:val="21"/>
        </w:rPr>
        <w:t>教育、</w:t>
      </w:r>
      <w:r>
        <w:rPr>
          <w:sz w:val="18"/>
          <w:szCs w:val="21"/>
        </w:rPr>
        <w:t>家庭规模等</w:t>
      </w:r>
      <w:r>
        <w:rPr>
          <w:rFonts w:hint="eastAsia"/>
          <w:sz w:val="18"/>
          <w:szCs w:val="21"/>
        </w:rPr>
        <w:t>。</w:t>
      </w:r>
    </w:p>
    <w:p>
      <w:pPr>
        <w:ind w:firstLine="482"/>
        <w:rPr>
          <w:b/>
          <w:bCs/>
          <w:sz w:val="24"/>
          <w:szCs w:val="32"/>
        </w:rPr>
      </w:pPr>
    </w:p>
    <w:p>
      <w:pPr>
        <w:widowControl/>
        <w:ind w:firstLine="0" w:firstLineChars="0"/>
        <w:jc w:val="left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br w:type="page"/>
      </w:r>
    </w:p>
    <w:p>
      <w:pPr>
        <w:pStyle w:val="18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仿宋" w:hAnsi="仿宋"/>
          <w:b/>
          <w:bCs/>
          <w:szCs w:val="21"/>
        </w:rPr>
      </w:pPr>
      <w:r>
        <w:rPr>
          <w:rFonts w:hint="eastAsia" w:ascii="仿宋" w:hAnsi="仿宋"/>
          <w:b/>
          <w:bCs/>
          <w:szCs w:val="21"/>
        </w:rPr>
        <w:t>税制改革影响</w:t>
      </w:r>
    </w:p>
    <w:p>
      <w:pPr>
        <w:widowControl/>
        <w:spacing w:line="400" w:lineRule="exact"/>
        <w:ind w:firstLine="420"/>
        <w:jc w:val="left"/>
        <w:rPr>
          <w:rFonts w:ascii="仿宋" w:hAnsi="仿宋"/>
          <w:szCs w:val="21"/>
        </w:rPr>
      </w:pPr>
      <w:r>
        <w:rPr>
          <w:rFonts w:hint="eastAsia" w:ascii="仿宋" w:hAnsi="仿宋"/>
          <w:szCs w:val="21"/>
        </w:rPr>
        <w:t>由于各级税率调整，失业保险金家庭也可能受益于税收政策，因减税可实际支配的收入增加，进而导致消费增多。已有研究利用中国城镇住户调查</w:t>
      </w:r>
      <w:r>
        <w:rPr>
          <w:rFonts w:ascii="仿宋" w:hAnsi="仿宋"/>
          <w:szCs w:val="21"/>
        </w:rPr>
        <w:t>2010-2012年月度</w:t>
      </w:r>
      <w:r>
        <w:rPr>
          <w:rFonts w:hint="eastAsia" w:ascii="仿宋" w:hAnsi="仿宋"/>
          <w:szCs w:val="21"/>
        </w:rPr>
        <w:t>数据发现，2</w:t>
      </w:r>
      <w:r>
        <w:rPr>
          <w:rFonts w:ascii="仿宋" w:hAnsi="仿宋"/>
          <w:szCs w:val="21"/>
        </w:rPr>
        <w:t>011</w:t>
      </w:r>
      <w:r>
        <w:rPr>
          <w:rFonts w:hint="eastAsia" w:ascii="仿宋" w:hAnsi="仿宋"/>
          <w:szCs w:val="21"/>
        </w:rPr>
        <w:t>年个人所得税法修正案显著增加了家庭消费（赵达和王贞，2</w:t>
      </w:r>
      <w:r>
        <w:rPr>
          <w:rFonts w:ascii="仿宋" w:hAnsi="仿宋"/>
          <w:szCs w:val="21"/>
        </w:rPr>
        <w:t>020</w:t>
      </w:r>
      <w:r>
        <w:rPr>
          <w:rFonts w:hint="eastAsia" w:ascii="仿宋" w:hAnsi="仿宋"/>
          <w:szCs w:val="21"/>
        </w:rPr>
        <w:t>）。为排除或缓解税制改革对本文结果的影响，本文在基准回归的基础上额外控制了年-月交互固定效应，结果如图</w:t>
      </w:r>
      <w:r>
        <w:rPr>
          <w:rFonts w:hint="eastAsia" w:ascii="仿宋" w:hAnsi="仿宋" w:eastAsia="仿宋" w:cs="仿宋"/>
          <w:b/>
          <w:bCs/>
        </w:rPr>
        <w:t>Ⅴ</w:t>
      </w:r>
      <w:r>
        <w:rPr>
          <w:rFonts w:ascii="仿宋" w:hAnsi="仿宋"/>
          <w:szCs w:val="21"/>
        </w:rPr>
        <w:t>4</w:t>
      </w:r>
      <w:r>
        <w:rPr>
          <w:rFonts w:hint="eastAsia" w:ascii="仿宋" w:hAnsi="仿宋"/>
          <w:szCs w:val="21"/>
        </w:rPr>
        <w:t>所示。可以发现，结果与基准结果完全一致，表明税制改革对本文结果影响较小。</w:t>
      </w:r>
    </w:p>
    <w:p>
      <w:pPr>
        <w:widowControl/>
        <w:ind w:firstLine="420"/>
        <w:jc w:val="left"/>
      </w:pPr>
      <w:r>
        <w:drawing>
          <wp:inline distT="0" distB="0" distL="114300" distR="114300">
            <wp:extent cx="5025390" cy="3669665"/>
            <wp:effectExtent l="0" t="0" r="381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25390" cy="36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422"/>
        <w:jc w:val="center"/>
        <w:rPr>
          <w:rFonts w:hint="eastAsia" w:ascii="黑体" w:hAnsi="黑体" w:eastAsia="黑体" w:cs="黑体"/>
          <w:b w:val="0"/>
          <w:bCs/>
          <w:sz w:val="18"/>
          <w:szCs w:val="21"/>
        </w:rPr>
      </w:pPr>
      <w:r>
        <w:rPr>
          <w:rFonts w:hint="eastAsia" w:ascii="黑体" w:hAnsi="黑体" w:eastAsia="黑体" w:cs="黑体"/>
          <w:b w:val="0"/>
          <w:bCs/>
          <w:sz w:val="18"/>
          <w:szCs w:val="21"/>
        </w:rPr>
        <w:t>图Ⅴ4 安慰剂检验：排除2011年税制改革影响</w:t>
      </w:r>
    </w:p>
    <w:p>
      <w:pPr>
        <w:ind w:firstLine="420"/>
      </w:pPr>
    </w:p>
    <w:p>
      <w:pPr>
        <w:widowControl/>
        <w:ind w:firstLine="0" w:firstLineChars="0"/>
        <w:jc w:val="left"/>
      </w:pPr>
      <w:r>
        <w:br w:type="page"/>
      </w:r>
    </w:p>
    <w:p>
      <w:pPr>
        <w:pStyle w:val="18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仿宋" w:hAnsi="仿宋"/>
          <w:b/>
          <w:bCs w:val="0"/>
          <w:szCs w:val="21"/>
        </w:rPr>
      </w:pPr>
      <w:r>
        <w:rPr>
          <w:rFonts w:hint="eastAsia"/>
          <w:b/>
          <w:bCs w:val="0"/>
        </w:rPr>
        <w:t>失业保险参保口径</w:t>
      </w:r>
      <w:r>
        <w:rPr>
          <w:b/>
          <w:bCs w:val="0"/>
        </w:rPr>
        <w:t>：限制为</w:t>
      </w:r>
      <w:r>
        <w:rPr>
          <w:rFonts w:hint="eastAsia"/>
          <w:b/>
          <w:bCs w:val="0"/>
        </w:rPr>
        <w:t>失业后</w:t>
      </w:r>
      <w:r>
        <w:rPr>
          <w:b/>
          <w:bCs w:val="0"/>
        </w:rPr>
        <w:t>家庭失业保险缴纳金减少</w:t>
      </w:r>
    </w:p>
    <w:p>
      <w:pPr>
        <w:ind w:firstLine="420"/>
        <w:jc w:val="center"/>
      </w:pPr>
      <w:r>
        <w:drawing>
          <wp:inline distT="0" distB="0" distL="114300" distR="114300">
            <wp:extent cx="5031105" cy="3660775"/>
            <wp:effectExtent l="0" t="0" r="13335" b="1206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31105" cy="366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2"/>
        <w:jc w:val="center"/>
        <w:rPr>
          <w:rFonts w:hint="eastAsia" w:ascii="楷体" w:hAnsi="楷体" w:eastAsia="楷体" w:cs="楷体"/>
          <w:b w:val="0"/>
          <w:bCs w:val="0"/>
          <w:sz w:val="18"/>
          <w:szCs w:val="21"/>
        </w:rPr>
      </w:pPr>
      <w:r>
        <w:rPr>
          <w:rFonts w:hint="eastAsia" w:ascii="楷体" w:hAnsi="楷体" w:eastAsia="楷体" w:cs="楷体"/>
          <w:b w:val="0"/>
          <w:bCs w:val="0"/>
          <w:sz w:val="18"/>
          <w:szCs w:val="21"/>
        </w:rPr>
        <w:t>图Ⅴ5  失业保险参保口径：限制为失业后家庭失业保险缴纳金减少</w:t>
      </w:r>
    </w:p>
    <w:p>
      <w:pPr>
        <w:ind w:firstLine="420"/>
      </w:pPr>
    </w:p>
    <w:p>
      <w:pPr>
        <w:widowControl/>
        <w:ind w:firstLine="0" w:firstLineChars="0"/>
        <w:jc w:val="left"/>
      </w:pPr>
      <w:r>
        <w:br w:type="page"/>
      </w:r>
    </w:p>
    <w:p>
      <w:pPr>
        <w:pStyle w:val="8"/>
        <w:spacing w:before="312" w:after="312"/>
        <w:rPr>
          <w:rFonts w:hint="eastAsia" w:ascii="楷体" w:hAnsi="楷体" w:eastAsia="楷体" w:cs="楷体"/>
        </w:rPr>
      </w:pPr>
      <w:bookmarkStart w:id="5" w:name="_Toc148719727"/>
      <w:r>
        <w:rPr>
          <w:rFonts w:hint="eastAsia" w:ascii="楷体" w:hAnsi="楷体" w:eastAsia="楷体" w:cs="楷体"/>
        </w:rPr>
        <w:t>附录Ⅵ 失业保险待遇对不同消费类型的影响</w:t>
      </w:r>
      <w:bookmarkEnd w:id="5"/>
    </w:p>
    <w:p>
      <w:pPr>
        <w:ind w:firstLine="0" w:firstLineChars="0"/>
        <w:jc w:val="center"/>
      </w:pPr>
      <w:r>
        <w:drawing>
          <wp:inline distT="0" distB="0" distL="114300" distR="114300">
            <wp:extent cx="5029200" cy="3657600"/>
            <wp:effectExtent l="0" t="0" r="0" b="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18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1"/>
        </w:rPr>
        <w:t>图Ⅵ1  失业保险待遇提升与家庭食品消费</w:t>
      </w:r>
    </w:p>
    <w:p>
      <w:pPr>
        <w:ind w:firstLine="0" w:firstLineChars="0"/>
        <w:jc w:val="center"/>
        <w:rPr>
          <w:b/>
          <w:bCs/>
        </w:rPr>
      </w:pPr>
    </w:p>
    <w:p>
      <w:pPr>
        <w:ind w:firstLine="0" w:firstLineChars="0"/>
        <w:jc w:val="center"/>
      </w:pPr>
      <w:r>
        <w:drawing>
          <wp:inline distT="0" distB="0" distL="114300" distR="114300">
            <wp:extent cx="5031105" cy="3660775"/>
            <wp:effectExtent l="0" t="0" r="13335" b="12065"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31105" cy="366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18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1"/>
        </w:rPr>
        <w:t>图Ⅵ2  失业保险待遇提升与服装、住房、日用品及家庭设备用品消费</w:t>
      </w:r>
    </w:p>
    <w:p>
      <w:pPr>
        <w:ind w:firstLine="0" w:firstLineChars="0"/>
        <w:jc w:val="center"/>
      </w:pPr>
      <w:r>
        <w:drawing>
          <wp:inline distT="0" distB="0" distL="114300" distR="114300">
            <wp:extent cx="5031105" cy="3660775"/>
            <wp:effectExtent l="0" t="0" r="13335" b="12065"/>
            <wp:docPr id="2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031105" cy="366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18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1"/>
        </w:rPr>
        <w:t>图Ⅵ3  失业保险待遇提升与健康及医疗保健消费</w:t>
      </w:r>
    </w:p>
    <w:p>
      <w:pPr>
        <w:ind w:firstLine="0" w:firstLineChars="0"/>
        <w:jc w:val="center"/>
        <w:rPr>
          <w:b/>
          <w:bCs/>
        </w:rPr>
      </w:pPr>
    </w:p>
    <w:p>
      <w:pPr>
        <w:ind w:firstLine="0" w:firstLineChars="0"/>
        <w:jc w:val="center"/>
      </w:pPr>
      <w:r>
        <w:drawing>
          <wp:inline distT="0" distB="0" distL="114300" distR="114300">
            <wp:extent cx="5031105" cy="3660775"/>
            <wp:effectExtent l="0" t="0" r="13335" b="12065"/>
            <wp:docPr id="2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031105" cy="366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18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1"/>
        </w:rPr>
        <w:t>图Ⅵ4  失业保险待遇提升与教育文娱消费及交通通信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" w:leftChars="-1" w:firstLine="0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b/>
          <w:bCs w:val="0"/>
          <w:color w:val="auto"/>
          <w:szCs w:val="22"/>
        </w:rPr>
        <w:t>注：该附录是期刊所发表论文的组成部分，同样视为作者公开发表的内容。如研究中使用该附录中的内容，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Cs w:val="21"/>
        </w:rPr>
        <w:t>请务必在研究成果上注明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Cs w:val="21"/>
          <w:lang w:val="en-US" w:eastAsia="zh-CN"/>
        </w:rPr>
        <w:t>附录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Cs w:val="21"/>
        </w:rPr>
        <w:t>下载出处。</w:t>
      </w:r>
    </w:p>
    <w:p>
      <w:pPr>
        <w:ind w:firstLine="420"/>
      </w:pPr>
    </w:p>
    <w:sectPr>
      <w:footerReference r:id="rId10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4385999"/>
      <w:docPartObj>
        <w:docPartGallery w:val="autotext"/>
      </w:docPartObj>
    </w:sdtPr>
    <w:sdtContent>
      <w:p>
        <w:pPr>
          <w:pStyle w:val="4"/>
          <w:ind w:firstLine="4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16</w:t>
        </w:r>
        <w: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  <w:rPr>
        <w:rFonts w:hint="eastAsia" w:ascii="仿宋" w:hAnsi="仿宋" w:eastAsia="仿宋" w:cs="仿宋"/>
        <w:lang w:val="en-US" w:eastAsia="zh-CN"/>
      </w:rPr>
    </w:pPr>
    <w:r>
      <w:rPr>
        <w:rFonts w:hint="eastAsia" w:ascii="仿宋" w:hAnsi="仿宋" w:eastAsia="仿宋" w:cs="仿宋"/>
        <w:lang w:eastAsia="zh-CN"/>
      </w:rPr>
      <w:t>《</w:t>
    </w:r>
    <w:r>
      <w:rPr>
        <w:rFonts w:hint="eastAsia" w:ascii="仿宋" w:hAnsi="仿宋" w:eastAsia="仿宋" w:cs="仿宋"/>
        <w:lang w:val="en-US" w:eastAsia="zh-CN"/>
      </w:rPr>
      <w:t>经济学</w:t>
    </w:r>
    <w:r>
      <w:rPr>
        <w:rFonts w:hint="eastAsia" w:ascii="仿宋" w:hAnsi="仿宋" w:eastAsia="仿宋" w:cs="仿宋"/>
        <w:lang w:eastAsia="zh-CN"/>
      </w:rPr>
      <w:t>》（</w:t>
    </w:r>
    <w:r>
      <w:rPr>
        <w:rFonts w:hint="eastAsia" w:ascii="仿宋" w:hAnsi="仿宋" w:eastAsia="仿宋" w:cs="仿宋"/>
        <w:lang w:val="en-US" w:eastAsia="zh-CN"/>
      </w:rPr>
      <w:t>季刊</w:t>
    </w:r>
    <w:r>
      <w:rPr>
        <w:rFonts w:hint="eastAsia" w:ascii="仿宋" w:hAnsi="仿宋" w:eastAsia="仿宋" w:cs="仿宋"/>
        <w:lang w:eastAsia="zh-CN"/>
      </w:rPr>
      <w:t>）</w:t>
    </w:r>
    <w:r>
      <w:rPr>
        <w:rFonts w:hint="eastAsia" w:ascii="仿宋" w:hAnsi="仿宋" w:eastAsia="仿宋" w:cs="仿宋"/>
        <w:lang w:val="en-US" w:eastAsia="zh-CN"/>
      </w:rPr>
      <w:t xml:space="preserve">                                                              2024年第2期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C97537"/>
    <w:multiLevelType w:val="multilevel"/>
    <w:tmpl w:val="63C97537"/>
    <w:lvl w:ilvl="0" w:tentative="0">
      <w:start w:val="1"/>
      <w:numFmt w:val="japaneseCounting"/>
      <w:lvlText w:val="（%1）"/>
      <w:lvlJc w:val="left"/>
      <w:pPr>
        <w:ind w:left="919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39" w:hanging="420"/>
      </w:pPr>
    </w:lvl>
    <w:lvl w:ilvl="2" w:tentative="0">
      <w:start w:val="1"/>
      <w:numFmt w:val="lowerRoman"/>
      <w:lvlText w:val="%3."/>
      <w:lvlJc w:val="right"/>
      <w:pPr>
        <w:ind w:left="1459" w:hanging="420"/>
      </w:pPr>
    </w:lvl>
    <w:lvl w:ilvl="3" w:tentative="0">
      <w:start w:val="1"/>
      <w:numFmt w:val="decimal"/>
      <w:lvlText w:val="%4."/>
      <w:lvlJc w:val="left"/>
      <w:pPr>
        <w:ind w:left="1879" w:hanging="420"/>
      </w:pPr>
    </w:lvl>
    <w:lvl w:ilvl="4" w:tentative="0">
      <w:start w:val="1"/>
      <w:numFmt w:val="lowerLetter"/>
      <w:lvlText w:val="%5)"/>
      <w:lvlJc w:val="left"/>
      <w:pPr>
        <w:ind w:left="2299" w:hanging="420"/>
      </w:pPr>
    </w:lvl>
    <w:lvl w:ilvl="5" w:tentative="0">
      <w:start w:val="1"/>
      <w:numFmt w:val="lowerRoman"/>
      <w:lvlText w:val="%6."/>
      <w:lvlJc w:val="right"/>
      <w:pPr>
        <w:ind w:left="2719" w:hanging="420"/>
      </w:pPr>
    </w:lvl>
    <w:lvl w:ilvl="6" w:tentative="0">
      <w:start w:val="1"/>
      <w:numFmt w:val="decimal"/>
      <w:lvlText w:val="%7."/>
      <w:lvlJc w:val="left"/>
      <w:pPr>
        <w:ind w:left="3139" w:hanging="420"/>
      </w:pPr>
    </w:lvl>
    <w:lvl w:ilvl="7" w:tentative="0">
      <w:start w:val="1"/>
      <w:numFmt w:val="lowerLetter"/>
      <w:lvlText w:val="%8)"/>
      <w:lvlJc w:val="left"/>
      <w:pPr>
        <w:ind w:left="3559" w:hanging="420"/>
      </w:pPr>
    </w:lvl>
    <w:lvl w:ilvl="8" w:tentative="0">
      <w:start w:val="1"/>
      <w:numFmt w:val="lowerRoman"/>
      <w:lvlText w:val="%9."/>
      <w:lvlJc w:val="right"/>
      <w:pPr>
        <w:ind w:left="397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xNWZhMmRiMTY5YWI4NjAwOTAyNmUyMjJkNDE2NTcifQ=="/>
  </w:docVars>
  <w:rsids>
    <w:rsidRoot w:val="002F111E"/>
    <w:rsid w:val="000044DE"/>
    <w:rsid w:val="000D6D0D"/>
    <w:rsid w:val="00132F75"/>
    <w:rsid w:val="001C1F33"/>
    <w:rsid w:val="00241AE0"/>
    <w:rsid w:val="00286BB0"/>
    <w:rsid w:val="002A3E69"/>
    <w:rsid w:val="002F111E"/>
    <w:rsid w:val="002F42CE"/>
    <w:rsid w:val="003B2823"/>
    <w:rsid w:val="004630FD"/>
    <w:rsid w:val="004652C8"/>
    <w:rsid w:val="00597095"/>
    <w:rsid w:val="0062618E"/>
    <w:rsid w:val="00752CF1"/>
    <w:rsid w:val="00800101"/>
    <w:rsid w:val="00845528"/>
    <w:rsid w:val="008D1B7E"/>
    <w:rsid w:val="00977734"/>
    <w:rsid w:val="00A450A3"/>
    <w:rsid w:val="00CB1021"/>
    <w:rsid w:val="00CC1294"/>
    <w:rsid w:val="00E11361"/>
    <w:rsid w:val="00E71C9D"/>
    <w:rsid w:val="00F96708"/>
    <w:rsid w:val="07732166"/>
    <w:rsid w:val="3D430587"/>
    <w:rsid w:val="3FB776EE"/>
    <w:rsid w:val="422B40F0"/>
    <w:rsid w:val="4FA65C1D"/>
    <w:rsid w:val="4FB71297"/>
    <w:rsid w:val="5AA96320"/>
    <w:rsid w:val="689E1A96"/>
    <w:rsid w:val="79B5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outlineLvl w:val="1"/>
    </w:pPr>
    <w:rPr>
      <w:rFonts w:cstheme="majorBidi"/>
      <w:bCs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tabs>
        <w:tab w:val="right" w:leader="dot" w:pos="8296"/>
      </w:tabs>
      <w:spacing w:line="360" w:lineRule="auto"/>
      <w:ind w:firstLine="420"/>
    </w:pPr>
  </w:style>
  <w:style w:type="paragraph" w:styleId="7">
    <w:name w:val="footnote text"/>
    <w:basedOn w:val="1"/>
    <w:link w:val="19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Title"/>
    <w:basedOn w:val="1"/>
    <w:next w:val="1"/>
    <w:link w:val="16"/>
    <w:autoRedefine/>
    <w:qFormat/>
    <w:uiPriority w:val="0"/>
    <w:pPr>
      <w:spacing w:before="100" w:beforeLines="100" w:after="100" w:afterLines="100"/>
      <w:ind w:firstLine="0" w:firstLineChars="0"/>
      <w:jc w:val="center"/>
      <w:outlineLvl w:val="0"/>
    </w:pPr>
    <w:rPr>
      <w:rFonts w:eastAsia="楷体" w:cstheme="majorBidi"/>
      <w:bCs/>
      <w:sz w:val="28"/>
      <w:szCs w:val="32"/>
    </w:rPr>
  </w:style>
  <w:style w:type="table" w:styleId="10">
    <w:name w:val="Table Grid"/>
    <w:basedOn w:val="9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autoRedefine/>
    <w:unhideWhenUsed/>
    <w:qFormat/>
    <w:uiPriority w:val="99"/>
    <w:rPr>
      <w:vertAlign w:val="superscript"/>
    </w:rPr>
  </w:style>
  <w:style w:type="character" w:customStyle="1" w:styleId="14">
    <w:name w:val="页眉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4"/>
    <w:autoRedefine/>
    <w:qFormat/>
    <w:uiPriority w:val="99"/>
    <w:rPr>
      <w:sz w:val="18"/>
      <w:szCs w:val="18"/>
    </w:rPr>
  </w:style>
  <w:style w:type="character" w:customStyle="1" w:styleId="16">
    <w:name w:val="标题 字符"/>
    <w:basedOn w:val="11"/>
    <w:link w:val="8"/>
    <w:autoRedefine/>
    <w:qFormat/>
    <w:uiPriority w:val="0"/>
    <w:rPr>
      <w:rFonts w:ascii="Times New Roman" w:hAnsi="Times New Roman" w:eastAsia="楷体" w:cstheme="majorBidi"/>
      <w:bCs/>
      <w:sz w:val="28"/>
      <w:szCs w:val="32"/>
    </w:rPr>
  </w:style>
  <w:style w:type="character" w:customStyle="1" w:styleId="17">
    <w:name w:val="标题 2 字符"/>
    <w:basedOn w:val="11"/>
    <w:link w:val="3"/>
    <w:autoRedefine/>
    <w:qFormat/>
    <w:uiPriority w:val="0"/>
    <w:rPr>
      <w:rFonts w:ascii="Times New Roman" w:hAnsi="Times New Roman" w:eastAsia="仿宋" w:cstheme="majorBidi"/>
      <w:bCs/>
      <w:szCs w:val="32"/>
    </w:rPr>
  </w:style>
  <w:style w:type="paragraph" w:styleId="18">
    <w:name w:val="List Paragraph"/>
    <w:basedOn w:val="1"/>
    <w:autoRedefine/>
    <w:qFormat/>
    <w:uiPriority w:val="34"/>
    <w:pPr>
      <w:ind w:firstLine="420"/>
    </w:pPr>
  </w:style>
  <w:style w:type="character" w:customStyle="1" w:styleId="19">
    <w:name w:val="脚注文本 字符"/>
    <w:basedOn w:val="11"/>
    <w:link w:val="7"/>
    <w:autoRedefine/>
    <w:qFormat/>
    <w:uiPriority w:val="99"/>
    <w:rPr>
      <w:rFonts w:ascii="Times New Roman" w:hAnsi="Times New Roman" w:eastAsia="仿宋" w:cs="Times New Roman"/>
      <w:kern w:val="2"/>
      <w:sz w:val="18"/>
      <w:szCs w:val="18"/>
    </w:rPr>
  </w:style>
  <w:style w:type="character" w:customStyle="1" w:styleId="20">
    <w:name w:val="标题 1 字符"/>
    <w:basedOn w:val="11"/>
    <w:link w:val="2"/>
    <w:autoRedefine/>
    <w:qFormat/>
    <w:uiPriority w:val="9"/>
    <w:rPr>
      <w:rFonts w:ascii="Times New Roman" w:hAnsi="Times New Roman" w:eastAsia="仿宋" w:cs="Times New Roman"/>
      <w:b/>
      <w:bCs/>
      <w:kern w:val="44"/>
      <w:sz w:val="44"/>
      <w:szCs w:val="44"/>
    </w:rPr>
  </w:style>
  <w:style w:type="paragraph" w:customStyle="1" w:styleId="21">
    <w:name w:val="TOC Heading"/>
    <w:basedOn w:val="2"/>
    <w:next w:val="1"/>
    <w:autoRedefine/>
    <w:unhideWhenUsed/>
    <w:qFormat/>
    <w:uiPriority w:val="39"/>
    <w:pPr>
      <w:widowControl/>
      <w:spacing w:before="240" w:after="0" w:line="259" w:lineRule="auto"/>
      <w:ind w:firstLine="0" w:firstLineChars="0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footnotes" Target="footnotes.xml"/><Relationship Id="rId29" Type="http://schemas.openxmlformats.org/officeDocument/2006/relationships/numbering" Target="numbering.xml"/><Relationship Id="rId28" Type="http://schemas.openxmlformats.org/officeDocument/2006/relationships/image" Target="media/image17.emf"/><Relationship Id="rId27" Type="http://schemas.openxmlformats.org/officeDocument/2006/relationships/image" Target="media/image16.emf"/><Relationship Id="rId26" Type="http://schemas.openxmlformats.org/officeDocument/2006/relationships/image" Target="media/image15.emf"/><Relationship Id="rId25" Type="http://schemas.openxmlformats.org/officeDocument/2006/relationships/image" Target="media/image14.emf"/><Relationship Id="rId24" Type="http://schemas.openxmlformats.org/officeDocument/2006/relationships/image" Target="media/image13.emf"/><Relationship Id="rId23" Type="http://schemas.openxmlformats.org/officeDocument/2006/relationships/image" Target="media/image12.emf"/><Relationship Id="rId22" Type="http://schemas.openxmlformats.org/officeDocument/2006/relationships/image" Target="media/image11.emf"/><Relationship Id="rId21" Type="http://schemas.openxmlformats.org/officeDocument/2006/relationships/image" Target="media/image10.emf"/><Relationship Id="rId20" Type="http://schemas.openxmlformats.org/officeDocument/2006/relationships/image" Target="media/image9.emf"/><Relationship Id="rId2" Type="http://schemas.openxmlformats.org/officeDocument/2006/relationships/settings" Target="settings.xml"/><Relationship Id="rId19" Type="http://schemas.openxmlformats.org/officeDocument/2006/relationships/image" Target="media/image8.emf"/><Relationship Id="rId18" Type="http://schemas.openxmlformats.org/officeDocument/2006/relationships/image" Target="media/image7.emf"/><Relationship Id="rId17" Type="http://schemas.openxmlformats.org/officeDocument/2006/relationships/image" Target="media/image6.emf"/><Relationship Id="rId16" Type="http://schemas.openxmlformats.org/officeDocument/2006/relationships/image" Target="media/image5.emf"/><Relationship Id="rId15" Type="http://schemas.openxmlformats.org/officeDocument/2006/relationships/image" Target="media/image4.emf"/><Relationship Id="rId14" Type="http://schemas.openxmlformats.org/officeDocument/2006/relationships/image" Target="media/image3.emf"/><Relationship Id="rId13" Type="http://schemas.openxmlformats.org/officeDocument/2006/relationships/image" Target="media/image2.emf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D9A41-BA99-4BB2-8525-2CC93361C2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550</Words>
  <Characters>3138</Characters>
  <Lines>26</Lines>
  <Paragraphs>7</Paragraphs>
  <TotalTime>1</TotalTime>
  <ScaleCrop>false</ScaleCrop>
  <LinksUpToDate>false</LinksUpToDate>
  <CharactersWithSpaces>3681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2023-09-07T03:42:00Z</dcterms:created>
  <dc:creator>admin</dc:creator>
  <cp:lastModifiedBy>刘京</cp:lastModifiedBy>
  <dcterms:modified xsi:type="dcterms:W3CDTF">2024-03-18T01:33:36Z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c55eb4f6-310e-4cc4-ab49-d3598c484606</vt:lpwstr>
  </property>
  <property fmtid="{D5CDD505-2E9C-101B-9397-08002B2CF9AE}" pid="3" name="KSOProductBuildVer">
    <vt:lpwstr>2052-12.1.0.16388</vt:lpwstr>
  </property>
  <property fmtid="{D5CDD505-2E9C-101B-9397-08002B2CF9AE}" pid="4" name="ICV">
    <vt:lpwstr>DD21F64A08094192AD035919097E4839_12</vt:lpwstr>
  </property>
</Properties>
</file>