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18" w:name="_GoBack"/>
      <w:bookmarkEnd w:id="18"/>
    </w:p>
    <w:p/>
    <w:p>
      <w:pPr>
        <w:jc w:val="center"/>
        <w:rPr>
          <w:rFonts w:ascii="仿宋" w:hAnsi="仿宋" w:cs="仿宋"/>
          <w:b/>
          <w:sz w:val="32"/>
          <w:szCs w:val="32"/>
        </w:rPr>
      </w:pPr>
      <w:r>
        <w:rPr>
          <w:rFonts w:hint="eastAsia" w:ascii="仿宋" w:hAnsi="仿宋" w:cs="仿宋"/>
          <w:b/>
          <w:sz w:val="32"/>
          <w:szCs w:val="32"/>
        </w:rPr>
        <w:t>空间发展模式与中国城市增长</w:t>
      </w:r>
    </w:p>
    <w:p>
      <w:pPr>
        <w:jc w:val="center"/>
        <w:rPr>
          <w:rFonts w:ascii="仿宋" w:hAnsi="仿宋" w:cs="仿宋"/>
          <w:bCs/>
          <w:sz w:val="28"/>
          <w:szCs w:val="28"/>
        </w:rPr>
      </w:pPr>
      <w:r>
        <w:rPr>
          <w:rFonts w:hint="eastAsia" w:ascii="仿宋" w:hAnsi="仿宋" w:cs="仿宋"/>
          <w:bCs/>
          <w:sz w:val="28"/>
          <w:szCs w:val="28"/>
        </w:rPr>
        <w:t>——基于几何形态视角的考察</w:t>
      </w:r>
    </w:p>
    <w:p/>
    <w:p>
      <w:pPr>
        <w:jc w:val="center"/>
        <w:rPr>
          <w:rFonts w:ascii="楷体" w:hAnsi="楷体" w:eastAsia="楷体" w:cs="楷体"/>
          <w:sz w:val="28"/>
          <w:szCs w:val="36"/>
        </w:rPr>
      </w:pPr>
      <w:r>
        <w:rPr>
          <w:rFonts w:hint="eastAsia" w:ascii="楷体" w:hAnsi="楷体" w:eastAsia="楷体" w:cs="楷体"/>
          <w:sz w:val="28"/>
          <w:szCs w:val="36"/>
        </w:rPr>
        <w:t>王峤 刘修岩</w:t>
      </w:r>
    </w:p>
    <w:p>
      <w:pPr>
        <w:pStyle w:val="23"/>
        <w:jc w:val="center"/>
        <w:rPr>
          <w:rFonts w:ascii="仿宋" w:hAnsi="仿宋" w:eastAsia="仿宋" w:cs="仿宋"/>
          <w:b/>
          <w:bCs/>
          <w:sz w:val="28"/>
          <w:szCs w:val="28"/>
        </w:rPr>
      </w:pPr>
      <w:r>
        <w:rPr>
          <w:rFonts w:hint="eastAsia" w:ascii="仿宋" w:hAnsi="仿宋" w:eastAsia="仿宋" w:cs="仿宋"/>
          <w:b/>
          <w:bCs/>
          <w:color w:val="auto"/>
          <w:kern w:val="2"/>
          <w:sz w:val="28"/>
          <w:szCs w:val="28"/>
        </w:rPr>
        <w:t>目录</w:t>
      </w:r>
    </w:p>
    <w:sdt>
      <w:sdtPr>
        <w:rPr>
          <w:rFonts w:asciiTheme="minorHAnsi" w:hAnsiTheme="minorHAnsi" w:eastAsiaTheme="minorEastAsia" w:cstheme="minorBidi"/>
          <w:color w:val="auto"/>
          <w:kern w:val="2"/>
          <w:sz w:val="21"/>
          <w:szCs w:val="22"/>
          <w:lang w:val="zh-CN"/>
        </w:rPr>
        <w:id w:val="-534345100"/>
        <w:docPartObj>
          <w:docPartGallery w:val="Table of Contents"/>
          <w:docPartUnique/>
        </w:docPartObj>
      </w:sdtPr>
      <w:sdtEndPr>
        <w:rPr>
          <w:rFonts w:asciiTheme="minorHAnsi" w:hAnsiTheme="minorHAnsi" w:eastAsiaTheme="minorEastAsia" w:cstheme="minorBidi"/>
          <w:b/>
          <w:bCs/>
          <w:color w:val="auto"/>
          <w:kern w:val="2"/>
          <w:sz w:val="21"/>
          <w:szCs w:val="22"/>
          <w:lang w:val="zh-CN"/>
        </w:rPr>
      </w:sdtEndPr>
      <w:sdtContent>
        <w:p>
          <w:pPr>
            <w:pStyle w:val="23"/>
          </w:pPr>
        </w:p>
        <w:p>
          <w:pPr>
            <w:pStyle w:val="9"/>
            <w:tabs>
              <w:tab w:val="right" w:leader="dot" w:pos="8296"/>
            </w:tabs>
            <w:rPr>
              <w:rFonts w:ascii="仿宋" w:hAnsi="仿宋" w:cs="仿宋"/>
              <w:kern w:val="2"/>
              <w:szCs w:val="22"/>
              <w14:ligatures w14:val="standardContextual"/>
            </w:rPr>
          </w:pPr>
          <w:r>
            <w:rPr>
              <w:rFonts w:hint="eastAsia" w:ascii="仿宋" w:hAnsi="仿宋" w:cs="仿宋"/>
              <w:szCs w:val="22"/>
            </w:rPr>
            <w:fldChar w:fldCharType="begin"/>
          </w:r>
          <w:r>
            <w:rPr>
              <w:rFonts w:hint="eastAsia" w:ascii="仿宋" w:hAnsi="仿宋" w:cs="仿宋"/>
              <w:szCs w:val="22"/>
            </w:rPr>
            <w:instrText xml:space="preserve"> TOC \o "1-3" \h \z \u </w:instrText>
          </w:r>
          <w:r>
            <w:rPr>
              <w:rFonts w:hint="eastAsia" w:ascii="仿宋" w:hAnsi="仿宋" w:cs="仿宋"/>
              <w:szCs w:val="22"/>
            </w:rPr>
            <w:fldChar w:fldCharType="separate"/>
          </w:r>
          <w:r>
            <w:fldChar w:fldCharType="begin"/>
          </w:r>
          <w:r>
            <w:instrText xml:space="preserve"> HYPERLINK \l "_Toc159314266" </w:instrText>
          </w:r>
          <w:r>
            <w:fldChar w:fldCharType="separate"/>
          </w:r>
          <w:r>
            <w:rPr>
              <w:rStyle w:val="14"/>
              <w:rFonts w:hint="eastAsia" w:ascii="仿宋" w:hAnsi="仿宋" w:cs="仿宋"/>
              <w:szCs w:val="22"/>
            </w:rPr>
            <w:t>附录Ⅰ 文献综述补充</w:t>
          </w:r>
          <w:r>
            <w:rPr>
              <w:rFonts w:hint="eastAsia" w:ascii="仿宋" w:hAnsi="仿宋" w:cs="仿宋"/>
              <w:szCs w:val="22"/>
            </w:rPr>
            <w:tab/>
          </w:r>
          <w:r>
            <w:rPr>
              <w:rFonts w:hint="eastAsia" w:ascii="仿宋" w:hAnsi="仿宋" w:cs="仿宋"/>
              <w:szCs w:val="22"/>
            </w:rPr>
            <w:t>1</w:t>
          </w:r>
          <w:r>
            <w:rPr>
              <w:rFonts w:hint="eastAsia" w:ascii="仿宋" w:hAnsi="仿宋" w:cs="仿宋"/>
              <w:szCs w:val="22"/>
            </w:rPr>
            <w:fldChar w:fldCharType="end"/>
          </w:r>
        </w:p>
        <w:p>
          <w:pPr>
            <w:pStyle w:val="9"/>
            <w:tabs>
              <w:tab w:val="right" w:leader="dot" w:pos="8296"/>
            </w:tabs>
            <w:rPr>
              <w:rFonts w:ascii="仿宋" w:hAnsi="仿宋" w:cs="仿宋"/>
              <w:kern w:val="2"/>
              <w:szCs w:val="22"/>
              <w14:ligatures w14:val="standardContextual"/>
            </w:rPr>
          </w:pPr>
          <w:r>
            <w:fldChar w:fldCharType="begin"/>
          </w:r>
          <w:r>
            <w:instrText xml:space="preserve"> HYPERLINK \l "_Toc159314267" </w:instrText>
          </w:r>
          <w:r>
            <w:fldChar w:fldCharType="separate"/>
          </w:r>
          <w:r>
            <w:rPr>
              <w:rStyle w:val="14"/>
              <w:rFonts w:hint="eastAsia" w:ascii="仿宋" w:hAnsi="仿宋" w:cs="仿宋"/>
              <w:szCs w:val="22"/>
            </w:rPr>
            <w:t>附录Ⅱ 实证内容补充</w:t>
          </w:r>
          <w:r>
            <w:rPr>
              <w:rFonts w:hint="eastAsia" w:ascii="仿宋" w:hAnsi="仿宋" w:cs="仿宋"/>
              <w:szCs w:val="22"/>
            </w:rPr>
            <w:tab/>
          </w:r>
          <w:r>
            <w:rPr>
              <w:rFonts w:hint="eastAsia" w:ascii="仿宋" w:hAnsi="仿宋" w:cs="仿宋"/>
              <w:szCs w:val="22"/>
            </w:rPr>
            <w:t>3</w:t>
          </w:r>
          <w:r>
            <w:rPr>
              <w:rFonts w:hint="eastAsia" w:ascii="仿宋" w:hAnsi="仿宋" w:cs="仿宋"/>
              <w:szCs w:val="22"/>
            </w:rPr>
            <w:fldChar w:fldCharType="end"/>
          </w:r>
        </w:p>
        <w:p>
          <w:r>
            <w:rPr>
              <w:rFonts w:hint="eastAsia" w:ascii="仿宋" w:hAnsi="仿宋" w:cs="仿宋"/>
              <w:b/>
              <w:bCs/>
              <w:sz w:val="22"/>
              <w:szCs w:val="22"/>
              <w:lang w:val="zh-CN"/>
            </w:rPr>
            <w:fldChar w:fldCharType="end"/>
          </w:r>
        </w:p>
      </w:sdtContent>
    </w:sdt>
    <w:p>
      <w:pPr>
        <w:pStyle w:val="2"/>
        <w:spacing w:line="240" w:lineRule="auto"/>
        <w:rPr>
          <w:rFonts w:ascii="楷体" w:hAnsi="楷体" w:eastAsia="楷体"/>
          <w:b w:val="0"/>
          <w:bCs w:val="0"/>
          <w:sz w:val="24"/>
          <w:szCs w:val="24"/>
        </w:rPr>
        <w:sectPr>
          <w:headerReference r:id="rId4" w:type="default"/>
          <w:pgSz w:w="11906" w:h="16838"/>
          <w:pgMar w:top="1440" w:right="1800" w:bottom="1440" w:left="1800" w:header="851" w:footer="992" w:gutter="0"/>
          <w:cols w:space="425" w:num="1"/>
          <w:docGrid w:type="lines" w:linePitch="312" w:charSpace="0"/>
        </w:sectPr>
      </w:pPr>
    </w:p>
    <w:p>
      <w:pPr>
        <w:pStyle w:val="3"/>
        <w:spacing w:before="312" w:after="312"/>
        <w:jc w:val="center"/>
        <w:rPr>
          <w:rFonts w:ascii="楷体" w:hAnsi="楷体" w:cs="楷体"/>
          <w:color w:val="000000" w:themeColor="text1"/>
          <w14:textFill>
            <w14:solidFill>
              <w14:schemeClr w14:val="tx1"/>
            </w14:solidFill>
          </w14:textFill>
        </w:rPr>
      </w:pPr>
      <w:bookmarkStart w:id="0" w:name="_Toc155566164"/>
      <w:r>
        <w:rPr>
          <w:rFonts w:hint="eastAsia" w:ascii="楷体" w:hAnsi="楷体" w:cs="楷体"/>
          <w:color w:val="000000" w:themeColor="text1"/>
          <w14:textFill>
            <w14:solidFill>
              <w14:schemeClr w14:val="tx1"/>
            </w14:solidFill>
          </w14:textFill>
        </w:rPr>
        <w:t>附录 I 文献综述补充</w:t>
      </w:r>
      <w:bookmarkEnd w:id="0"/>
    </w:p>
    <w:p>
      <w:pPr>
        <w:ind w:firstLine="420" w:firstLineChars="200"/>
        <w:jc w:val="both"/>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纵观现有文献，研究的侧重</w:t>
      </w:r>
      <w:r>
        <w:rPr>
          <w:rFonts w:hint="eastAsia" w:cs="Times New Roman"/>
          <w:color w:val="000000" w:themeColor="text1"/>
          <w14:textFill>
            <w14:solidFill>
              <w14:schemeClr w14:val="tx1"/>
            </w14:solidFill>
          </w14:textFill>
        </w:rPr>
        <w:t>点</w:t>
      </w:r>
      <w:r>
        <w:rPr>
          <w:rFonts w:cs="Times New Roman"/>
          <w:color w:val="000000" w:themeColor="text1"/>
          <w14:textFill>
            <w14:solidFill>
              <w14:schemeClr w14:val="tx1"/>
            </w14:solidFill>
          </w14:textFill>
        </w:rPr>
        <w:t>依然是围绕城市</w:t>
      </w:r>
      <w:r>
        <w:rPr>
          <w:rFonts w:hint="eastAsia" w:cs="Times New Roman"/>
          <w:color w:val="000000" w:themeColor="text1"/>
          <w14:textFill>
            <w14:solidFill>
              <w14:schemeClr w14:val="tx1"/>
            </w14:solidFill>
          </w14:textFill>
        </w:rPr>
        <w:t>空间结构、形态等空间发展模式</w:t>
      </w:r>
      <w:r>
        <w:rPr>
          <w:rFonts w:cs="Times New Roman"/>
          <w:color w:val="000000" w:themeColor="text1"/>
          <w14:textFill>
            <w14:solidFill>
              <w14:schemeClr w14:val="tx1"/>
            </w14:solidFill>
          </w14:textFill>
        </w:rPr>
        <w:t>与城市增长相关话题</w:t>
      </w:r>
      <w:r>
        <w:rPr>
          <w:rFonts w:hint="eastAsia" w:cs="Times New Roman"/>
          <w:color w:val="000000" w:themeColor="text1"/>
          <w14:textFill>
            <w14:solidFill>
              <w14:schemeClr w14:val="tx1"/>
            </w14:solidFill>
          </w14:textFill>
        </w:rPr>
        <w:t>而</w:t>
      </w:r>
      <w:r>
        <w:rPr>
          <w:rFonts w:cs="Times New Roman"/>
          <w:color w:val="000000" w:themeColor="text1"/>
          <w14:textFill>
            <w14:solidFill>
              <w14:schemeClr w14:val="tx1"/>
            </w14:solidFill>
          </w14:textFill>
        </w:rPr>
        <w:t>展开</w:t>
      </w:r>
      <w:r>
        <w:rPr>
          <w:rFonts w:hint="eastAsia" w:cs="Times New Roman"/>
          <w:color w:val="000000" w:themeColor="text1"/>
          <w14:textFill>
            <w14:solidFill>
              <w14:schemeClr w14:val="tx1"/>
            </w14:solidFill>
          </w14:textFill>
        </w:rPr>
        <w:t>。已有</w:t>
      </w:r>
      <w:r>
        <w:rPr>
          <w:rFonts w:cs="Times New Roman"/>
          <w:color w:val="000000" w:themeColor="text1"/>
          <w14:textFill>
            <w14:solidFill>
              <w14:schemeClr w14:val="tx1"/>
            </w14:solidFill>
          </w14:textFill>
        </w:rPr>
        <w:t>学者</w:t>
      </w:r>
      <w:r>
        <w:rPr>
          <w:rFonts w:hint="eastAsia" w:cs="Times New Roman"/>
          <w:color w:val="000000" w:themeColor="text1"/>
          <w14:textFill>
            <w14:solidFill>
              <w14:schemeClr w14:val="tx1"/>
            </w14:solidFill>
          </w14:textFill>
        </w:rPr>
        <w:t>针对</w:t>
      </w:r>
      <w:r>
        <w:rPr>
          <w:rFonts w:cs="Times New Roman"/>
          <w:color w:val="000000" w:themeColor="text1"/>
          <w14:textFill>
            <w14:solidFill>
              <w14:schemeClr w14:val="tx1"/>
            </w14:solidFill>
          </w14:textFill>
        </w:rPr>
        <w:t>城市中心分布、城市集中/分散化、城市密度等空间</w:t>
      </w:r>
      <w:r>
        <w:rPr>
          <w:rFonts w:hint="eastAsia" w:cs="Times New Roman"/>
          <w:color w:val="000000" w:themeColor="text1"/>
          <w14:textFill>
            <w14:solidFill>
              <w14:schemeClr w14:val="tx1"/>
            </w14:solidFill>
          </w14:textFill>
        </w:rPr>
        <w:t>结构特征</w:t>
      </w:r>
      <w:r>
        <w:rPr>
          <w:rFonts w:cs="Times New Roman"/>
          <w:color w:val="000000" w:themeColor="text1"/>
          <w14:textFill>
            <w14:solidFill>
              <w14:schemeClr w14:val="tx1"/>
            </w14:solidFill>
          </w14:textFill>
        </w:rPr>
        <w:t>变异对城市</w:t>
      </w:r>
      <w:r>
        <w:rPr>
          <w:rFonts w:hint="eastAsia" w:cs="Times New Roman"/>
          <w:color w:val="000000" w:themeColor="text1"/>
          <w14:textFill>
            <w14:solidFill>
              <w14:schemeClr w14:val="tx1"/>
            </w14:solidFill>
          </w14:textFill>
        </w:rPr>
        <w:t>经济绩效的</w:t>
      </w:r>
      <w:r>
        <w:rPr>
          <w:rFonts w:cs="Times New Roman"/>
          <w:color w:val="000000" w:themeColor="text1"/>
          <w14:textFill>
            <w14:solidFill>
              <w14:schemeClr w14:val="tx1"/>
            </w14:solidFill>
          </w14:textFill>
        </w:rPr>
        <w:t>影响</w:t>
      </w:r>
      <w:r>
        <w:rPr>
          <w:rFonts w:hint="eastAsia" w:cs="Times New Roman"/>
          <w:color w:val="000000" w:themeColor="text1"/>
          <w14:textFill>
            <w14:solidFill>
              <w14:schemeClr w14:val="tx1"/>
            </w14:solidFill>
          </w14:textFill>
        </w:rPr>
        <w:t>进行了较为深入的分析</w:t>
      </w:r>
      <w:r>
        <w:rPr>
          <w:rFonts w:cs="Times New Roman"/>
          <w:color w:val="000000" w:themeColor="text1"/>
          <w14:textFill>
            <w14:solidFill>
              <w14:schemeClr w14:val="tx1"/>
            </w14:solidFill>
          </w14:textFill>
        </w:rPr>
        <w:t>。</w:t>
      </w:r>
    </w:p>
    <w:p>
      <w:pPr>
        <w:ind w:firstLine="420" w:firstLineChars="200"/>
        <w:jc w:val="both"/>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关于</w:t>
      </w:r>
      <w:r>
        <w:rPr>
          <w:rFonts w:cs="Times New Roman"/>
          <w:color w:val="000000" w:themeColor="text1"/>
          <w14:textFill>
            <w14:solidFill>
              <w14:schemeClr w14:val="tx1"/>
            </w14:solidFill>
          </w14:textFill>
        </w:rPr>
        <w:t>城市内部的中心分布问题，一部分城市经济与规划学者认为城市不断孕育次中心可以刺激城市内部的集聚经济且缓解城市拥堵等负外部性（Fujita</w:t>
      </w:r>
      <w:r>
        <w:rPr>
          <w:rFonts w:hint="eastAsia" w:cs="Times New Roman"/>
          <w:color w:val="000000" w:themeColor="text1"/>
          <w14:textFill>
            <w14:solidFill>
              <w14:schemeClr w14:val="tx1"/>
            </w14:solidFill>
          </w14:textFill>
        </w:rPr>
        <w:t xml:space="preserve"> </w:t>
      </w:r>
      <w:r>
        <w:rPr>
          <w:rFonts w:cs="Times New Roman"/>
          <w:color w:val="000000" w:themeColor="text1"/>
          <w14:textFill>
            <w14:solidFill>
              <w14:schemeClr w14:val="tx1"/>
            </w14:solidFill>
          </w14:textFill>
        </w:rPr>
        <w:t>and</w:t>
      </w:r>
      <w:r>
        <w:rPr>
          <w:rFonts w:hint="eastAsia" w:cs="Times New Roman"/>
          <w:color w:val="000000" w:themeColor="text1"/>
          <w14:textFill>
            <w14:solidFill>
              <w14:schemeClr w14:val="tx1"/>
            </w14:solidFill>
          </w14:textFill>
        </w:rPr>
        <w:t xml:space="preserve"> </w:t>
      </w:r>
      <w:r>
        <w:rPr>
          <w:rFonts w:cs="Times New Roman"/>
          <w:color w:val="000000" w:themeColor="text1"/>
          <w14:textFill>
            <w14:solidFill>
              <w14:schemeClr w14:val="tx1"/>
            </w14:solidFill>
          </w14:textFill>
        </w:rPr>
        <w:t>Thisse，2002；Krugman，1991；Sun</w:t>
      </w:r>
      <w:r>
        <w:rPr>
          <w:rFonts w:hint="eastAsia" w:cs="Times New Roman"/>
          <w:color w:val="000000" w:themeColor="text1"/>
          <w14:textFill>
            <w14:solidFill>
              <w14:schemeClr w14:val="tx1"/>
            </w14:solidFill>
          </w14:textFill>
        </w:rPr>
        <w:t xml:space="preserve"> </w:t>
      </w:r>
      <w:r>
        <w:rPr>
          <w:rFonts w:cs="Times New Roman"/>
          <w:color w:val="000000" w:themeColor="text1"/>
          <w14:textFill>
            <w14:solidFill>
              <w14:schemeClr w14:val="tx1"/>
            </w14:solidFill>
          </w14:textFill>
        </w:rPr>
        <w:t>et</w:t>
      </w:r>
      <w:r>
        <w:rPr>
          <w:rFonts w:hint="eastAsia" w:cs="Times New Roman"/>
          <w:color w:val="000000" w:themeColor="text1"/>
          <w14:textFill>
            <w14:solidFill>
              <w14:schemeClr w14:val="tx1"/>
            </w14:solidFill>
          </w14:textFill>
        </w:rPr>
        <w:t xml:space="preserve"> </w:t>
      </w:r>
      <w:r>
        <w:rPr>
          <w:rFonts w:cs="Times New Roman"/>
          <w:color w:val="000000" w:themeColor="text1"/>
          <w14:textFill>
            <w14:solidFill>
              <w14:schemeClr w14:val="tx1"/>
            </w14:solidFill>
          </w14:textFill>
        </w:rPr>
        <w:t>al.，2016</w:t>
      </w:r>
      <w:r>
        <w:rPr>
          <w:rFonts w:hint="eastAsia" w:cs="Times New Roman"/>
          <w:color w:val="000000" w:themeColor="text1"/>
          <w14:textFill>
            <w14:solidFill>
              <w14:schemeClr w14:val="tx1"/>
            </w14:solidFill>
          </w14:textFill>
        </w:rPr>
        <w:t>；华杰媛和孙斌栋，2</w:t>
      </w:r>
      <w:r>
        <w:rPr>
          <w:rFonts w:cs="Times New Roman"/>
          <w:color w:val="000000" w:themeColor="text1"/>
          <w14:textFill>
            <w14:solidFill>
              <w14:schemeClr w14:val="tx1"/>
            </w14:solidFill>
          </w14:textFill>
        </w:rPr>
        <w:t>015</w:t>
      </w:r>
      <w:r>
        <w:rPr>
          <w:rFonts w:hint="eastAsia" w:cs="Times New Roman"/>
          <w:color w:val="000000" w:themeColor="text1"/>
          <w14:textFill>
            <w14:solidFill>
              <w14:schemeClr w14:val="tx1"/>
            </w14:solidFill>
          </w14:textFill>
        </w:rPr>
        <w:t>；孙斌栋等，2</w:t>
      </w:r>
      <w:r>
        <w:rPr>
          <w:rFonts w:cs="Times New Roman"/>
          <w:color w:val="000000" w:themeColor="text1"/>
          <w14:textFill>
            <w14:solidFill>
              <w14:schemeClr w14:val="tx1"/>
            </w14:solidFill>
          </w14:textFill>
        </w:rPr>
        <w:t>015）</w:t>
      </w:r>
      <w:r>
        <w:rPr>
          <w:rFonts w:hint="eastAsia" w:cs="Times New Roman"/>
          <w:color w:val="000000" w:themeColor="text1"/>
          <w14:textFill>
            <w14:solidFill>
              <w14:schemeClr w14:val="tx1"/>
            </w14:solidFill>
          </w14:textFill>
        </w:rPr>
        <w:t>。</w:t>
      </w:r>
      <w:r>
        <w:rPr>
          <w:rFonts w:cs="Times New Roman"/>
          <w:color w:val="000000" w:themeColor="text1"/>
          <w14:textFill>
            <w14:solidFill>
              <w14:schemeClr w14:val="tx1"/>
            </w14:solidFill>
          </w14:textFill>
        </w:rPr>
        <w:t>这一支文献强调城市内部多中心可以通过降低城市内部的</w:t>
      </w:r>
      <w:r>
        <w:rPr>
          <w:rFonts w:hint="eastAsia" w:cs="Times New Roman"/>
          <w:color w:val="000000" w:themeColor="text1"/>
          <w14:textFill>
            <w14:solidFill>
              <w14:schemeClr w14:val="tx1"/>
            </w14:solidFill>
          </w14:textFill>
        </w:rPr>
        <w:t>通勤</w:t>
      </w:r>
      <w:r>
        <w:rPr>
          <w:rFonts w:cs="Times New Roman"/>
          <w:color w:val="000000" w:themeColor="text1"/>
          <w14:textFill>
            <w14:solidFill>
              <w14:schemeClr w14:val="tx1"/>
            </w14:solidFill>
          </w14:textFill>
        </w:rPr>
        <w:t>成本（如</w:t>
      </w:r>
      <w:r>
        <w:rPr>
          <w:rFonts w:hint="eastAsia" w:cs="Times New Roman"/>
          <w:color w:val="000000" w:themeColor="text1"/>
          <w14:textFill>
            <w14:solidFill>
              <w14:schemeClr w14:val="tx1"/>
            </w14:solidFill>
          </w14:textFill>
        </w:rPr>
        <w:t>避免</w:t>
      </w:r>
      <w:r>
        <w:rPr>
          <w:rFonts w:cs="Times New Roman"/>
          <w:color w:val="000000" w:themeColor="text1"/>
          <w14:textFill>
            <w14:solidFill>
              <w14:schemeClr w14:val="tx1"/>
            </w14:solidFill>
          </w14:textFill>
        </w:rPr>
        <w:t>交通拥堵）及</w:t>
      </w:r>
      <w:r>
        <w:rPr>
          <w:rFonts w:hint="eastAsia" w:cs="Times New Roman"/>
          <w:color w:val="000000" w:themeColor="text1"/>
          <w14:textFill>
            <w14:solidFill>
              <w14:schemeClr w14:val="tx1"/>
            </w14:solidFill>
          </w14:textFill>
        </w:rPr>
        <w:t>促进</w:t>
      </w:r>
      <w:r>
        <w:rPr>
          <w:rFonts w:cs="Times New Roman"/>
          <w:color w:val="000000" w:themeColor="text1"/>
          <w14:textFill>
            <w14:solidFill>
              <w14:schemeClr w14:val="tx1"/>
            </w14:solidFill>
          </w14:textFill>
        </w:rPr>
        <w:t>次中心之间“借用”规模来刺激城市集聚经济。Li</w:t>
      </w:r>
      <w:r>
        <w:rPr>
          <w:rFonts w:hint="eastAsia" w:cs="Times New Roman"/>
          <w:color w:val="000000" w:themeColor="text1"/>
          <w14:textFill>
            <w14:solidFill>
              <w14:schemeClr w14:val="tx1"/>
            </w14:solidFill>
          </w14:textFill>
        </w:rPr>
        <w:t xml:space="preserve"> </w:t>
      </w:r>
      <w:r>
        <w:rPr>
          <w:rFonts w:cs="Times New Roman"/>
          <w:color w:val="000000" w:themeColor="text1"/>
          <w14:textFill>
            <w14:solidFill>
              <w14:schemeClr w14:val="tx1"/>
            </w14:solidFill>
          </w14:textFill>
        </w:rPr>
        <w:t>et</w:t>
      </w:r>
      <w:r>
        <w:rPr>
          <w:rFonts w:hint="eastAsia" w:cs="Times New Roman"/>
          <w:color w:val="000000" w:themeColor="text1"/>
          <w14:textFill>
            <w14:solidFill>
              <w14:schemeClr w14:val="tx1"/>
            </w14:solidFill>
          </w14:textFill>
        </w:rPr>
        <w:t xml:space="preserve"> </w:t>
      </w:r>
      <w:r>
        <w:rPr>
          <w:rFonts w:cs="Times New Roman"/>
          <w:color w:val="000000" w:themeColor="text1"/>
          <w14:textFill>
            <w14:solidFill>
              <w14:schemeClr w14:val="tx1"/>
            </w14:solidFill>
          </w14:textFill>
        </w:rPr>
        <w:t>al.（2019）通过</w:t>
      </w:r>
      <w:r>
        <w:rPr>
          <w:rFonts w:hint="eastAsia" w:cs="Times New Roman"/>
          <w:color w:val="000000" w:themeColor="text1"/>
          <w14:textFill>
            <w14:solidFill>
              <w14:schemeClr w14:val="tx1"/>
            </w14:solidFill>
          </w14:textFill>
        </w:rPr>
        <w:t>识别</w:t>
      </w:r>
      <w:r>
        <w:rPr>
          <w:rFonts w:cs="Times New Roman"/>
          <w:color w:val="000000" w:themeColor="text1"/>
          <w14:textFill>
            <w14:solidFill>
              <w14:schemeClr w14:val="tx1"/>
            </w14:solidFill>
          </w14:textFill>
        </w:rPr>
        <w:t>城市内部的各人口中心构造</w:t>
      </w:r>
      <w:r>
        <w:rPr>
          <w:rFonts w:hint="eastAsia" w:cs="Times New Roman"/>
          <w:color w:val="000000" w:themeColor="text1"/>
          <w14:textFill>
            <w14:solidFill>
              <w14:schemeClr w14:val="tx1"/>
            </w14:solidFill>
          </w14:textFill>
        </w:rPr>
        <w:t>了</w:t>
      </w:r>
      <w:r>
        <w:rPr>
          <w:rFonts w:cs="Times New Roman"/>
          <w:color w:val="000000" w:themeColor="text1"/>
          <w14:textFill>
            <w14:solidFill>
              <w14:schemeClr w14:val="tx1"/>
            </w14:solidFill>
          </w14:textFill>
        </w:rPr>
        <w:t>城市多中心</w:t>
      </w:r>
      <w:r>
        <w:rPr>
          <w:rFonts w:hint="eastAsia" w:cs="Times New Roman"/>
          <w:color w:val="000000" w:themeColor="text1"/>
          <w14:textFill>
            <w14:solidFill>
              <w14:schemeClr w14:val="tx1"/>
            </w14:solidFill>
          </w14:textFill>
        </w:rPr>
        <w:t>指标</w:t>
      </w:r>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进而</w:t>
      </w:r>
      <w:r>
        <w:rPr>
          <w:rFonts w:cs="Times New Roman"/>
          <w:color w:val="000000" w:themeColor="text1"/>
          <w14:textFill>
            <w14:solidFill>
              <w14:schemeClr w14:val="tx1"/>
            </w14:solidFill>
          </w14:textFill>
        </w:rPr>
        <w:t>研究其对城市交通拥堵的影响，发现适当的多中心</w:t>
      </w:r>
      <w:r>
        <w:rPr>
          <w:rFonts w:hint="eastAsia" w:cs="Times New Roman"/>
          <w:color w:val="000000" w:themeColor="text1"/>
          <w14:textFill>
            <w14:solidFill>
              <w14:schemeClr w14:val="tx1"/>
            </w14:solidFill>
          </w14:textFill>
        </w:rPr>
        <w:t>对于</w:t>
      </w:r>
      <w:r>
        <w:rPr>
          <w:rFonts w:cs="Times New Roman"/>
          <w:color w:val="000000" w:themeColor="text1"/>
          <w14:textFill>
            <w14:solidFill>
              <w14:schemeClr w14:val="tx1"/>
            </w14:solidFill>
          </w14:textFill>
        </w:rPr>
        <w:t>缓解城市拥堵具有积极意义。虽然这些文献强调了多中心的积极意义，但他们都</w:t>
      </w:r>
      <w:r>
        <w:rPr>
          <w:rFonts w:hint="eastAsia" w:cs="Times New Roman"/>
          <w:color w:val="000000" w:themeColor="text1"/>
          <w14:textFill>
            <w14:solidFill>
              <w14:schemeClr w14:val="tx1"/>
            </w14:solidFill>
          </w14:textFill>
        </w:rPr>
        <w:t>坚持</w:t>
      </w:r>
      <w:r>
        <w:rPr>
          <w:rFonts w:cs="Times New Roman"/>
          <w:color w:val="000000" w:themeColor="text1"/>
          <w14:textFill>
            <w14:solidFill>
              <w14:schemeClr w14:val="tx1"/>
            </w14:solidFill>
          </w14:textFill>
        </w:rPr>
        <w:t>即使是多中心发展也需要紧凑均衡的分布</w:t>
      </w:r>
      <w:r>
        <w:rPr>
          <w:rFonts w:hint="eastAsia" w:cs="Times New Roman"/>
          <w:color w:val="000000" w:themeColor="text1"/>
          <w14:textFill>
            <w14:solidFill>
              <w14:schemeClr w14:val="tx1"/>
            </w14:solidFill>
          </w14:textFill>
        </w:rPr>
        <w:t>模式</w:t>
      </w:r>
      <w:r>
        <w:rPr>
          <w:rFonts w:cs="Times New Roman"/>
          <w:color w:val="000000" w:themeColor="text1"/>
          <w14:textFill>
            <w14:solidFill>
              <w14:schemeClr w14:val="tx1"/>
            </w14:solidFill>
          </w14:textFill>
        </w:rPr>
        <w:t>才能</w:t>
      </w:r>
      <w:r>
        <w:rPr>
          <w:rFonts w:hint="eastAsia" w:cs="Times New Roman"/>
          <w:color w:val="000000" w:themeColor="text1"/>
          <w14:textFill>
            <w14:solidFill>
              <w14:schemeClr w14:val="tx1"/>
            </w14:solidFill>
          </w14:textFill>
        </w:rPr>
        <w:t>有利于集聚经济的发挥</w:t>
      </w:r>
      <w:r>
        <w:rPr>
          <w:rFonts w:cs="Times New Roman"/>
          <w:color w:val="000000" w:themeColor="text1"/>
          <w14:textFill>
            <w14:solidFill>
              <w14:schemeClr w14:val="tx1"/>
            </w14:solidFill>
          </w14:textFill>
        </w:rPr>
        <w:t>。另一部分研究则认为多中心</w:t>
      </w:r>
      <w:r>
        <w:rPr>
          <w:rFonts w:hint="eastAsia" w:cs="Times New Roman"/>
          <w:color w:val="000000" w:themeColor="text1"/>
          <w14:textFill>
            <w14:solidFill>
              <w14:schemeClr w14:val="tx1"/>
            </w14:solidFill>
          </w14:textFill>
        </w:rPr>
        <w:t>反映了</w:t>
      </w:r>
      <w:r>
        <w:rPr>
          <w:rFonts w:cs="Times New Roman"/>
          <w:color w:val="000000" w:themeColor="text1"/>
          <w14:textFill>
            <w14:solidFill>
              <w14:schemeClr w14:val="tx1"/>
            </w14:solidFill>
          </w14:textFill>
        </w:rPr>
        <w:t>城市分散化的特征，强调多中心分散化趋势会增加城市内部的通勤距离、稀释城市密度，进而对城市内部的集聚经济造成损害，最终不利于城市发展（Giuliano and Small，1991；Meeteren et al.，2016；Zhang et al.，2017</w:t>
      </w:r>
      <w:r>
        <w:rPr>
          <w:rFonts w:hint="eastAsia" w:cs="Times New Roman"/>
          <w:color w:val="000000" w:themeColor="text1"/>
          <w14:textFill>
            <w14:solidFill>
              <w14:schemeClr w14:val="tx1"/>
            </w14:solidFill>
          </w14:textFill>
        </w:rPr>
        <w:t>；刘修岩等，2</w:t>
      </w:r>
      <w:r>
        <w:rPr>
          <w:rFonts w:cs="Times New Roman"/>
          <w:color w:val="000000" w:themeColor="text1"/>
          <w14:textFill>
            <w14:solidFill>
              <w14:schemeClr w14:val="tx1"/>
            </w14:solidFill>
          </w14:textFill>
        </w:rPr>
        <w:t>017）。Li and Liu（2018）利用LandScan人口分布数据识别</w:t>
      </w:r>
      <w:r>
        <w:rPr>
          <w:rFonts w:hint="eastAsia" w:cs="Times New Roman"/>
          <w:color w:val="000000" w:themeColor="text1"/>
          <w14:textFill>
            <w14:solidFill>
              <w14:schemeClr w14:val="tx1"/>
            </w14:solidFill>
          </w14:textFill>
        </w:rPr>
        <w:t>中国</w:t>
      </w:r>
      <w:r>
        <w:rPr>
          <w:rFonts w:cs="Times New Roman"/>
          <w:color w:val="000000" w:themeColor="text1"/>
          <w14:textFill>
            <w14:solidFill>
              <w14:schemeClr w14:val="tx1"/>
            </w14:solidFill>
          </w14:textFill>
        </w:rPr>
        <w:t>城市中心并测度了城市单中心程度以</w:t>
      </w:r>
      <w:r>
        <w:rPr>
          <w:rFonts w:hint="eastAsia" w:cs="Times New Roman"/>
          <w:color w:val="000000" w:themeColor="text1"/>
          <w14:textFill>
            <w14:solidFill>
              <w14:schemeClr w14:val="tx1"/>
            </w14:solidFill>
          </w14:textFill>
        </w:rPr>
        <w:t>考察</w:t>
      </w:r>
      <w:r>
        <w:rPr>
          <w:rFonts w:cs="Times New Roman"/>
          <w:color w:val="000000" w:themeColor="text1"/>
          <w14:textFill>
            <w14:solidFill>
              <w14:schemeClr w14:val="tx1"/>
            </w14:solidFill>
          </w14:textFill>
        </w:rPr>
        <w:t>城市单/多中心变异对经济效率的影响，发现单中心的空间发展模式才能凝聚集聚外部性</w:t>
      </w:r>
      <w:r>
        <w:rPr>
          <w:rFonts w:hint="eastAsia" w:cs="Times New Roman"/>
          <w:color w:val="000000" w:themeColor="text1"/>
          <w14:textFill>
            <w14:solidFill>
              <w14:schemeClr w14:val="tx1"/>
            </w14:solidFill>
          </w14:textFill>
        </w:rPr>
        <w:t>；</w:t>
      </w:r>
      <w:r>
        <w:rPr>
          <w:rFonts w:cs="Times New Roman"/>
          <w:color w:val="000000" w:themeColor="text1"/>
          <w14:textFill>
            <w14:solidFill>
              <w14:schemeClr w14:val="tx1"/>
            </w14:solidFill>
          </w14:textFill>
        </w:rPr>
        <w:t>Li</w:t>
      </w:r>
      <w:r>
        <w:rPr>
          <w:rFonts w:hint="eastAsia" w:cs="Times New Roman"/>
          <w:color w:val="000000" w:themeColor="text1"/>
          <w14:textFill>
            <w14:solidFill>
              <w14:schemeClr w14:val="tx1"/>
            </w14:solidFill>
          </w14:textFill>
        </w:rPr>
        <w:t xml:space="preserve"> </w:t>
      </w:r>
      <w:r>
        <w:rPr>
          <w:rFonts w:cs="Times New Roman"/>
          <w:color w:val="000000" w:themeColor="text1"/>
          <w14:textFill>
            <w14:solidFill>
              <w14:schemeClr w14:val="tx1"/>
            </w14:solidFill>
          </w14:textFill>
        </w:rPr>
        <w:t>et</w:t>
      </w:r>
      <w:r>
        <w:rPr>
          <w:rFonts w:hint="eastAsia" w:cs="Times New Roman"/>
          <w:color w:val="000000" w:themeColor="text1"/>
          <w14:textFill>
            <w14:solidFill>
              <w14:schemeClr w14:val="tx1"/>
            </w14:solidFill>
          </w14:textFill>
        </w:rPr>
        <w:t xml:space="preserve"> </w:t>
      </w:r>
      <w:r>
        <w:rPr>
          <w:rFonts w:cs="Times New Roman"/>
          <w:color w:val="000000" w:themeColor="text1"/>
          <w14:textFill>
            <w14:solidFill>
              <w14:schemeClr w14:val="tx1"/>
            </w14:solidFill>
          </w14:textFill>
        </w:rPr>
        <w:t>al.（2019）通过测度单中心结构变异并捕捉其与城市劳动生产率之间的关系也得出了相似的结论</w:t>
      </w:r>
      <w:r>
        <w:rPr>
          <w:rFonts w:hint="eastAsia" w:cs="Times New Roman"/>
          <w:color w:val="000000" w:themeColor="text1"/>
          <w14:textFill>
            <w14:solidFill>
              <w14:schemeClr w14:val="tx1"/>
            </w14:solidFill>
          </w14:textFill>
        </w:rPr>
        <w:t>。基于中国的城市空间发展模式，王峤等（2021）则着重分析城市内部的中心分布如何影响创新，依然肯定了趋于集中化的单中心结构的积极意义。还有</w:t>
      </w:r>
      <w:r>
        <w:rPr>
          <w:rFonts w:cs="Times New Roman"/>
          <w:color w:val="000000" w:themeColor="text1"/>
          <w14:textFill>
            <w14:solidFill>
              <w14:schemeClr w14:val="tx1"/>
            </w14:solidFill>
          </w14:textFill>
        </w:rPr>
        <w:t>不少学者通过郊区化指数（Yang and Jargowsky，2006）、蔓延指数（Fallah et al.，2011</w:t>
      </w:r>
      <w:r>
        <w:rPr>
          <w:rFonts w:hint="eastAsia" w:cs="Times New Roman"/>
          <w:color w:val="000000" w:themeColor="text1"/>
          <w14:textFill>
            <w14:solidFill>
              <w14:schemeClr w14:val="tx1"/>
            </w14:solidFill>
          </w14:textFill>
        </w:rPr>
        <w:t>；秦蒙等，2</w:t>
      </w:r>
      <w:r>
        <w:rPr>
          <w:rFonts w:cs="Times New Roman"/>
          <w:color w:val="000000" w:themeColor="text1"/>
          <w14:textFill>
            <w14:solidFill>
              <w14:schemeClr w14:val="tx1"/>
            </w14:solidFill>
          </w14:textFill>
        </w:rPr>
        <w:t>019）等指标试图更为直接</w:t>
      </w:r>
      <w:r>
        <w:rPr>
          <w:rFonts w:hint="eastAsia" w:cs="Times New Roman"/>
          <w:color w:val="000000" w:themeColor="text1"/>
          <w14:textFill>
            <w14:solidFill>
              <w14:schemeClr w14:val="tx1"/>
            </w14:solidFill>
          </w14:textFill>
        </w:rPr>
        <w:t>地</w:t>
      </w:r>
      <w:r>
        <w:rPr>
          <w:rFonts w:cs="Times New Roman"/>
          <w:color w:val="000000" w:themeColor="text1"/>
          <w14:textFill>
            <w14:solidFill>
              <w14:schemeClr w14:val="tx1"/>
            </w14:solidFill>
          </w14:textFill>
        </w:rPr>
        <w:t>拟合城市集中/分散化趋势与经济绩效</w:t>
      </w:r>
      <w:r>
        <w:rPr>
          <w:rFonts w:hint="eastAsia" w:cs="Times New Roman"/>
          <w:color w:val="000000" w:themeColor="text1"/>
          <w14:textFill>
            <w14:solidFill>
              <w14:schemeClr w14:val="tx1"/>
            </w14:solidFill>
          </w14:textFill>
        </w:rPr>
        <w:t>的关系</w:t>
      </w:r>
      <w:r>
        <w:rPr>
          <w:rFonts w:cs="Times New Roman"/>
          <w:color w:val="000000" w:themeColor="text1"/>
          <w14:textFill>
            <w14:solidFill>
              <w14:schemeClr w14:val="tx1"/>
            </w14:solidFill>
          </w14:textFill>
        </w:rPr>
        <w:t>。Lee and Gordon（2007</w:t>
      </w:r>
      <w:r>
        <w:rPr>
          <w:rFonts w:hint="eastAsia" w:cs="Times New Roman"/>
          <w:color w:val="000000" w:themeColor="text1"/>
          <w14:textFill>
            <w14:solidFill>
              <w14:schemeClr w14:val="tx1"/>
            </w14:solidFill>
          </w14:textFill>
        </w:rPr>
        <w:t>、</w:t>
      </w:r>
      <w:r>
        <w:rPr>
          <w:rFonts w:cs="Times New Roman"/>
          <w:color w:val="000000" w:themeColor="text1"/>
          <w14:textFill>
            <w14:solidFill>
              <w14:schemeClr w14:val="tx1"/>
            </w14:solidFill>
          </w14:textFill>
        </w:rPr>
        <w:t>2011）</w:t>
      </w:r>
      <w:r>
        <w:rPr>
          <w:rFonts w:hint="eastAsia" w:cs="Times New Roman"/>
          <w:color w:val="000000" w:themeColor="text1"/>
          <w14:textFill>
            <w14:solidFill>
              <w14:schemeClr w14:val="tx1"/>
            </w14:solidFill>
          </w14:textFill>
        </w:rPr>
        <w:t>分别</w:t>
      </w:r>
      <w:r>
        <w:rPr>
          <w:rFonts w:cs="Times New Roman"/>
          <w:color w:val="000000" w:themeColor="text1"/>
          <w14:textFill>
            <w14:solidFill>
              <w14:schemeClr w14:val="tx1"/>
            </w14:solidFill>
          </w14:textFill>
        </w:rPr>
        <w:t>构造中心化指数及分散化指数等指标来刻画城市内经济活动空间分布模式并考察对经济增长、人口增长、劳动力增长等方面的影响。</w:t>
      </w:r>
    </w:p>
    <w:p>
      <w:pPr>
        <w:ind w:firstLine="420" w:firstLineChars="200"/>
        <w:jc w:val="both"/>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学者们还尝试以城市密度作为城市空间发展模式的代理，将城市空间发展模式与集聚联系起来（Cervero，2001）。Henderson（2003）考虑</w:t>
      </w:r>
      <w:r>
        <w:rPr>
          <w:rFonts w:hint="eastAsia" w:cs="Times New Roman"/>
          <w:color w:val="000000" w:themeColor="text1"/>
          <w14:textFill>
            <w14:solidFill>
              <w14:schemeClr w14:val="tx1"/>
            </w14:solidFill>
          </w14:textFill>
        </w:rPr>
        <w:t>地区</w:t>
      </w:r>
      <w:r>
        <w:rPr>
          <w:rFonts w:cs="Times New Roman"/>
          <w:color w:val="000000" w:themeColor="text1"/>
          <w14:textFill>
            <w14:solidFill>
              <w14:schemeClr w14:val="tx1"/>
            </w14:solidFill>
          </w14:textFill>
        </w:rPr>
        <w:t>或</w:t>
      </w:r>
      <w:r>
        <w:rPr>
          <w:rFonts w:hint="eastAsia" w:cs="Times New Roman"/>
          <w:color w:val="000000" w:themeColor="text1"/>
          <w14:textFill>
            <w14:solidFill>
              <w14:schemeClr w14:val="tx1"/>
            </w14:solidFill>
          </w14:textFill>
        </w:rPr>
        <w:t>企业</w:t>
      </w:r>
      <w:r>
        <w:rPr>
          <w:rFonts w:cs="Times New Roman"/>
          <w:color w:val="000000" w:themeColor="text1"/>
          <w14:textFill>
            <w14:solidFill>
              <w14:schemeClr w14:val="tx1"/>
            </w14:solidFill>
          </w14:textFill>
        </w:rPr>
        <w:t>固定效应</w:t>
      </w:r>
      <w:r>
        <w:rPr>
          <w:rFonts w:hint="eastAsia" w:cs="Times New Roman"/>
          <w:color w:val="000000" w:themeColor="text1"/>
          <w14:textFill>
            <w14:solidFill>
              <w14:schemeClr w14:val="tx1"/>
            </w14:solidFill>
          </w14:textFill>
        </w:rPr>
        <w:t>的情况下</w:t>
      </w:r>
      <w:r>
        <w:rPr>
          <w:rFonts w:cs="Times New Roman"/>
          <w:color w:val="000000" w:themeColor="text1"/>
          <w14:textFill>
            <w14:solidFill>
              <w14:schemeClr w14:val="tx1"/>
            </w14:solidFill>
          </w14:textFill>
        </w:rPr>
        <w:t>，根据生产率与密度随时间变化的关系确定</w:t>
      </w:r>
      <w:r>
        <w:rPr>
          <w:rFonts w:hint="eastAsia" w:cs="Times New Roman"/>
          <w:color w:val="000000" w:themeColor="text1"/>
          <w14:textFill>
            <w14:solidFill>
              <w14:schemeClr w14:val="tx1"/>
            </w14:solidFill>
          </w14:textFill>
        </w:rPr>
        <w:t>二者之间的</w:t>
      </w:r>
      <w:r>
        <w:rPr>
          <w:rFonts w:cs="Times New Roman"/>
          <w:color w:val="000000" w:themeColor="text1"/>
          <w14:textFill>
            <w14:solidFill>
              <w14:schemeClr w14:val="tx1"/>
            </w14:solidFill>
          </w14:textFill>
        </w:rPr>
        <w:t>相关性。Glaeser and Mare（2001）、Combes et al.（2008）和Henderson et al.（20</w:t>
      </w:r>
      <w:r>
        <w:rPr>
          <w:rFonts w:hint="eastAsia" w:cs="Times New Roman"/>
          <w:color w:val="000000" w:themeColor="text1"/>
          <w14:textFill>
            <w14:solidFill>
              <w14:schemeClr w14:val="tx1"/>
            </w14:solidFill>
          </w14:textFill>
        </w:rPr>
        <w:t>21</w:t>
      </w:r>
      <w:r>
        <w:rPr>
          <w:rFonts w:cs="Times New Roman"/>
          <w:color w:val="000000" w:themeColor="text1"/>
          <w14:textFill>
            <w14:solidFill>
              <w14:schemeClr w14:val="tx1"/>
            </w14:solidFill>
          </w14:textFill>
        </w:rPr>
        <w:t>）则通过个人收入与密度之间关系来</w:t>
      </w:r>
      <w:r>
        <w:rPr>
          <w:rFonts w:hint="eastAsia" w:cs="Times New Roman"/>
          <w:color w:val="000000" w:themeColor="text1"/>
          <w14:textFill>
            <w14:solidFill>
              <w14:schemeClr w14:val="tx1"/>
            </w14:solidFill>
          </w14:textFill>
        </w:rPr>
        <w:t>考察高</w:t>
      </w:r>
      <w:r>
        <w:rPr>
          <w:rFonts w:cs="Times New Roman"/>
          <w:color w:val="000000" w:themeColor="text1"/>
          <w14:textFill>
            <w14:solidFill>
              <w14:schemeClr w14:val="tx1"/>
            </w14:solidFill>
          </w14:textFill>
        </w:rPr>
        <w:t>密度</w:t>
      </w:r>
      <w:r>
        <w:rPr>
          <w:rFonts w:hint="eastAsia" w:cs="Times New Roman"/>
          <w:color w:val="000000" w:themeColor="text1"/>
          <w14:textFill>
            <w14:solidFill>
              <w14:schemeClr w14:val="tx1"/>
            </w14:solidFill>
          </w14:textFill>
        </w:rPr>
        <w:t>的“</w:t>
      </w:r>
      <w:r>
        <w:rPr>
          <w:rFonts w:cs="Times New Roman"/>
          <w:color w:val="000000" w:themeColor="text1"/>
          <w14:textFill>
            <w14:solidFill>
              <w14:schemeClr w14:val="tx1"/>
            </w14:solidFill>
          </w14:textFill>
        </w:rPr>
        <w:t>生产</w:t>
      </w:r>
      <w:r>
        <w:rPr>
          <w:rFonts w:hint="eastAsia" w:cs="Times New Roman"/>
          <w:color w:val="000000" w:themeColor="text1"/>
          <w14:textFill>
            <w14:solidFill>
              <w14:schemeClr w14:val="tx1"/>
            </w14:solidFill>
          </w14:textFill>
        </w:rPr>
        <w:t>率</w:t>
      </w:r>
      <w:r>
        <w:rPr>
          <w:rFonts w:cs="Times New Roman"/>
          <w:color w:val="000000" w:themeColor="text1"/>
          <w14:textFill>
            <w14:solidFill>
              <w14:schemeClr w14:val="tx1"/>
            </w14:solidFill>
          </w14:textFill>
        </w:rPr>
        <w:t>效应</w:t>
      </w:r>
      <w:r>
        <w:rPr>
          <w:rFonts w:hint="eastAsia" w:cs="Times New Roman"/>
          <w:color w:val="000000" w:themeColor="text1"/>
          <w14:textFill>
            <w14:solidFill>
              <w14:schemeClr w14:val="tx1"/>
            </w14:solidFill>
          </w14:textFill>
        </w:rPr>
        <w:t>”</w:t>
      </w:r>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Faberman and</w:t>
      </w:r>
      <w:r>
        <w:rPr>
          <w:rFonts w:cs="Times New Roman"/>
          <w:color w:val="000000" w:themeColor="text1"/>
          <w14:textFill>
            <w14:solidFill>
              <w14:schemeClr w14:val="tx1"/>
            </w14:solidFill>
          </w14:textFill>
        </w:rPr>
        <w:t xml:space="preserve"> F</w:t>
      </w:r>
      <w:r>
        <w:rPr>
          <w:rFonts w:hint="eastAsia" w:cs="Times New Roman"/>
          <w:color w:val="000000" w:themeColor="text1"/>
          <w14:textFill>
            <w14:solidFill>
              <w14:schemeClr w14:val="tx1"/>
            </w14:solidFill>
          </w14:textFill>
        </w:rPr>
        <w:t>reedman（2016）以城市整体的密度作为城市纵向发展以及集聚的代理，验证其带来的城市内部的溢价效应，并且结合企业的进入与退出信息检验了密度溢价实际可能是城市内部的重新分配，而非实际的生产力增长。</w:t>
      </w:r>
      <w:r>
        <w:rPr>
          <w:rFonts w:cs="Times New Roman"/>
          <w:color w:val="000000" w:themeColor="text1"/>
          <w14:textFill>
            <w14:solidFill>
              <w14:schemeClr w14:val="tx1"/>
            </w14:solidFill>
          </w14:textFill>
        </w:rPr>
        <w:t>Duranton and Turner（2018）利用美国旅行调查数据，估计</w:t>
      </w:r>
      <w:r>
        <w:rPr>
          <w:rFonts w:hint="eastAsia" w:cs="Times New Roman"/>
          <w:color w:val="000000" w:themeColor="text1"/>
          <w14:textFill>
            <w14:solidFill>
              <w14:schemeClr w14:val="tx1"/>
            </w14:solidFill>
          </w14:textFill>
        </w:rPr>
        <w:t>每个驾车个体</w:t>
      </w:r>
      <w:r>
        <w:rPr>
          <w:rFonts w:cs="Times New Roman"/>
          <w:color w:val="000000" w:themeColor="text1"/>
          <w14:textFill>
            <w14:solidFill>
              <w14:schemeClr w14:val="tx1"/>
            </w14:solidFill>
          </w14:textFill>
        </w:rPr>
        <w:t>住所周围工人和居民</w:t>
      </w:r>
      <w:r>
        <w:rPr>
          <w:rFonts w:hint="eastAsia" w:cs="Times New Roman"/>
          <w:color w:val="000000" w:themeColor="text1"/>
          <w14:textFill>
            <w14:solidFill>
              <w14:schemeClr w14:val="tx1"/>
            </w14:solidFill>
          </w14:textFill>
        </w:rPr>
        <w:t>的</w:t>
      </w:r>
      <w:r>
        <w:rPr>
          <w:rFonts w:cs="Times New Roman"/>
          <w:color w:val="000000" w:themeColor="text1"/>
          <w14:textFill>
            <w14:solidFill>
              <w14:schemeClr w14:val="tx1"/>
            </w14:solidFill>
          </w14:textFill>
        </w:rPr>
        <w:t>密度弹性，</w:t>
      </w:r>
      <w:r>
        <w:rPr>
          <w:rFonts w:hint="eastAsia" w:cs="Times New Roman"/>
          <w:color w:val="000000" w:themeColor="text1"/>
          <w14:textFill>
            <w14:solidFill>
              <w14:schemeClr w14:val="tx1"/>
            </w14:solidFill>
          </w14:textFill>
        </w:rPr>
        <w:t>以此</w:t>
      </w:r>
      <w:r>
        <w:rPr>
          <w:rFonts w:cs="Times New Roman"/>
          <w:color w:val="000000" w:themeColor="text1"/>
          <w14:textFill>
            <w14:solidFill>
              <w14:schemeClr w14:val="tx1"/>
            </w14:solidFill>
          </w14:textFill>
        </w:rPr>
        <w:t>捕捉密度可能带来的通勤时间缩短效应</w:t>
      </w:r>
      <w:r>
        <w:rPr>
          <w:rFonts w:hint="eastAsia" w:cs="Times New Roman"/>
          <w:color w:val="000000" w:themeColor="text1"/>
          <w14:textFill>
            <w14:solidFill>
              <w14:schemeClr w14:val="tx1"/>
            </w14:solidFill>
          </w14:textFill>
        </w:rPr>
        <w:t>，他们</w:t>
      </w:r>
      <w:r>
        <w:rPr>
          <w:rFonts w:cs="Times New Roman"/>
          <w:color w:val="000000" w:themeColor="text1"/>
          <w14:textFill>
            <w14:solidFill>
              <w14:schemeClr w14:val="tx1"/>
            </w14:solidFill>
          </w14:textFill>
        </w:rPr>
        <w:t>以街区尺度的面积反映城市空间发展模式，</w:t>
      </w:r>
      <w:r>
        <w:rPr>
          <w:rFonts w:hint="eastAsia" w:cs="Times New Roman"/>
          <w:color w:val="000000" w:themeColor="text1"/>
          <w14:textFill>
            <w14:solidFill>
              <w14:schemeClr w14:val="tx1"/>
            </w14:solidFill>
          </w14:textFill>
        </w:rPr>
        <w:t>这为集聚经济的研究</w:t>
      </w:r>
      <w:r>
        <w:rPr>
          <w:rFonts w:cs="Times New Roman"/>
          <w:color w:val="000000" w:themeColor="text1"/>
          <w14:textFill>
            <w14:solidFill>
              <w14:schemeClr w14:val="tx1"/>
            </w14:solidFill>
          </w14:textFill>
        </w:rPr>
        <w:t>提供了崭新的思路。</w:t>
      </w:r>
      <w:r>
        <w:rPr>
          <w:rFonts w:hint="eastAsia" w:cs="Times New Roman"/>
          <w:color w:val="000000" w:themeColor="text1"/>
          <w14:textFill>
            <w14:solidFill>
              <w14:schemeClr w14:val="tx1"/>
            </w14:solidFill>
          </w14:textFill>
        </w:rPr>
        <w:t>K</w:t>
      </w:r>
      <w:r>
        <w:rPr>
          <w:rFonts w:cs="Times New Roman"/>
          <w:color w:val="000000" w:themeColor="text1"/>
          <w14:textFill>
            <w14:solidFill>
              <w14:schemeClr w14:val="tx1"/>
            </w14:solidFill>
          </w14:textFill>
        </w:rPr>
        <w:t>oster and Ozgen</w:t>
      </w:r>
      <w:r>
        <w:rPr>
          <w:rFonts w:hint="eastAsia" w:cs="Times New Roman"/>
          <w:color w:val="000000" w:themeColor="text1"/>
          <w14:textFill>
            <w14:solidFill>
              <w14:schemeClr w14:val="tx1"/>
            </w14:solidFill>
          </w14:textFill>
        </w:rPr>
        <w:t>（2021）进一步基于城市内部通勤距离内的密度，检验城市内部集聚可能导致的工资溢价，并讨论了集聚经济带来的技术偏向性效应。此外，大量研究</w:t>
      </w:r>
      <w:r>
        <w:rPr>
          <w:rFonts w:cs="Times New Roman"/>
          <w:color w:val="000000" w:themeColor="text1"/>
          <w14:textFill>
            <w14:solidFill>
              <w14:schemeClr w14:val="tx1"/>
            </w14:solidFill>
          </w14:textFill>
        </w:rPr>
        <w:t>从密度出发，分析城市内</w:t>
      </w:r>
      <w:r>
        <w:rPr>
          <w:rFonts w:hint="eastAsia" w:cs="Times New Roman"/>
          <w:color w:val="000000" w:themeColor="text1"/>
          <w14:textFill>
            <w14:solidFill>
              <w14:schemeClr w14:val="tx1"/>
            </w14:solidFill>
          </w14:textFill>
        </w:rPr>
        <w:t>的集聚化趋势</w:t>
      </w:r>
      <w:r>
        <w:rPr>
          <w:rFonts w:cs="Times New Roman"/>
          <w:color w:val="000000" w:themeColor="text1"/>
          <w14:textFill>
            <w14:solidFill>
              <w14:schemeClr w14:val="tx1"/>
            </w14:solidFill>
          </w14:textFill>
        </w:rPr>
        <w:t>对知识溢出的</w:t>
      </w:r>
      <w:r>
        <w:rPr>
          <w:rFonts w:hint="eastAsia" w:cs="Times New Roman"/>
          <w:color w:val="000000" w:themeColor="text1"/>
          <w14:textFill>
            <w14:solidFill>
              <w14:schemeClr w14:val="tx1"/>
            </w14:solidFill>
          </w14:textFill>
        </w:rPr>
        <w:t>正向</w:t>
      </w:r>
      <w:r>
        <w:rPr>
          <w:rFonts w:cs="Times New Roman"/>
          <w:color w:val="000000" w:themeColor="text1"/>
          <w14:textFill>
            <w14:solidFill>
              <w14:schemeClr w14:val="tx1"/>
            </w14:solidFill>
          </w14:textFill>
        </w:rPr>
        <w:t>影响（Sedgley and Elmslie，2004</w:t>
      </w:r>
      <w:r>
        <w:rPr>
          <w:rFonts w:hint="eastAsia" w:cs="Times New Roman"/>
          <w:color w:val="000000" w:themeColor="text1"/>
          <w14:textFill>
            <w14:solidFill>
              <w14:schemeClr w14:val="tx1"/>
            </w14:solidFill>
          </w14:textFill>
        </w:rPr>
        <w:t>；</w:t>
      </w:r>
      <w:r>
        <w:rPr>
          <w:rFonts w:cs="Times New Roman"/>
          <w:color w:val="000000" w:themeColor="text1"/>
          <w14:textFill>
            <w14:solidFill>
              <w14:schemeClr w14:val="tx1"/>
            </w14:solidFill>
          </w14:textFill>
        </w:rPr>
        <w:t>Knudsen</w:t>
      </w:r>
      <w:r>
        <w:rPr>
          <w:rFonts w:hint="eastAsia" w:cs="Times New Roman"/>
          <w:color w:val="000000" w:themeColor="text1"/>
          <w14:textFill>
            <w14:solidFill>
              <w14:schemeClr w14:val="tx1"/>
            </w14:solidFill>
          </w14:textFill>
        </w:rPr>
        <w:t xml:space="preserve"> </w:t>
      </w:r>
      <w:r>
        <w:rPr>
          <w:rFonts w:cs="Times New Roman"/>
          <w:color w:val="000000" w:themeColor="text1"/>
          <w14:textFill>
            <w14:solidFill>
              <w14:schemeClr w14:val="tx1"/>
            </w14:solidFill>
          </w14:textFill>
        </w:rPr>
        <w:t>et al.</w:t>
      </w:r>
      <w:r>
        <w:rPr>
          <w:rFonts w:hint="eastAsia" w:cs="Times New Roman"/>
          <w:color w:val="000000" w:themeColor="text1"/>
          <w14:textFill>
            <w14:solidFill>
              <w14:schemeClr w14:val="tx1"/>
            </w14:solidFill>
          </w14:textFill>
        </w:rPr>
        <w:t>，</w:t>
      </w:r>
      <w:r>
        <w:rPr>
          <w:rFonts w:cs="Times New Roman"/>
          <w:color w:val="000000" w:themeColor="text1"/>
          <w14:textFill>
            <w14:solidFill>
              <w14:schemeClr w14:val="tx1"/>
            </w14:solidFill>
          </w14:textFill>
        </w:rPr>
        <w:t>2007</w:t>
      </w:r>
      <w:r>
        <w:rPr>
          <w:rFonts w:hint="eastAsia" w:cs="Times New Roman"/>
          <w:color w:val="000000" w:themeColor="text1"/>
          <w14:textFill>
            <w14:solidFill>
              <w14:schemeClr w14:val="tx1"/>
            </w14:solidFill>
          </w14:textFill>
        </w:rPr>
        <w:t>；</w:t>
      </w:r>
      <w:r>
        <w:rPr>
          <w:rFonts w:cs="Times New Roman"/>
          <w:color w:val="000000" w:themeColor="text1"/>
          <w14:textFill>
            <w14:solidFill>
              <w14:schemeClr w14:val="tx1"/>
            </w14:solidFill>
          </w14:textFill>
        </w:rPr>
        <w:t>Lobo</w:t>
      </w:r>
      <w:r>
        <w:rPr>
          <w:rFonts w:hint="eastAsia" w:cs="Times New Roman"/>
          <w:color w:val="000000" w:themeColor="text1"/>
          <w14:textFill>
            <w14:solidFill>
              <w14:schemeClr w14:val="tx1"/>
            </w14:solidFill>
          </w14:textFill>
        </w:rPr>
        <w:t xml:space="preserve"> </w:t>
      </w:r>
      <w:r>
        <w:rPr>
          <w:rFonts w:cs="Times New Roman"/>
          <w:color w:val="000000" w:themeColor="text1"/>
          <w14:textFill>
            <w14:solidFill>
              <w14:schemeClr w14:val="tx1"/>
            </w14:solidFill>
          </w14:textFill>
        </w:rPr>
        <w:t>and</w:t>
      </w:r>
      <w:r>
        <w:rPr>
          <w:rFonts w:hint="eastAsia" w:cs="Times New Roman"/>
          <w:color w:val="000000" w:themeColor="text1"/>
          <w14:textFill>
            <w14:solidFill>
              <w14:schemeClr w14:val="tx1"/>
            </w14:solidFill>
          </w14:textFill>
        </w:rPr>
        <w:t xml:space="preserve"> </w:t>
      </w:r>
      <w:r>
        <w:rPr>
          <w:rFonts w:cs="Times New Roman"/>
          <w:color w:val="000000" w:themeColor="text1"/>
          <w14:textFill>
            <w14:solidFill>
              <w14:schemeClr w14:val="tx1"/>
            </w14:solidFill>
          </w14:textFill>
        </w:rPr>
        <w:t>Strumsky</w:t>
      </w:r>
      <w:r>
        <w:rPr>
          <w:rFonts w:hint="eastAsia" w:cs="Times New Roman"/>
          <w:color w:val="000000" w:themeColor="text1"/>
          <w14:textFill>
            <w14:solidFill>
              <w14:schemeClr w14:val="tx1"/>
            </w14:solidFill>
          </w14:textFill>
        </w:rPr>
        <w:t>，</w:t>
      </w:r>
      <w:r>
        <w:rPr>
          <w:rFonts w:cs="Times New Roman"/>
          <w:color w:val="000000" w:themeColor="text1"/>
          <w14:textFill>
            <w14:solidFill>
              <w14:schemeClr w14:val="tx1"/>
            </w14:solidFill>
          </w14:textFill>
        </w:rPr>
        <w:t>2008</w:t>
      </w:r>
      <w:r>
        <w:rPr>
          <w:rFonts w:hint="eastAsia" w:cs="Times New Roman"/>
          <w:color w:val="000000" w:themeColor="text1"/>
          <w14:textFill>
            <w14:solidFill>
              <w14:schemeClr w14:val="tx1"/>
            </w14:solidFill>
          </w14:textFill>
        </w:rPr>
        <w:t>；王永进和张国锋，2</w:t>
      </w:r>
      <w:r>
        <w:rPr>
          <w:rFonts w:cs="Times New Roman"/>
          <w:color w:val="000000" w:themeColor="text1"/>
          <w14:textFill>
            <w14:solidFill>
              <w14:schemeClr w14:val="tx1"/>
            </w14:solidFill>
          </w14:textFill>
        </w:rPr>
        <w:t>015）。Carlino et al.（2007）使用</w:t>
      </w:r>
      <w:r>
        <w:rPr>
          <w:rFonts w:hint="eastAsia" w:cs="Times New Roman"/>
          <w:color w:val="000000" w:themeColor="text1"/>
          <w14:textFill>
            <w14:solidFill>
              <w14:schemeClr w14:val="tx1"/>
            </w14:solidFill>
          </w14:textFill>
        </w:rPr>
        <w:t>美国</w:t>
      </w:r>
      <w:r>
        <w:rPr>
          <w:rFonts w:cs="Times New Roman"/>
          <w:color w:val="000000" w:themeColor="text1"/>
          <w14:textFill>
            <w14:solidFill>
              <w14:schemeClr w14:val="tx1"/>
            </w14:solidFill>
          </w14:textFill>
        </w:rPr>
        <w:t>大都市区人均专利数量作为创新强度的代理</w:t>
      </w:r>
      <w:r>
        <w:rPr>
          <w:rFonts w:hint="eastAsia" w:cs="Times New Roman"/>
          <w:color w:val="000000" w:themeColor="text1"/>
          <w14:textFill>
            <w14:solidFill>
              <w14:schemeClr w14:val="tx1"/>
            </w14:solidFill>
          </w14:textFill>
        </w:rPr>
        <w:t>变量</w:t>
      </w:r>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在</w:t>
      </w:r>
      <w:r>
        <w:rPr>
          <w:rFonts w:cs="Times New Roman"/>
          <w:color w:val="000000" w:themeColor="text1"/>
          <w14:textFill>
            <w14:solidFill>
              <w14:schemeClr w14:val="tx1"/>
            </w14:solidFill>
          </w14:textFill>
        </w:rPr>
        <w:t>剥离城市规模</w:t>
      </w:r>
      <w:r>
        <w:rPr>
          <w:rFonts w:hint="eastAsia" w:cs="Times New Roman"/>
          <w:color w:val="000000" w:themeColor="text1"/>
          <w14:textFill>
            <w14:solidFill>
              <w14:schemeClr w14:val="tx1"/>
            </w14:solidFill>
          </w14:textFill>
        </w:rPr>
        <w:t>的影响</w:t>
      </w:r>
      <w:r>
        <w:rPr>
          <w:rFonts w:cs="Times New Roman"/>
          <w:color w:val="000000" w:themeColor="text1"/>
          <w14:textFill>
            <w14:solidFill>
              <w14:schemeClr w14:val="tx1"/>
            </w14:solidFill>
          </w14:textFill>
        </w:rPr>
        <w:t>后</w:t>
      </w:r>
      <w:r>
        <w:rPr>
          <w:rFonts w:hint="eastAsia" w:cs="Times New Roman"/>
          <w:color w:val="000000" w:themeColor="text1"/>
          <w14:textFill>
            <w14:solidFill>
              <w14:schemeClr w14:val="tx1"/>
            </w14:solidFill>
          </w14:textFill>
        </w:rPr>
        <w:t>，证实了</w:t>
      </w:r>
      <w:r>
        <w:rPr>
          <w:rFonts w:cs="Times New Roman"/>
          <w:color w:val="000000" w:themeColor="text1"/>
          <w14:textFill>
            <w14:solidFill>
              <w14:schemeClr w14:val="tx1"/>
            </w14:solidFill>
          </w14:textFill>
        </w:rPr>
        <w:t>城市密度对创新的正向影响。</w:t>
      </w:r>
    </w:p>
    <w:p>
      <w:pPr>
        <w:ind w:firstLine="420" w:firstLineChars="200"/>
        <w:jc w:val="both"/>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不难发现，</w:t>
      </w:r>
      <w:r>
        <w:rPr>
          <w:rFonts w:cs="Times New Roman"/>
          <w:color w:val="000000" w:themeColor="text1"/>
          <w14:textFill>
            <w14:solidFill>
              <w14:schemeClr w14:val="tx1"/>
            </w14:solidFill>
          </w14:textFill>
        </w:rPr>
        <w:t>无论是中心分布还是郊区化、蔓延</w:t>
      </w:r>
      <w:r>
        <w:rPr>
          <w:rFonts w:hint="eastAsia" w:cs="Times New Roman"/>
          <w:color w:val="000000" w:themeColor="text1"/>
          <w14:textFill>
            <w14:solidFill>
              <w14:schemeClr w14:val="tx1"/>
            </w14:solidFill>
          </w14:textFill>
        </w:rPr>
        <w:t>指数、密度</w:t>
      </w:r>
      <w:r>
        <w:rPr>
          <w:rFonts w:cs="Times New Roman"/>
          <w:color w:val="000000" w:themeColor="text1"/>
          <w14:textFill>
            <w14:solidFill>
              <w14:schemeClr w14:val="tx1"/>
            </w14:solidFill>
          </w14:textFill>
        </w:rPr>
        <w:t>等</w:t>
      </w:r>
      <w:r>
        <w:rPr>
          <w:rFonts w:hint="eastAsia" w:cs="Times New Roman"/>
          <w:color w:val="000000" w:themeColor="text1"/>
          <w14:textFill>
            <w14:solidFill>
              <w14:schemeClr w14:val="tx1"/>
            </w14:solidFill>
          </w14:textFill>
        </w:rPr>
        <w:t>，都只是基于城市内部局部的规模分布推演出的指标，侧重对城市层面纵向发展水平上的平均考察，在考察城市发展模式过程中弱化了对城市横向发展的考察，难以反映城市内部空间的紧凑性变异，且缺乏更为细致的证据从可达性、基础设施等方面解释城市空间发展模式对城市发展的影响。</w:t>
      </w:r>
      <w:r>
        <w:rPr>
          <w:rFonts w:cs="Times New Roman"/>
          <w:color w:val="000000" w:themeColor="text1"/>
          <w14:textFill>
            <w14:solidFill>
              <w14:schemeClr w14:val="tx1"/>
            </w14:solidFill>
          </w14:textFill>
        </w:rPr>
        <w:t>与本文</w:t>
      </w:r>
      <w:r>
        <w:rPr>
          <w:rFonts w:hint="eastAsia" w:cs="Times New Roman"/>
          <w:color w:val="000000" w:themeColor="text1"/>
          <w14:textFill>
            <w14:solidFill>
              <w14:schemeClr w14:val="tx1"/>
            </w14:solidFill>
          </w14:textFill>
        </w:rPr>
        <w:t>最</w:t>
      </w:r>
      <w:r>
        <w:rPr>
          <w:rFonts w:cs="Times New Roman"/>
          <w:color w:val="000000" w:themeColor="text1"/>
          <w14:textFill>
            <w14:solidFill>
              <w14:schemeClr w14:val="tx1"/>
            </w14:solidFill>
          </w14:textFill>
        </w:rPr>
        <w:t>为相关的研究是Harari（2020）关于印度城市几何形态</w:t>
      </w:r>
      <w:r>
        <w:rPr>
          <w:rFonts w:hint="eastAsia" w:cs="Times New Roman"/>
          <w:color w:val="000000" w:themeColor="text1"/>
          <w14:textFill>
            <w14:solidFill>
              <w14:schemeClr w14:val="tx1"/>
            </w14:solidFill>
          </w14:textFill>
        </w:rPr>
        <w:t>如何影响城市发展的分析，采用</w:t>
      </w:r>
      <w:r>
        <w:rPr>
          <w:rFonts w:cs="Times New Roman"/>
          <w:color w:val="000000" w:themeColor="text1"/>
          <w14:textFill>
            <w14:solidFill>
              <w14:schemeClr w14:val="tx1"/>
            </w14:solidFill>
          </w14:textFill>
        </w:rPr>
        <w:t>城市</w:t>
      </w:r>
      <w:r>
        <w:rPr>
          <w:rFonts w:hint="eastAsia" w:cs="Times New Roman"/>
          <w:color w:val="000000" w:themeColor="text1"/>
          <w14:textFill>
            <w14:solidFill>
              <w14:schemeClr w14:val="tx1"/>
            </w14:solidFill>
          </w14:textFill>
        </w:rPr>
        <w:t>几何</w:t>
      </w:r>
      <w:r>
        <w:rPr>
          <w:rFonts w:cs="Times New Roman"/>
          <w:color w:val="000000" w:themeColor="text1"/>
          <w14:textFill>
            <w14:solidFill>
              <w14:schemeClr w14:val="tx1"/>
            </w14:solidFill>
          </w14:textFill>
        </w:rPr>
        <w:t>形态</w:t>
      </w:r>
      <w:r>
        <w:rPr>
          <w:rFonts w:hint="eastAsia" w:cs="Times New Roman"/>
          <w:color w:val="000000" w:themeColor="text1"/>
          <w14:textFill>
            <w14:solidFill>
              <w14:schemeClr w14:val="tx1"/>
            </w14:solidFill>
          </w14:textFill>
        </w:rPr>
        <w:t>指标</w:t>
      </w:r>
      <w:r>
        <w:rPr>
          <w:rFonts w:cs="Times New Roman"/>
          <w:color w:val="000000" w:themeColor="text1"/>
          <w14:textFill>
            <w14:solidFill>
              <w14:schemeClr w14:val="tx1"/>
            </w14:solidFill>
          </w14:textFill>
        </w:rPr>
        <w:t>较为准确地测度印度城市的空间发展变异，着重分析在空间一般均衡下，城市形态变异</w:t>
      </w:r>
      <w:r>
        <w:rPr>
          <w:rFonts w:hint="eastAsia" w:cs="Times New Roman"/>
          <w:color w:val="000000" w:themeColor="text1"/>
          <w14:textFill>
            <w14:solidFill>
              <w14:schemeClr w14:val="tx1"/>
            </w14:solidFill>
          </w14:textFill>
        </w:rPr>
        <w:t>所</w:t>
      </w:r>
      <w:r>
        <w:rPr>
          <w:rFonts w:cs="Times New Roman"/>
          <w:color w:val="000000" w:themeColor="text1"/>
          <w14:textFill>
            <w14:solidFill>
              <w14:schemeClr w14:val="tx1"/>
            </w14:solidFill>
          </w14:textFill>
        </w:rPr>
        <w:t>导致</w:t>
      </w:r>
      <w:r>
        <w:rPr>
          <w:rFonts w:hint="eastAsia" w:cs="Times New Roman"/>
          <w:color w:val="000000" w:themeColor="text1"/>
          <w14:textFill>
            <w14:solidFill>
              <w14:schemeClr w14:val="tx1"/>
            </w14:solidFill>
          </w14:textFill>
        </w:rPr>
        <w:t>的</w:t>
      </w:r>
      <w:r>
        <w:rPr>
          <w:rFonts w:cs="Times New Roman"/>
          <w:color w:val="000000" w:themeColor="text1"/>
          <w14:textFill>
            <w14:solidFill>
              <w14:schemeClr w14:val="tx1"/>
            </w14:solidFill>
          </w14:textFill>
        </w:rPr>
        <w:t>城市人口、工资、租金等方面增长的变异，并且从城市公共服务、通勤</w:t>
      </w:r>
      <w:r>
        <w:rPr>
          <w:rFonts w:hint="eastAsia" w:cs="Times New Roman"/>
          <w:color w:val="000000" w:themeColor="text1"/>
          <w14:textFill>
            <w14:solidFill>
              <w14:schemeClr w14:val="tx1"/>
            </w14:solidFill>
          </w14:textFill>
        </w:rPr>
        <w:t>可达性</w:t>
      </w:r>
      <w:r>
        <w:rPr>
          <w:rFonts w:cs="Times New Roman"/>
          <w:color w:val="000000" w:themeColor="text1"/>
          <w14:textFill>
            <w14:solidFill>
              <w14:schemeClr w14:val="tx1"/>
            </w14:solidFill>
          </w14:textFill>
        </w:rPr>
        <w:t>等方面阐述了</w:t>
      </w:r>
      <w:r>
        <w:rPr>
          <w:rFonts w:hint="eastAsia" w:cs="Times New Roman"/>
          <w:color w:val="000000" w:themeColor="text1"/>
          <w14:textFill>
            <w14:solidFill>
              <w14:schemeClr w14:val="tx1"/>
            </w14:solidFill>
          </w14:textFill>
        </w:rPr>
        <w:t>背后的</w:t>
      </w:r>
      <w:r>
        <w:rPr>
          <w:rFonts w:cs="Times New Roman"/>
          <w:color w:val="000000" w:themeColor="text1"/>
          <w14:textFill>
            <w14:solidFill>
              <w14:schemeClr w14:val="tx1"/>
            </w14:solidFill>
          </w14:textFill>
        </w:rPr>
        <w:t>机制。</w:t>
      </w:r>
      <w:r>
        <w:rPr>
          <w:rFonts w:hint="eastAsia" w:cs="Times New Roman"/>
          <w:color w:val="000000" w:themeColor="text1"/>
          <w14:textFill>
            <w14:solidFill>
              <w14:schemeClr w14:val="tx1"/>
            </w14:solidFill>
          </w14:textFill>
        </w:rPr>
        <w:t>刘修岩等（2019）基于相似的识别方法，也尝试研究了中国城市形态对中国部分城市居民工资的影响。虽然这些研究对城市几何形态如何影响城市增长进行了较为全面的剖析，但是依然存在一定的局限；第一，这类研究更专注于从城市间空间一般均衡的视角分析城市人口、工资与租金在城市松散形态下受到的影响，但是对城市内部经济活动分布的探索相对较为缺乏，而实际的经济增长可能并非仅归因于空间一般均衡下的人口与企业迁移决策，形态变异也可能影响影响城市内部经济活动运行的效率，例如集聚经济，这在分析城市几何形态如何影响城市增长过程中至关重要；第二，在中国情境下探索城市横向扩张的形态对增长的影响无法绕开政府在其中扮演的重要角色，政府财政特征、官员特征等一系列因素都可能会在城市几何形态变异过程或是城市几何形态影响，这关系到城市在横向扩张过程中如何进一步进行合理规划提升城市发展；第三，使用夜间灯光数据结合栅格阈值的方法虽然能够识别城市区域，但是可能无法识别出城中村区域，这一点在中国尤为明显，且使用阈值也存在一定的随意性，需要先验的判定，而灯光存在一定的溢出情况，可能导致对“通勤城市”范围乃至城市几何形态产生高估，故这样的测度方式与中国城市的实际发展情况无法契合。</w:t>
      </w:r>
    </w:p>
    <w:p>
      <w:pPr>
        <w:pStyle w:val="3"/>
        <w:spacing w:before="312" w:after="312"/>
        <w:jc w:val="center"/>
      </w:pPr>
      <w:bookmarkStart w:id="1" w:name="_Toc155566165"/>
    </w:p>
    <w:p>
      <w:pPr>
        <w:pStyle w:val="3"/>
        <w:spacing w:before="312" w:after="312"/>
        <w:jc w:val="center"/>
      </w:pPr>
    </w:p>
    <w:p>
      <w:pPr>
        <w:pStyle w:val="3"/>
        <w:spacing w:before="312" w:after="312"/>
        <w:jc w:val="center"/>
      </w:pPr>
    </w:p>
    <w:p>
      <w:pPr>
        <w:pStyle w:val="3"/>
        <w:spacing w:before="312" w:after="312"/>
        <w:jc w:val="center"/>
      </w:pPr>
    </w:p>
    <w:p>
      <w:pPr>
        <w:pStyle w:val="3"/>
        <w:spacing w:before="312" w:after="312"/>
        <w:jc w:val="center"/>
      </w:pPr>
    </w:p>
    <w:p>
      <w:pPr>
        <w:pStyle w:val="3"/>
        <w:spacing w:before="312" w:after="312"/>
        <w:jc w:val="center"/>
      </w:pPr>
    </w:p>
    <w:p>
      <w:pPr>
        <w:pStyle w:val="3"/>
        <w:spacing w:before="312" w:after="312"/>
        <w:jc w:val="center"/>
      </w:pPr>
    </w:p>
    <w:p/>
    <w:p/>
    <w:p/>
    <w:p/>
    <w:p>
      <w:pPr>
        <w:jc w:val="center"/>
        <w:rPr>
          <w:rFonts w:ascii="楷体" w:hAnsi="楷体" w:eastAsia="楷体" w:cs="楷体"/>
          <w:sz w:val="28"/>
          <w:szCs w:val="36"/>
        </w:rPr>
      </w:pPr>
      <w:r>
        <w:rPr>
          <w:rFonts w:hint="eastAsia" w:ascii="楷体" w:hAnsi="楷体" w:eastAsia="楷体" w:cs="楷体"/>
          <w:sz w:val="28"/>
          <w:szCs w:val="36"/>
        </w:rPr>
        <w:t xml:space="preserve">附录 </w:t>
      </w:r>
      <w:bookmarkStart w:id="2" w:name="_Hlk155565380"/>
      <w:r>
        <w:rPr>
          <w:rFonts w:hint="eastAsia" w:ascii="楷体" w:hAnsi="楷体" w:eastAsia="楷体" w:cs="楷体"/>
          <w:sz w:val="28"/>
          <w:szCs w:val="36"/>
        </w:rPr>
        <w:fldChar w:fldCharType="begin"/>
      </w:r>
      <w:r>
        <w:rPr>
          <w:rFonts w:hint="eastAsia" w:ascii="楷体" w:hAnsi="楷体" w:eastAsia="楷体" w:cs="楷体"/>
          <w:sz w:val="28"/>
          <w:szCs w:val="36"/>
        </w:rPr>
        <w:instrText xml:space="preserve"> = 2 \* ROMAN </w:instrText>
      </w:r>
      <w:r>
        <w:rPr>
          <w:rFonts w:hint="eastAsia" w:ascii="楷体" w:hAnsi="楷体" w:eastAsia="楷体" w:cs="楷体"/>
          <w:sz w:val="28"/>
          <w:szCs w:val="36"/>
        </w:rPr>
        <w:fldChar w:fldCharType="separate"/>
      </w:r>
      <w:r>
        <w:rPr>
          <w:rFonts w:hint="eastAsia" w:ascii="楷体" w:hAnsi="楷体" w:eastAsia="楷体" w:cs="楷体"/>
          <w:sz w:val="28"/>
          <w:szCs w:val="36"/>
        </w:rPr>
        <w:t>II</w:t>
      </w:r>
      <w:r>
        <w:rPr>
          <w:rFonts w:hint="eastAsia" w:ascii="楷体" w:hAnsi="楷体" w:eastAsia="楷体" w:cs="楷体"/>
          <w:sz w:val="28"/>
          <w:szCs w:val="36"/>
        </w:rPr>
        <w:fldChar w:fldCharType="end"/>
      </w:r>
      <w:bookmarkEnd w:id="2"/>
      <w:r>
        <w:rPr>
          <w:rFonts w:hint="eastAsia" w:ascii="楷体" w:hAnsi="楷体" w:eastAsia="楷体" w:cs="楷体"/>
          <w:sz w:val="28"/>
          <w:szCs w:val="36"/>
        </w:rPr>
        <w:t xml:space="preserve"> 实证内容补充</w:t>
      </w:r>
      <w:bookmarkEnd w:id="1"/>
    </w:p>
    <w:p>
      <w:pPr>
        <w:pStyle w:val="4"/>
        <w:spacing w:before="156" w:after="156"/>
        <w:ind w:firstLine="422"/>
        <w:jc w:val="both"/>
        <w:rPr>
          <w:rFonts w:cs="Times New Roman"/>
          <w:b/>
          <w:bCs/>
        </w:rPr>
      </w:pPr>
      <w:bookmarkStart w:id="3" w:name="_Toc155566166"/>
      <w:r>
        <w:rPr>
          <w:rFonts w:hint="eastAsia" w:cs="Times New Roman"/>
          <w:b/>
          <w:bCs/>
        </w:rPr>
        <w:t>（一）</w:t>
      </w:r>
      <w:r>
        <w:rPr>
          <w:rFonts w:hint="eastAsia" w:hAnsi="宋体" w:cs="Times New Roman"/>
          <w:b/>
          <w:bCs/>
        </w:rPr>
        <w:t>长差分模型</w:t>
      </w:r>
      <w:bookmarkEnd w:id="3"/>
    </w:p>
    <w:p>
      <w:pPr>
        <w:ind w:firstLine="420" w:firstLineChars="200"/>
        <w:jc w:val="both"/>
        <w:rPr>
          <w:rFonts w:asciiTheme="minorEastAsia"/>
          <w:color w:val="000000" w:themeColor="text1"/>
          <w14:textFill>
            <w14:solidFill>
              <w14:schemeClr w14:val="tx1"/>
            </w14:solidFill>
          </w14:textFill>
        </w:rPr>
      </w:pPr>
      <w:r>
        <w:rPr>
          <w:rFonts w:hint="eastAsia"/>
          <w:color w:val="000000" w:themeColor="text1"/>
          <w14:textFill>
            <w14:solidFill>
              <w14:schemeClr w14:val="tx1"/>
            </w14:solidFill>
          </w14:textFill>
        </w:rPr>
        <w:t>考虑到城市空间发展模式这一因素由于城市内部结构发展较为缓慢，随时间变异相对较小（D</w:t>
      </w:r>
      <w:r>
        <w:rPr>
          <w:color w:val="000000" w:themeColor="text1"/>
          <w14:textFill>
            <w14:solidFill>
              <w14:schemeClr w14:val="tx1"/>
            </w14:solidFill>
          </w14:textFill>
        </w:rPr>
        <w:t>uranton and Puga，2020</w:t>
      </w:r>
      <w:r>
        <w:rPr>
          <w:rFonts w:hint="eastAsia"/>
          <w:color w:val="000000" w:themeColor="text1"/>
          <w14:textFill>
            <w14:solidFill>
              <w14:schemeClr w14:val="tx1"/>
            </w14:solidFill>
          </w14:textFill>
        </w:rPr>
        <w:t>），如果仅使用控制城市固定效应的</w:t>
      </w:r>
      <w:r>
        <w:rPr>
          <w:rFonts w:cs="Times New Roman"/>
          <w:color w:val="000000" w:themeColor="text1"/>
          <w14:textFill>
            <w14:solidFill>
              <w14:schemeClr w14:val="tx1"/>
            </w14:solidFill>
          </w14:textFill>
        </w:rPr>
        <w:t>OLS</w:t>
      </w:r>
      <w:r>
        <w:rPr>
          <w:rFonts w:hint="eastAsia"/>
          <w:color w:val="000000" w:themeColor="text1"/>
          <w14:textFill>
            <w14:solidFill>
              <w14:schemeClr w14:val="tx1"/>
            </w14:solidFill>
          </w14:textFill>
        </w:rPr>
        <w:t>回归可能无法准确捕捉城市几何形态对城市经济发展的影响。因此，本文除了使用基于面板数据的</w:t>
      </w:r>
      <w:r>
        <w:rPr>
          <w:rFonts w:cs="Times New Roman"/>
          <w:color w:val="000000" w:themeColor="text1"/>
          <w14:textFill>
            <w14:solidFill>
              <w14:schemeClr w14:val="tx1"/>
            </w14:solidFill>
          </w14:textFill>
        </w:rPr>
        <w:t>OLS</w:t>
      </w:r>
      <w:r>
        <w:rPr>
          <w:rFonts w:hint="eastAsia"/>
          <w:color w:val="000000" w:themeColor="text1"/>
          <w14:textFill>
            <w14:solidFill>
              <w14:schemeClr w14:val="tx1"/>
            </w14:solidFill>
          </w14:textFill>
        </w:rPr>
        <w:t>回归外，我们参考</w:t>
      </w:r>
      <w:r>
        <w:rPr>
          <w:color w:val="000000" w:themeColor="text1"/>
          <w14:textFill>
            <w14:solidFill>
              <w14:schemeClr w14:val="tx1"/>
            </w14:solidFill>
          </w14:textFill>
        </w:rPr>
        <w:t xml:space="preserve">Gonzalez-Navarro </w:t>
      </w:r>
      <w:r>
        <w:rPr>
          <w:rFonts w:hint="eastAsia"/>
          <w:color w:val="000000" w:themeColor="text1"/>
          <w14:textFill>
            <w14:solidFill>
              <w14:schemeClr w14:val="tx1"/>
            </w14:solidFill>
          </w14:textFill>
        </w:rPr>
        <w:t>and</w:t>
      </w:r>
      <w:r>
        <w:rPr>
          <w:color w:val="000000" w:themeColor="text1"/>
          <w14:textFill>
            <w14:solidFill>
              <w14:schemeClr w14:val="tx1"/>
            </w14:solidFill>
          </w14:textFill>
        </w:rPr>
        <w:t xml:space="preserve"> Turner</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018</w:t>
      </w:r>
      <w:r>
        <w:rPr>
          <w:rFonts w:hint="eastAsia"/>
          <w:color w:val="000000" w:themeColor="text1"/>
          <w14:textFill>
            <w14:solidFill>
              <w14:schemeClr w14:val="tx1"/>
            </w14:solidFill>
          </w14:textFill>
        </w:rPr>
        <w:t>）的实证规范，设立以下长差分模型进行回归：</w:t>
      </w:r>
    </w:p>
    <w:p>
      <w:pPr>
        <w:jc w:val="right"/>
        <w:rPr>
          <w:color w:val="FF0000"/>
        </w:rPr>
      </w:pPr>
      <w:r>
        <w:rPr>
          <w:color w:val="000000" w:themeColor="text1"/>
          <w:position w:val="-14"/>
          <w14:textFill>
            <w14:solidFill>
              <w14:schemeClr w14:val="tx1"/>
            </w14:solidFill>
          </w14:textFill>
        </w:rPr>
        <w:object>
          <v:shape id="_x0000_i1025" o:spt="75" type="#_x0000_t75" style="height:20pt;width:264.7pt;" o:ole="t" filled="f" o:preferrelative="t" stroked="f" coordsize="21600,21600">
            <v:path/>
            <v:fill on="f" focussize="0,0"/>
            <v:stroke on="f" joinstyle="miter"/>
            <v:imagedata r:id="rId9" o:title=""/>
            <o:lock v:ext="edit" aspectratio="t"/>
            <w10:wrap type="none"/>
            <w10:anchorlock/>
          </v:shape>
          <o:OLEObject Type="Embed" ProgID="Equation.DSMT4" ShapeID="_x0000_i1025" DrawAspect="Content" ObjectID="_1468075725" r:id="rId8">
            <o:LockedField>false</o:LockedField>
          </o:OLEObject>
        </w:objec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（Ⅱ1）</w:t>
      </w:r>
    </w:p>
    <w:p>
      <w:pPr>
        <w:jc w:val="both"/>
        <w:rPr>
          <w:color w:val="000000" w:themeColor="text1"/>
          <w14:textFill>
            <w14:solidFill>
              <w14:schemeClr w14:val="tx1"/>
            </w14:solidFill>
          </w14:textFill>
        </w:rPr>
      </w:pPr>
      <w:r>
        <w:rPr>
          <w:rFonts w:hint="eastAsia"/>
          <w:color w:val="000000" w:themeColor="text1"/>
          <w:position w:val="-14"/>
          <w14:textFill>
            <w14:solidFill>
              <w14:schemeClr w14:val="tx1"/>
            </w14:solidFill>
          </w14:textFill>
        </w:rPr>
        <w:object>
          <v:shape id="_x0000_i1026" o:spt="75" type="#_x0000_t75" style="height:18.75pt;width:33.7pt;" o:ole="t" filled="f" o:preferrelative="t" stroked="f" coordsize="21600,21600">
            <v:path/>
            <v:fill on="f" focussize="0,0"/>
            <v:stroke on="f" joinstyle="miter"/>
            <v:imagedata r:id="rId11" o:title=""/>
            <o:lock v:ext="edit" aspectratio="f"/>
            <w10:wrap type="none"/>
            <w10:anchorlock/>
          </v:shape>
          <o:OLEObject Type="Embed" ProgID="Equation.DSMT4" ShapeID="_x0000_i1026" DrawAspect="Content" ObjectID="_1468075726" r:id="rId10">
            <o:LockedField>false</o:LockedField>
          </o:OLEObject>
        </w:object>
      </w:r>
      <w:r>
        <w:rPr>
          <w:rFonts w:hint="eastAsia"/>
          <w:color w:val="000000" w:themeColor="text1"/>
          <w14:textFill>
            <w14:solidFill>
              <w14:schemeClr w14:val="tx1"/>
            </w14:solidFill>
          </w14:textFill>
        </w:rPr>
        <w:t>表示城市增长结果变量的最后一期与基期的长差分项，</w:t>
      </w:r>
      <w:r>
        <w:rPr>
          <w:rFonts w:hint="eastAsia"/>
          <w:i/>
          <w:color w:val="000000" w:themeColor="text1"/>
          <w14:textFill>
            <w14:solidFill>
              <w14:schemeClr w14:val="tx1"/>
            </w14:solidFill>
          </w14:textFill>
        </w:rPr>
        <w:t>T</w:t>
      </w:r>
      <w:r>
        <w:rPr>
          <w:rFonts w:hint="eastAsia"/>
          <w:color w:val="000000" w:themeColor="text1"/>
          <w14:textFill>
            <w14:solidFill>
              <w14:schemeClr w14:val="tx1"/>
            </w14:solidFill>
          </w14:textFill>
        </w:rPr>
        <w:t>表示最后一期（样本中为2</w:t>
      </w:r>
      <w:r>
        <w:rPr>
          <w:color w:val="000000" w:themeColor="text1"/>
          <w14:textFill>
            <w14:solidFill>
              <w14:schemeClr w14:val="tx1"/>
            </w14:solidFill>
          </w14:textFill>
        </w:rPr>
        <w:t>015</w:t>
      </w:r>
      <w:r>
        <w:rPr>
          <w:rFonts w:hint="eastAsia"/>
          <w:color w:val="000000" w:themeColor="text1"/>
          <w14:textFill>
            <w14:solidFill>
              <w14:schemeClr w14:val="tx1"/>
            </w14:solidFill>
          </w14:textFill>
        </w:rPr>
        <w:t>年），1则是基期（样本中为2</w:t>
      </w:r>
      <w:r>
        <w:rPr>
          <w:color w:val="000000" w:themeColor="text1"/>
          <w14:textFill>
            <w14:solidFill>
              <w14:schemeClr w14:val="tx1"/>
            </w14:solidFill>
          </w14:textFill>
        </w:rPr>
        <w:t>000</w:t>
      </w:r>
      <w:r>
        <w:rPr>
          <w:rFonts w:hint="eastAsia"/>
          <w:color w:val="000000" w:themeColor="text1"/>
          <w14:textFill>
            <w14:solidFill>
              <w14:schemeClr w14:val="tx1"/>
            </w14:solidFill>
          </w14:textFill>
        </w:rPr>
        <w:t>年），其计算原则是期末值减去期初值，</w:t>
      </w:r>
      <w:r>
        <w:rPr>
          <w:rFonts w:hint="eastAsia"/>
          <w:color w:val="000000" w:themeColor="text1"/>
          <w:position w:val="-14"/>
          <w14:textFill>
            <w14:solidFill>
              <w14:schemeClr w14:val="tx1"/>
            </w14:solidFill>
          </w14:textFill>
        </w:rPr>
        <w:object>
          <v:shape id="_x0000_i1027" o:spt="75" type="#_x0000_t75" style="height:18.75pt;width:84.5pt;" o:ole="t" filled="f" o:preferrelative="t" stroked="f" coordsize="21600,21600">
            <v:path/>
            <v:fill on="f" focussize="0,0"/>
            <v:stroke on="f" joinstyle="miter"/>
            <v:imagedata r:id="rId13" o:title=""/>
            <o:lock v:ext="edit" aspectratio="f"/>
            <w10:wrap type="none"/>
            <w10:anchorlock/>
          </v:shape>
          <o:OLEObject Type="Embed" ProgID="Equation.DSMT4" ShapeID="_x0000_i1027" DrawAspect="Content" ObjectID="_1468075727" r:id="rId12">
            <o:LockedField>false</o:LockedField>
          </o:OLEObject>
        </w:object>
      </w:r>
      <w:r>
        <w:rPr>
          <w:rFonts w:hint="eastAsia"/>
          <w:color w:val="000000" w:themeColor="text1"/>
          <w14:textFill>
            <w14:solidFill>
              <w14:schemeClr w14:val="tx1"/>
            </w14:solidFill>
          </w14:textFill>
        </w:rPr>
        <w:t>表示城市几何形态的长差分项，</w:t>
      </w:r>
      <w:r>
        <w:rPr>
          <w:rFonts w:hint="eastAsia"/>
          <w:color w:val="000000" w:themeColor="text1"/>
          <w:position w:val="-14"/>
          <w14:textFill>
            <w14:solidFill>
              <w14:schemeClr w14:val="tx1"/>
            </w14:solidFill>
          </w14:textFill>
        </w:rPr>
        <w:object>
          <v:shape id="_x0000_i1028" o:spt="75" type="#_x0000_t75" style="height:18.75pt;width:50.75pt;" o:ole="t" filled="f" o:preferrelative="t" stroked="f" coordsize="21600,21600">
            <v:path/>
            <v:fill on="f" focussize="0,0"/>
            <v:stroke on="f" joinstyle="miter"/>
            <v:imagedata r:id="rId15" o:title=""/>
            <o:lock v:ext="edit" aspectratio="f"/>
            <w10:wrap type="none"/>
            <w10:anchorlock/>
          </v:shape>
          <o:OLEObject Type="Embed" ProgID="Equation.DSMT4" ShapeID="_x0000_i1028" DrawAspect="Content" ObjectID="_1468075728" r:id="rId14">
            <o:LockedField>false</o:LockedField>
          </o:OLEObject>
        </w:object>
      </w:r>
      <w:r>
        <w:rPr>
          <w:rFonts w:hint="eastAsia"/>
          <w:color w:val="000000" w:themeColor="text1"/>
          <w14:textFill>
            <w14:solidFill>
              <w14:schemeClr w14:val="tx1"/>
            </w14:solidFill>
          </w14:textFill>
        </w:rPr>
        <w:t>表示城市面积的长差分项，变量集</w:t>
      </w:r>
      <w:r>
        <w:rPr>
          <w:rFonts w:hint="eastAsia"/>
          <w:color w:val="000000" w:themeColor="text1"/>
          <w:position w:val="-14"/>
          <w14:textFill>
            <w14:solidFill>
              <w14:schemeClr w14:val="tx1"/>
            </w14:solidFill>
          </w14:textFill>
        </w:rPr>
        <w:object>
          <v:shape id="_x0000_i1029" o:spt="75" type="#_x0000_t75" style="height:18.75pt;width:36.6pt;" o:ole="t" filled="f" o:preferrelative="t" stroked="f" coordsize="21600,21600">
            <v:path/>
            <v:fill on="f" focussize="0,0"/>
            <v:stroke on="f" joinstyle="miter"/>
            <v:imagedata r:id="rId17" o:title=""/>
            <o:lock v:ext="edit" aspectratio="f"/>
            <w10:wrap type="none"/>
            <w10:anchorlock/>
          </v:shape>
          <o:OLEObject Type="Embed" ProgID="Equation.DSMT4" ShapeID="_x0000_i1029" DrawAspect="Content" ObjectID="_1468075729" r:id="rId16">
            <o:LockedField>false</o:LockedField>
          </o:OLEObject>
        </w:object>
      </w:r>
      <w:r>
        <w:rPr>
          <w:rFonts w:hint="eastAsia"/>
          <w:color w:val="000000" w:themeColor="text1"/>
          <w14:textFill>
            <w14:solidFill>
              <w14:schemeClr w14:val="tx1"/>
            </w14:solidFill>
          </w14:textFill>
        </w:rPr>
        <w:t>代表城市层面代表城市层面与增长有关的其他干扰特征的长差分项，这里的焦点系数</w:t>
      </w:r>
      <w:r>
        <w:rPr>
          <w:rFonts w:cs="Times New Roman"/>
          <w:color w:val="000000" w:themeColor="text1"/>
          <w14:textFill>
            <w14:solidFill>
              <w14:schemeClr w14:val="tx1"/>
            </w14:solidFill>
          </w14:textFill>
        </w:rPr>
        <w:t>α</w:t>
      </w:r>
      <w:r>
        <w:rPr>
          <w:rFonts w:hint="eastAsia" w:cs="Times New Roman"/>
          <w:color w:val="000000" w:themeColor="text1"/>
          <w:vertAlign w:val="subscript"/>
          <w14:textFill>
            <w14:solidFill>
              <w14:schemeClr w14:val="tx1"/>
            </w14:solidFill>
          </w14:textFill>
        </w:rPr>
        <w:t>2</w:t>
      </w:r>
      <w:r>
        <w:rPr>
          <w:rFonts w:hint="eastAsia"/>
          <w:color w:val="000000" w:themeColor="text1"/>
          <w14:textFill>
            <w14:solidFill>
              <w14:schemeClr w14:val="tx1"/>
            </w14:solidFill>
          </w14:textFill>
        </w:rPr>
        <w:t>表示城市间因形态变异的差异而导致的增长差异</w:t>
      </w:r>
      <w:r>
        <w:rPr>
          <w:rStyle w:val="15"/>
          <w:color w:val="000000" w:themeColor="text1"/>
          <w14:textFill>
            <w14:solidFill>
              <w14:schemeClr w14:val="tx1"/>
            </w14:solidFill>
          </w14:textFill>
        </w:rPr>
        <w:footnoteReference w:id="0"/>
      </w:r>
      <w:r>
        <w:rPr>
          <w:rFonts w:hint="eastAsia"/>
          <w:color w:val="000000" w:themeColor="text1"/>
          <w14:textFill>
            <w14:solidFill>
              <w14:schemeClr w14:val="tx1"/>
            </w14:solidFill>
          </w14:textFill>
        </w:rPr>
        <w:t>。</w:t>
      </w:r>
    </w:p>
    <w:p>
      <w:pPr>
        <w:pStyle w:val="4"/>
        <w:spacing w:before="156" w:after="156"/>
        <w:ind w:firstLine="422"/>
        <w:jc w:val="both"/>
        <w:rPr>
          <w:rFonts w:cs="Times New Roman"/>
          <w:b/>
          <w:bCs/>
        </w:rPr>
      </w:pPr>
      <w:bookmarkStart w:id="4" w:name="_Toc155566167"/>
      <w:r>
        <w:rPr>
          <w:rFonts w:hint="eastAsia" w:cs="Times New Roman"/>
          <w:b/>
          <w:bCs/>
        </w:rPr>
        <w:t>（二）</w:t>
      </w:r>
      <w:r>
        <w:rPr>
          <w:rFonts w:hint="eastAsia" w:hAnsi="宋体" w:cs="Times New Roman"/>
          <w:b/>
          <w:bCs/>
        </w:rPr>
        <w:t>指标测度</w:t>
      </w:r>
      <w:bookmarkEnd w:id="4"/>
    </w:p>
    <w:p>
      <w:pPr>
        <w:ind w:firstLine="42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城市人口</w:t>
      </w:r>
    </w:p>
    <w:p>
      <w:pPr>
        <w:ind w:firstLine="42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当前，测度城市人口规模主要使用来自中国经济普查数据的常住人口统计数据或是来自《中国城市统计年鉴》的市辖区或是全市的人口统计数据。这两个数据都存在一定的局限性，主要是其测度的人口尺度是市辖区或是全市的人口规模与增长，而实际的城市范围可能并非覆盖了城市或是市辖区整体。近年来，城市经济学者们也不断提出城市的真实区域是高密度区域、建成区区域等（Carlino et al</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2007；张浩然，2017；Harari，2020）。中国的城市较为特殊，无论是市辖区还是全市都相比发达国家的城市更大，主要由于这些区域内包括了实际的非城市区域，市域尺度中包含了一定比例的农村区域，市辖区尺度内虽然农村区域较少，但是也包含了部分城中村区域，且城市内部也存在许多碎片化区域人口规模相对较小、密度较低，在短期内难以发展成真正的城市。如果仅仅使用市辖区人口或是全市的人口</w:t>
      </w:r>
      <w:r>
        <w:rPr>
          <w:rFonts w:hint="eastAsia" w:ascii="Segoe UI Emoji" w:hAnsi="Segoe UI Emoji" w:cs="Segoe UI Emoji"/>
          <w:color w:val="000000" w:themeColor="text1"/>
          <w14:textFill>
            <w14:solidFill>
              <w14:schemeClr w14:val="tx1"/>
            </w14:solidFill>
          </w14:textFill>
        </w:rPr>
        <w:t>代表真正的城市区域的人口，可能在实际研究中出现一定的高估问题</w:t>
      </w:r>
      <w:r>
        <w:rPr>
          <w:rFonts w:hint="eastAsia"/>
          <w:color w:val="000000" w:themeColor="text1"/>
          <w14:textFill>
            <w14:solidFill>
              <w14:schemeClr w14:val="tx1"/>
            </w14:solidFill>
          </w14:textFill>
        </w:rPr>
        <w:t>。</w:t>
      </w:r>
    </w:p>
    <w:p>
      <w:pPr>
        <w:ind w:firstLine="42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因此，我们参考当前城市经济学较为主流的方法（Carlino et al</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，2007；Henderson et al</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，2021；Harari，2020），先识别出实际的城市区域，然后根据城市区域结合栅格层面的人口数据提取出城市实际的人口规模。首先，结合城市规划学对于“城市足迹”</w:t>
      </w:r>
      <w:r>
        <w:rPr>
          <w:rStyle w:val="15"/>
          <w:color w:val="000000" w:themeColor="text1"/>
          <w14:textFill>
            <w14:solidFill>
              <w14:schemeClr w14:val="tx1"/>
            </w14:solidFill>
          </w14:textFill>
        </w:rPr>
        <w:footnoteReference w:id="1"/>
      </w:r>
      <w:r>
        <w:rPr>
          <w:rFonts w:hint="eastAsia"/>
          <w:color w:val="000000" w:themeColor="text1"/>
          <w14:textFill>
            <w14:solidFill>
              <w14:schemeClr w14:val="tx1"/>
            </w14:solidFill>
          </w14:textFill>
        </w:rPr>
        <w:t>的刻画与测度思路，我们根据2</w:t>
      </w:r>
      <w:r>
        <w:rPr>
          <w:color w:val="000000" w:themeColor="text1"/>
          <w14:textFill>
            <w14:solidFill>
              <w14:schemeClr w14:val="tx1"/>
            </w14:solidFill>
          </w14:textFill>
        </w:rPr>
        <w:t>000</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2015</w:t>
      </w:r>
      <w:r>
        <w:rPr>
          <w:rFonts w:hint="eastAsia"/>
          <w:color w:val="000000" w:themeColor="text1"/>
          <w14:textFill>
            <w14:solidFill>
              <w14:schemeClr w14:val="tx1"/>
            </w14:solidFill>
          </w14:textFill>
        </w:rPr>
        <w:t>年欧洲空间局（</w:t>
      </w:r>
      <w:r>
        <w:rPr>
          <w:color w:val="000000" w:themeColor="text1"/>
          <w14:textFill>
            <w14:solidFill>
              <w14:schemeClr w14:val="tx1"/>
            </w14:solidFill>
          </w14:textFill>
        </w:rPr>
        <w:t>European Space Agency</w:t>
      </w:r>
      <w:r>
        <w:rPr>
          <w:rFonts w:hint="eastAsia"/>
          <w:color w:val="000000" w:themeColor="text1"/>
          <w14:textFill>
            <w14:solidFill>
              <w14:schemeClr w14:val="tx1"/>
            </w14:solidFill>
          </w14:textFill>
        </w:rPr>
        <w:t>）的</w:t>
      </w:r>
      <w:r>
        <w:rPr>
          <w:rFonts w:hint="eastAsia" w:cs="Times New Roman"/>
          <w:color w:val="000000" w:themeColor="text1"/>
          <w14:textFill>
            <w14:solidFill>
              <w14:schemeClr w14:val="tx1"/>
            </w14:solidFill>
          </w14:textFill>
        </w:rPr>
        <w:t>陆地覆盖</w:t>
      </w:r>
      <w:r>
        <w:rPr>
          <w:rFonts w:hint="eastAsia"/>
          <w:color w:val="000000" w:themeColor="text1"/>
          <w14:textFill>
            <w14:solidFill>
              <w14:schemeClr w14:val="tx1"/>
            </w14:solidFill>
          </w14:textFill>
        </w:rPr>
        <w:t>数据提取了中国的城市区域（Urban</w:t>
      </w:r>
      <w:r>
        <w:rPr>
          <w:color w:val="000000" w:themeColor="text1"/>
          <w14:textFill>
            <w14:solidFill>
              <w14:schemeClr w14:val="tx1"/>
            </w14:solidFill>
          </w14:textFill>
        </w:rPr>
        <w:t xml:space="preserve"> A</w:t>
      </w:r>
      <w:r>
        <w:rPr>
          <w:rFonts w:hint="eastAsia"/>
          <w:color w:val="000000" w:themeColor="text1"/>
          <w14:textFill>
            <w14:solidFill>
              <w14:schemeClr w14:val="tx1"/>
            </w14:solidFill>
          </w14:textFill>
        </w:rPr>
        <w:t>rea）</w:t>
      </w:r>
      <w:r>
        <w:rPr>
          <w:rStyle w:val="15"/>
          <w:color w:val="000000" w:themeColor="text1"/>
          <w14:textFill>
            <w14:solidFill>
              <w14:schemeClr w14:val="tx1"/>
            </w14:solidFill>
          </w14:textFill>
        </w:rPr>
        <w:footnoteReference w:id="2"/>
      </w:r>
      <w:r>
        <w:rPr>
          <w:rFonts w:hint="eastAsia"/>
          <w:color w:val="000000" w:themeColor="text1"/>
          <w14:textFill>
            <w14:solidFill>
              <w14:schemeClr w14:val="tx1"/>
            </w14:solidFill>
          </w14:textFill>
        </w:rPr>
        <w:t>栅格地图，这一区域近似于城市内部的建成区。我们将Harari（2</w:t>
      </w:r>
      <w:r>
        <w:rPr>
          <w:color w:val="000000" w:themeColor="text1"/>
          <w14:textFill>
            <w14:solidFill>
              <w14:schemeClr w14:val="tx1"/>
            </w14:solidFill>
          </w14:textFill>
        </w:rPr>
        <w:t>020</w:t>
      </w:r>
      <w:r>
        <w:rPr>
          <w:rFonts w:hint="eastAsia"/>
          <w:color w:val="000000" w:themeColor="text1"/>
          <w14:textFill>
            <w14:solidFill>
              <w14:schemeClr w14:val="tx1"/>
            </w14:solidFill>
          </w14:textFill>
        </w:rPr>
        <w:t>）的方法做了优化，并没有使用灯光与人口分布数据直接识别，避免设定人口阈值导致的城市范围定义存在随意性，且灯光或是人口分布数据可能存在溢出，会使得城市范围出现过高的估计，难以准确识别出城市内部的非城市区域如山体、河流等，对于城市形态的松散性出现低估</w:t>
      </w:r>
      <w:r>
        <w:rPr>
          <w:rStyle w:val="15"/>
          <w:color w:val="000000" w:themeColor="text1"/>
          <w14:textFill>
            <w14:solidFill>
              <w14:schemeClr w14:val="tx1"/>
            </w14:solidFill>
          </w14:textFill>
        </w:rPr>
        <w:footnoteReference w:id="3"/>
      </w:r>
      <w:r>
        <w:rPr>
          <w:rFonts w:hint="eastAsia"/>
          <w:color w:val="000000" w:themeColor="text1"/>
          <w14:textFill>
            <w14:solidFill>
              <w14:schemeClr w14:val="tx1"/>
            </w14:solidFill>
          </w14:textFill>
        </w:rPr>
        <w:t>。然后，我们将该分辨率为</w:t>
      </w:r>
      <w:bookmarkStart w:id="5" w:name="OLE_LINK15"/>
      <w:bookmarkStart w:id="6" w:name="OLE_LINK14"/>
      <w:r>
        <w:rPr>
          <w:color w:val="000000" w:themeColor="text1"/>
          <w14:textFill>
            <w14:solidFill>
              <w14:schemeClr w14:val="tx1"/>
            </w14:solidFill>
          </w14:textFill>
        </w:rPr>
        <w:t>300m</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300m</w:t>
      </w:r>
      <w:bookmarkEnd w:id="5"/>
      <w:bookmarkEnd w:id="6"/>
      <w:r>
        <w:rPr>
          <w:rFonts w:hint="eastAsia"/>
          <w:color w:val="000000" w:themeColor="text1"/>
          <w14:textFill>
            <w14:solidFill>
              <w14:schemeClr w14:val="tx1"/>
            </w14:solidFill>
          </w14:textFill>
        </w:rPr>
        <w:t>栅格地图转化为矢量地图，通过Arcgis筛选出每一座城市内部最大的连续城市区域多边形</w:t>
      </w:r>
      <w:r>
        <w:rPr>
          <w:rStyle w:val="15"/>
          <w:color w:val="000000" w:themeColor="text1"/>
          <w14:textFill>
            <w14:solidFill>
              <w14:schemeClr w14:val="tx1"/>
            </w14:solidFill>
          </w14:textFill>
        </w:rPr>
        <w:footnoteReference w:id="4"/>
      </w:r>
      <w:r>
        <w:rPr>
          <w:rFonts w:hint="eastAsia"/>
          <w:color w:val="000000" w:themeColor="text1"/>
          <w14:textFill>
            <w14:solidFill>
              <w14:schemeClr w14:val="tx1"/>
            </w14:solidFill>
          </w14:textFill>
        </w:rPr>
        <w:t>（下文简称“多边形”），以此作为城市的实际范围。WorldPop是英国南安普顿大学（University of Southampton）下属一个致力于人口数据开放获取与应用的组织，其网站提供了全球或地区各类人口相关指标，包括人口数量、人口密度、年龄与性别结构、人口流动等宝贵数据，这里使用的人口数据正是该组织通过结合地理信息系统、遥感影像与多元分区密度模型，使用人口普查数据、行政区划资料、土地覆盖数据、道路、高程、坡度、海岸线数据等高分辨率卫星影像及夜间灯光影像，并对数据与模型算法进行年度更新，分辨率为100m×100m。</w:t>
      </w:r>
    </w:p>
    <w:p>
      <w:pPr>
        <w:ind w:firstLine="420" w:firstLineChars="200"/>
        <w:jc w:val="both"/>
        <w:rPr>
          <w:color w:val="000000" w:themeColor="text1"/>
          <w14:textFill>
            <w14:solidFill>
              <w14:schemeClr w14:val="tx1"/>
            </w14:solidFill>
          </w14:textFill>
        </w:rPr>
      </w:pPr>
      <w:r>
        <w:rPr>
          <w:color w:val="000000" w:themeColor="text1"/>
          <w14:textFill>
            <w14:solidFill>
              <w14:schemeClr w14:val="tx1"/>
            </w14:solidFill>
          </w14:textFill>
        </w:rPr>
        <w:t>2.</w:t>
      </w:r>
      <w:r>
        <w:rPr>
          <w:rFonts w:hint="eastAsia"/>
          <w:color w:val="000000" w:themeColor="text1"/>
          <w14:textFill>
            <w14:solidFill>
              <w14:schemeClr w14:val="tx1"/>
            </w14:solidFill>
          </w14:textFill>
        </w:rPr>
        <w:t>城市经济绩效</w:t>
      </w:r>
    </w:p>
    <w:p>
      <w:pPr>
        <w:ind w:firstLine="42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本文还尝试分析城市几何形态对代表城市增长的其他因素的影响，如城市的工资水平，我们则使用《中国城市统计年鉴》中的市辖区工资数据进行价格指数平减后除以市辖区在职职工数量，计算人均工资水平（</w:t>
      </w:r>
      <w:r>
        <w:rPr>
          <w:rFonts w:hint="eastAsia"/>
          <w:i/>
          <w:color w:val="000000" w:themeColor="text1"/>
          <w14:textFill>
            <w14:solidFill>
              <w14:schemeClr w14:val="tx1"/>
            </w14:solidFill>
          </w14:textFill>
        </w:rPr>
        <w:t>wage</w:t>
      </w:r>
      <w:r>
        <w:rPr>
          <w:rFonts w:hint="eastAsia"/>
          <w:color w:val="000000" w:themeColor="text1"/>
          <w14:textFill>
            <w14:solidFill>
              <w14:schemeClr w14:val="tx1"/>
            </w14:solidFill>
          </w14:textFill>
        </w:rPr>
        <w:t>）。城市住房价格则是使用2</w:t>
      </w:r>
      <w:r>
        <w:rPr>
          <w:color w:val="000000" w:themeColor="text1"/>
          <w14:textFill>
            <w14:solidFill>
              <w14:schemeClr w14:val="tx1"/>
            </w14:solidFill>
          </w14:textFill>
        </w:rPr>
        <w:t>005-2013</w:t>
      </w:r>
      <w:r>
        <w:rPr>
          <w:rFonts w:hint="eastAsia"/>
          <w:color w:val="000000" w:themeColor="text1"/>
          <w14:textFill>
            <w14:solidFill>
              <w14:schemeClr w14:val="tx1"/>
            </w14:solidFill>
          </w14:textFill>
        </w:rPr>
        <w:t>年间《中国区域统计年鉴》中的商品住宅销售额除以当年市辖区的销售住房总面积计算的单位面积价格（</w:t>
      </w:r>
      <w:r>
        <w:rPr>
          <w:rFonts w:hint="eastAsia"/>
          <w:i/>
          <w:color w:val="000000" w:themeColor="text1"/>
          <w14:textFill>
            <w14:solidFill>
              <w14:schemeClr w14:val="tx1"/>
            </w14:solidFill>
          </w14:textFill>
        </w:rPr>
        <w:t>housingprice</w:t>
      </w:r>
      <w:r>
        <w:rPr>
          <w:rFonts w:hint="eastAsia"/>
          <w:color w:val="000000" w:themeColor="text1"/>
          <w14:textFill>
            <w14:solidFill>
              <w14:schemeClr w14:val="tx1"/>
            </w14:solidFill>
          </w14:textFill>
        </w:rPr>
        <w:t>）</w:t>
      </w:r>
      <w:r>
        <w:rPr>
          <w:rStyle w:val="15"/>
          <w:color w:val="000000" w:themeColor="text1"/>
          <w14:textFill>
            <w14:solidFill>
              <w14:schemeClr w14:val="tx1"/>
            </w14:solidFill>
          </w14:textFill>
        </w:rPr>
        <w:footnoteReference w:id="5"/>
      </w:r>
      <w:r>
        <w:rPr>
          <w:rFonts w:hint="eastAsia"/>
          <w:color w:val="000000" w:themeColor="text1"/>
          <w14:textFill>
            <w14:solidFill>
              <w14:schemeClr w14:val="tx1"/>
            </w14:solidFill>
          </w14:textFill>
        </w:rPr>
        <w:t>。此外，我们还结合梁婧等（2</w:t>
      </w:r>
      <w:r>
        <w:rPr>
          <w:color w:val="000000" w:themeColor="text1"/>
          <w14:textFill>
            <w14:solidFill>
              <w14:schemeClr w14:val="tx1"/>
            </w14:solidFill>
          </w14:textFill>
        </w:rPr>
        <w:t>015</w:t>
      </w:r>
      <w:r>
        <w:rPr>
          <w:rFonts w:hint="eastAsia"/>
          <w:color w:val="000000" w:themeColor="text1"/>
          <w14:textFill>
            <w14:solidFill>
              <w14:schemeClr w14:val="tx1"/>
            </w14:solidFill>
          </w14:textFill>
        </w:rPr>
        <w:t>）的测度方式，收集了2</w:t>
      </w:r>
      <w:r>
        <w:rPr>
          <w:color w:val="000000" w:themeColor="text1"/>
          <w14:textFill>
            <w14:solidFill>
              <w14:schemeClr w14:val="tx1"/>
            </w14:solidFill>
          </w14:textFill>
        </w:rPr>
        <w:t>000</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2013</w:t>
      </w:r>
      <w:r>
        <w:rPr>
          <w:rFonts w:hint="eastAsia"/>
          <w:color w:val="000000" w:themeColor="text1"/>
          <w14:textFill>
            <w14:solidFill>
              <w14:schemeClr w14:val="tx1"/>
            </w14:solidFill>
          </w14:textFill>
        </w:rPr>
        <w:t>年DMSP/OLS夜间灯光数</w:t>
      </w:r>
      <w:r>
        <w:rPr>
          <w:rStyle w:val="15"/>
          <w:color w:val="000000" w:themeColor="text1"/>
          <w14:textFill>
            <w14:solidFill>
              <w14:schemeClr w14:val="tx1"/>
            </w14:solidFill>
          </w14:textFill>
        </w:rPr>
        <w:footnoteReference w:id="6"/>
      </w:r>
      <w:r>
        <w:rPr>
          <w:rFonts w:hint="eastAsia"/>
          <w:color w:val="000000" w:themeColor="text1"/>
          <w14:textFill>
            <w14:solidFill>
              <w14:schemeClr w14:val="tx1"/>
            </w14:solidFill>
          </w14:textFill>
        </w:rPr>
        <w:t>，计算单位面积上的灯光亮度测度城市经济增长（</w:t>
      </w:r>
      <w:r>
        <w:rPr>
          <w:rFonts w:eastAsia="等线" w:cs="Times New Roman"/>
          <w:i/>
          <w:iCs/>
          <w:color w:val="000000" w:themeColor="text1"/>
          <w:szCs w:val="21"/>
          <w14:textFill>
            <w14:solidFill>
              <w14:schemeClr w14:val="tx1"/>
            </w14:solidFill>
          </w14:textFill>
        </w:rPr>
        <w:t>light</w:t>
      </w:r>
      <w:r>
        <w:rPr>
          <w:rFonts w:hint="eastAsia" w:eastAsia="等线" w:cs="Times New Roman"/>
          <w:i/>
          <w:iCs/>
          <w:color w:val="000000" w:themeColor="text1"/>
          <w:szCs w:val="21"/>
          <w14:textFill>
            <w14:solidFill>
              <w14:schemeClr w14:val="tx1"/>
            </w14:solidFill>
          </w14:textFill>
        </w:rPr>
        <w:t>den</w:t>
      </w:r>
      <w:r>
        <w:rPr>
          <w:rFonts w:hint="eastAsia"/>
          <w:color w:val="000000" w:themeColor="text1"/>
          <w14:textFill>
            <w14:solidFill>
              <w14:schemeClr w14:val="tx1"/>
            </w14:solidFill>
          </w14:textFill>
        </w:rPr>
        <w:t>）以及劳均灯光亮度测度劳动生产率（</w:t>
      </w:r>
      <w:r>
        <w:rPr>
          <w:rFonts w:eastAsia="等线" w:cs="Times New Roman"/>
          <w:i/>
          <w:iCs/>
          <w:color w:val="000000" w:themeColor="text1"/>
          <w:szCs w:val="21"/>
          <w14:textFill>
            <w14:solidFill>
              <w14:schemeClr w14:val="tx1"/>
            </w14:solidFill>
          </w14:textFill>
        </w:rPr>
        <w:t>light</w:t>
      </w:r>
      <w:r>
        <w:rPr>
          <w:rFonts w:hint="eastAsia" w:eastAsia="等线" w:cs="Times New Roman"/>
          <w:i/>
          <w:iCs/>
          <w:color w:val="000000" w:themeColor="text1"/>
          <w:szCs w:val="21"/>
          <w14:textFill>
            <w14:solidFill>
              <w14:schemeClr w14:val="tx1"/>
            </w14:solidFill>
          </w14:textFill>
        </w:rPr>
        <w:t>per</w:t>
      </w:r>
      <w:r>
        <w:rPr>
          <w:rFonts w:eastAsia="等线" w:cs="Times New Roman"/>
          <w:i/>
          <w:iCs/>
          <w:color w:val="000000" w:themeColor="text1"/>
          <w:szCs w:val="21"/>
          <w14:textFill>
            <w14:solidFill>
              <w14:schemeClr w14:val="tx1"/>
            </w14:solidFill>
          </w14:textFill>
        </w:rPr>
        <w:t>lab</w:t>
      </w:r>
      <w:r>
        <w:rPr>
          <w:rFonts w:hint="eastAsia"/>
          <w:color w:val="000000" w:themeColor="text1"/>
          <w14:textFill>
            <w14:solidFill>
              <w14:schemeClr w14:val="tx1"/>
            </w14:solidFill>
          </w14:textFill>
        </w:rPr>
        <w:t>）。最终我们保留了2</w:t>
      </w:r>
      <w:r>
        <w:rPr>
          <w:color w:val="000000" w:themeColor="text1"/>
          <w14:textFill>
            <w14:solidFill>
              <w14:schemeClr w14:val="tx1"/>
            </w14:solidFill>
          </w14:textFill>
        </w:rPr>
        <w:t>000</w:t>
      </w:r>
      <w:r>
        <w:rPr>
          <w:rFonts w:hint="eastAsia"/>
          <w:color w:val="000000" w:themeColor="text1"/>
          <w14:textFill>
            <w14:solidFill>
              <w14:schemeClr w14:val="tx1"/>
            </w14:solidFill>
          </w14:textFill>
        </w:rPr>
        <w:t>年-</w:t>
      </w:r>
      <w:r>
        <w:rPr>
          <w:color w:val="000000" w:themeColor="text1"/>
          <w14:textFill>
            <w14:solidFill>
              <w14:schemeClr w14:val="tx1"/>
            </w14:solidFill>
          </w14:textFill>
        </w:rPr>
        <w:t>2015</w:t>
      </w:r>
      <w:r>
        <w:rPr>
          <w:rFonts w:hint="eastAsia"/>
          <w:color w:val="000000" w:themeColor="text1"/>
          <w14:textFill>
            <w14:solidFill>
              <w14:schemeClr w14:val="tx1"/>
            </w14:solidFill>
          </w14:textFill>
        </w:rPr>
        <w:t>年共2</w:t>
      </w:r>
      <w:r>
        <w:rPr>
          <w:color w:val="000000" w:themeColor="text1"/>
          <w14:textFill>
            <w14:solidFill>
              <w14:schemeClr w14:val="tx1"/>
            </w14:solidFill>
          </w14:textFill>
        </w:rPr>
        <w:t>86</w:t>
      </w:r>
      <w:r>
        <w:rPr>
          <w:rFonts w:hint="eastAsia"/>
          <w:color w:val="000000" w:themeColor="text1"/>
          <w14:textFill>
            <w14:solidFill>
              <w14:schemeClr w14:val="tx1"/>
            </w14:solidFill>
          </w14:textFill>
        </w:rPr>
        <w:t>个地级市的</w:t>
      </w:r>
      <w:r>
        <w:rPr>
          <w:color w:val="000000" w:themeColor="text1"/>
          <w14:textFill>
            <w14:solidFill>
              <w14:schemeClr w14:val="tx1"/>
            </w14:solidFill>
          </w14:textFill>
        </w:rPr>
        <w:t>4576</w:t>
      </w:r>
      <w:r>
        <w:rPr>
          <w:rFonts w:hint="eastAsia"/>
          <w:color w:val="000000" w:themeColor="text1"/>
          <w14:textFill>
            <w14:solidFill>
              <w14:schemeClr w14:val="tx1"/>
            </w14:solidFill>
          </w14:textFill>
        </w:rPr>
        <w:t>个城市-时间样本。</w:t>
      </w:r>
      <w:r>
        <w:rPr>
          <w:rStyle w:val="15"/>
          <w:color w:val="000000" w:themeColor="text1"/>
          <w14:textFill>
            <w14:solidFill>
              <w14:schemeClr w14:val="tx1"/>
            </w14:solidFill>
          </w14:textFill>
        </w:rPr>
        <w:footnoteReference w:id="7"/>
      </w:r>
    </w:p>
    <w:p>
      <w:pPr>
        <w:ind w:firstLine="420" w:firstLineChars="200"/>
        <w:jc w:val="both"/>
        <w:rPr>
          <w:color w:val="000000" w:themeColor="text1"/>
          <w14:textFill>
            <w14:solidFill>
              <w14:schemeClr w14:val="tx1"/>
            </w14:solidFill>
          </w14:textFill>
        </w:rPr>
      </w:pPr>
      <w:r>
        <w:rPr>
          <w:color w:val="000000" w:themeColor="text1"/>
          <w14:textFill>
            <w14:solidFill>
              <w14:schemeClr w14:val="tx1"/>
            </w14:solidFill>
          </w14:textFill>
        </w:rPr>
        <w:t>3.</w:t>
      </w:r>
      <w:r>
        <w:rPr>
          <w:rFonts w:hint="eastAsia"/>
          <w:color w:val="000000" w:themeColor="text1"/>
          <w14:textFill>
            <w14:solidFill>
              <w14:schemeClr w14:val="tx1"/>
            </w14:solidFill>
          </w14:textFill>
        </w:rPr>
        <w:t>城市形态</w:t>
      </w:r>
    </w:p>
    <w:p>
      <w:pPr>
        <w:ind w:firstLine="420" w:firstLineChars="200"/>
        <w:jc w:val="both"/>
        <w:rPr>
          <w:rFonts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我们在图II</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a与图II</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b中展示了2</w:t>
      </w:r>
      <w:r>
        <w:rPr>
          <w:color w:val="000000" w:themeColor="text1"/>
          <w14:textFill>
            <w14:solidFill>
              <w14:schemeClr w14:val="tx1"/>
            </w14:solidFill>
          </w14:textFill>
        </w:rPr>
        <w:t>015</w:t>
      </w:r>
      <w:r>
        <w:rPr>
          <w:rFonts w:hint="eastAsia"/>
          <w:color w:val="000000" w:themeColor="text1"/>
          <w14:textFill>
            <w14:solidFill>
              <w14:schemeClr w14:val="tx1"/>
            </w14:solidFill>
          </w14:textFill>
        </w:rPr>
        <w:t>年重庆与西安的城市几何形态，重庆市的城市形态指数为</w:t>
      </w:r>
      <w:r>
        <w:rPr>
          <w:color w:val="000000" w:themeColor="text1"/>
          <w14:textFill>
            <w14:solidFill>
              <w14:schemeClr w14:val="tx1"/>
            </w14:solidFill>
          </w14:textFill>
        </w:rPr>
        <w:t>14.17</w:t>
      </w:r>
      <w:r>
        <w:rPr>
          <w:rFonts w:hint="eastAsia"/>
          <w:color w:val="000000" w:themeColor="text1"/>
          <w14:textFill>
            <w14:solidFill>
              <w14:schemeClr w14:val="tx1"/>
            </w14:solidFill>
          </w14:textFill>
        </w:rPr>
        <w:t>，在控制多边形面积后为</w:t>
      </w:r>
      <w:r>
        <w:rPr>
          <w:color w:val="000000" w:themeColor="text1"/>
          <w14:textFill>
            <w14:solidFill>
              <w14:schemeClr w14:val="tx1"/>
            </w14:solidFill>
          </w14:textFill>
        </w:rPr>
        <w:t>1.72</w:t>
      </w:r>
      <w:r>
        <w:rPr>
          <w:rFonts w:hint="eastAsia"/>
          <w:color w:val="000000" w:themeColor="text1"/>
          <w14:textFill>
            <w14:solidFill>
              <w14:schemeClr w14:val="tx1"/>
            </w14:solidFill>
          </w14:textFill>
        </w:rPr>
        <w:t>，西安的城市形态指数为</w:t>
      </w:r>
      <w:r>
        <w:rPr>
          <w:color w:val="000000" w:themeColor="text1"/>
          <w14:textFill>
            <w14:solidFill>
              <w14:schemeClr w14:val="tx1"/>
            </w14:solidFill>
          </w14:textFill>
        </w:rPr>
        <w:t>12.93</w:t>
      </w:r>
      <w:r>
        <w:rPr>
          <w:rFonts w:hint="eastAsia"/>
          <w:color w:val="000000" w:themeColor="text1"/>
          <w14:textFill>
            <w14:solidFill>
              <w14:schemeClr w14:val="tx1"/>
            </w14:solidFill>
          </w14:textFill>
        </w:rPr>
        <w:t>，控制多边形面积后为1</w:t>
      </w:r>
      <w:r>
        <w:rPr>
          <w:color w:val="000000" w:themeColor="text1"/>
          <w14:textFill>
            <w14:solidFill>
              <w14:schemeClr w14:val="tx1"/>
            </w14:solidFill>
          </w14:textFill>
        </w:rPr>
        <w:t>.38</w:t>
      </w:r>
      <w:r>
        <w:rPr>
          <w:rFonts w:hint="eastAsia"/>
          <w:color w:val="000000" w:themeColor="text1"/>
          <w14:textFill>
            <w14:solidFill>
              <w14:schemeClr w14:val="tx1"/>
            </w14:solidFill>
          </w14:textFill>
        </w:rPr>
        <w:t>，从中可以直观地看出，城市形态指数越大则几何形态越松散的特征。</w:t>
      </w:r>
      <w:r>
        <w:rPr>
          <w:rFonts w:cs="Times New Roman"/>
          <w:color w:val="000000" w:themeColor="text1"/>
          <w14:textFill>
            <w14:solidFill>
              <w14:schemeClr w14:val="tx1"/>
            </w14:solidFill>
          </w14:textFill>
        </w:rPr>
        <w:t>当然，考虑到稳健性，我们在下文中还是使用了其他的测度方法</w:t>
      </w:r>
      <w:r>
        <w:rPr>
          <w:rFonts w:hint="eastAsia" w:cs="Times New Roman"/>
          <w:color w:val="000000" w:themeColor="text1"/>
          <w14:textFill>
            <w14:solidFill>
              <w14:schemeClr w14:val="tx1"/>
            </w14:solidFill>
          </w14:textFill>
        </w:rPr>
        <w:t>来</w:t>
      </w:r>
      <w:r>
        <w:rPr>
          <w:rFonts w:cs="Times New Roman"/>
          <w:color w:val="000000" w:themeColor="text1"/>
          <w14:textFill>
            <w14:solidFill>
              <w14:schemeClr w14:val="tx1"/>
            </w14:solidFill>
          </w14:textFill>
        </w:rPr>
        <w:t>刻画城市形态，计算了</w:t>
      </w:r>
      <w:r>
        <w:rPr>
          <w:rFonts w:hint="eastAsia"/>
          <w:color w:val="000000" w:themeColor="text1"/>
          <w14:textFill>
            <w14:solidFill>
              <w14:schemeClr w14:val="tx1"/>
            </w14:solidFill>
          </w14:textFill>
        </w:rPr>
        <w:t>多边形</w:t>
      </w:r>
      <w:r>
        <w:rPr>
          <w:rFonts w:cs="Times New Roman"/>
          <w:color w:val="000000" w:themeColor="text1"/>
          <w14:textFill>
            <w14:solidFill>
              <w14:schemeClr w14:val="tx1"/>
            </w14:solidFill>
          </w14:textFill>
        </w:rPr>
        <w:t>内各个点到城市质心的平均距离（</w:t>
      </w:r>
      <w:r>
        <w:rPr>
          <w:rFonts w:cs="Times New Roman"/>
          <w:i/>
          <w:iCs/>
          <w:color w:val="000000" w:themeColor="text1"/>
          <w14:textFill>
            <w14:solidFill>
              <w14:schemeClr w14:val="tx1"/>
            </w14:solidFill>
          </w14:textFill>
        </w:rPr>
        <w:t>remotness</w:t>
      </w:r>
      <w:r>
        <w:rPr>
          <w:rFonts w:cs="Times New Roman"/>
          <w:color w:val="000000" w:themeColor="text1"/>
          <w14:textFill>
            <w14:solidFill>
              <w14:schemeClr w14:val="tx1"/>
            </w14:solidFill>
          </w14:textFill>
        </w:rPr>
        <w:t>）以及各个点之间距离的最大值（</w:t>
      </w:r>
      <w:r>
        <w:rPr>
          <w:rFonts w:cs="Times New Roman"/>
          <w:i/>
          <w:iCs/>
          <w:color w:val="000000" w:themeColor="text1"/>
          <w14:textFill>
            <w14:solidFill>
              <w14:schemeClr w14:val="tx1"/>
            </w14:solidFill>
          </w14:textFill>
        </w:rPr>
        <w:t>range</w:t>
      </w:r>
      <w:r>
        <w:rPr>
          <w:rFonts w:cs="Times New Roman"/>
          <w:color w:val="000000" w:themeColor="text1"/>
          <w14:textFill>
            <w14:solidFill>
              <w14:schemeClr w14:val="tx1"/>
            </w14:solidFill>
          </w14:textFill>
        </w:rPr>
        <w:t>），使用这些指标作为核心变量重新回归进行检验</w:t>
      </w:r>
      <w:r>
        <w:rPr>
          <w:rFonts w:hint="eastAsia" w:cs="Times New Roman"/>
          <w:color w:val="000000" w:themeColor="text1"/>
          <w14:textFill>
            <w14:solidFill>
              <w14:schemeClr w14:val="tx1"/>
            </w14:solidFill>
          </w14:textFill>
        </w:rPr>
        <w:t>。</w:t>
      </w:r>
    </w:p>
    <w:p>
      <w:pPr>
        <w:ind w:firstLine="420" w:firstLineChars="200"/>
        <w:jc w:val="center"/>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0" distR="0">
            <wp:extent cx="2317750" cy="2343785"/>
            <wp:effectExtent l="0" t="0" r="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8"/>
                    <a:stretch>
                      <a:fillRect/>
                    </a:stretch>
                  </pic:blipFill>
                  <pic:spPr>
                    <a:xfrm>
                      <a:off x="0" y="0"/>
                      <a:ext cx="2327426" cy="2353675"/>
                    </a:xfrm>
                    <a:prstGeom prst="rect">
                      <a:avLst/>
                    </a:prstGeom>
                  </pic:spPr>
                </pic:pic>
              </a:graphicData>
            </a:graphic>
          </wp:inline>
        </w:drawing>
      </w:r>
      <w:r>
        <w:rPr>
          <w:color w:val="000000" w:themeColor="text1"/>
          <w14:textFill>
            <w14:solidFill>
              <w14:schemeClr w14:val="tx1"/>
            </w14:solidFill>
          </w14:textFill>
        </w:rPr>
        <w:drawing>
          <wp:inline distT="0" distB="0" distL="0" distR="0">
            <wp:extent cx="2548890" cy="2350135"/>
            <wp:effectExtent l="0" t="0" r="3810" b="0"/>
            <wp:docPr id="134" name="图片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图片 134"/>
                    <pic:cNvPicPr>
                      <a:picLocks noChangeAspect="1"/>
                    </pic:cNvPicPr>
                  </pic:nvPicPr>
                  <pic:blipFill>
                    <a:blip r:embed="rId19"/>
                    <a:stretch>
                      <a:fillRect/>
                    </a:stretch>
                  </pic:blipFill>
                  <pic:spPr>
                    <a:xfrm>
                      <a:off x="0" y="0"/>
                      <a:ext cx="2577172" cy="2376116"/>
                    </a:xfrm>
                    <a:prstGeom prst="rect">
                      <a:avLst/>
                    </a:prstGeom>
                  </pic:spPr>
                </pic:pic>
              </a:graphicData>
            </a:graphic>
          </wp:inline>
        </w:drawing>
      </w:r>
    </w:p>
    <w:p>
      <w:pPr>
        <w:ind w:firstLine="360" w:firstLineChars="200"/>
        <w:jc w:val="center"/>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图II1a重庆市城市几何形态                          图II1b西安市城市几何形态</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在计算城市几何形态指数后，我们还测算了多边形的面积，以剥离城市实际扩张差异带来的增长差异，而且基于城市多边形内部距离计算的城市几何形态指标与多边形面积可能存在一定的关联性，为了将城市几何形态的影响从城市规模的影响中分离出来，需要控制面积这一因素。</w:t>
      </w:r>
    </w:p>
    <w:p>
      <w:pPr>
        <w:ind w:firstLine="42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图II2a与图II2b展示了重庆市2</w:t>
      </w:r>
      <w:r>
        <w:rPr>
          <w:color w:val="000000" w:themeColor="text1"/>
          <w14:textFill>
            <w14:solidFill>
              <w14:schemeClr w14:val="tx1"/>
            </w14:solidFill>
          </w14:textFill>
        </w:rPr>
        <w:t>015</w:t>
      </w:r>
      <w:r>
        <w:rPr>
          <w:rFonts w:hint="eastAsia"/>
          <w:color w:val="000000" w:themeColor="text1"/>
          <w14:textFill>
            <w14:solidFill>
              <w14:schemeClr w14:val="tx1"/>
            </w14:solidFill>
          </w14:textFill>
        </w:rPr>
        <w:t>年的城市几何形态，图II2a为根据陆地覆盖数据提取的城市区域形态，图II2b是根据O</w:t>
      </w:r>
      <w:r>
        <w:rPr>
          <w:color w:val="000000" w:themeColor="text1"/>
          <w14:textFill>
            <w14:solidFill>
              <w14:schemeClr w14:val="tx1"/>
            </w14:solidFill>
          </w14:textFill>
        </w:rPr>
        <w:t>LS</w:t>
      </w:r>
      <w:r>
        <w:rPr>
          <w:rFonts w:hint="eastAsia"/>
          <w:color w:val="000000" w:themeColor="text1"/>
          <w14:textFill>
            <w14:solidFill>
              <w14:schemeClr w14:val="tx1"/>
            </w14:solidFill>
          </w14:textFill>
        </w:rPr>
        <w:t>夜间灯光数据设置亮度阈值3</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每平方公里后提取的形态。显然，通过建设用地数据能够更为准确地观测城市外围以及内部存在的非城市区域，例如山体、河流等，而通过夜间灯光数据提取的城市区域难以观测城市内部无法到达的地点，可能使得原本形态的松散性出现低估，主要因为灯光存在溢出效应，且分辨率相对较粗糙，此外阈值设置也存在随意性</w:t>
      </w:r>
      <w:r>
        <w:rPr>
          <w:rStyle w:val="15"/>
          <w:rFonts w:hint="eastAsia"/>
          <w:color w:val="000000" w:themeColor="text1"/>
          <w14:textFill>
            <w14:solidFill>
              <w14:schemeClr w14:val="tx1"/>
            </w14:solidFill>
          </w14:textFill>
        </w:rPr>
        <w:footnoteReference w:id="8"/>
      </w:r>
      <w:r>
        <w:rPr>
          <w:rFonts w:hint="eastAsia"/>
          <w:color w:val="000000" w:themeColor="text1"/>
          <w14:textFill>
            <w14:solidFill>
              <w14:schemeClr w14:val="tx1"/>
            </w14:solidFill>
          </w14:textFill>
        </w:rPr>
        <w:t>，图II2c是使用较为精细的1</w:t>
      </w:r>
      <w:r>
        <w:rPr>
          <w:color w:val="000000" w:themeColor="text1"/>
          <w14:textFill>
            <w14:solidFill>
              <w14:schemeClr w14:val="tx1"/>
            </w14:solidFill>
          </w14:textFill>
        </w:rPr>
        <w:t>00</w:t>
      </w:r>
      <w:r>
        <w:rPr>
          <w:rFonts w:hint="eastAsia"/>
          <w:color w:val="000000" w:themeColor="text1"/>
          <w14:textFill>
            <w14:solidFill>
              <w14:schemeClr w14:val="tx1"/>
            </w14:solidFill>
          </w14:textFill>
        </w:rPr>
        <w:t>m</w:t>
      </w:r>
      <w:r>
        <w:rPr>
          <w:color w:val="000000" w:themeColor="text1"/>
          <w14:textFill>
            <w14:solidFill>
              <w14:schemeClr w14:val="tx1"/>
            </w14:solidFill>
          </w14:textFill>
        </w:rPr>
        <w:t>×100</w:t>
      </w:r>
      <w:r>
        <w:rPr>
          <w:rFonts w:hint="eastAsia"/>
          <w:color w:val="000000" w:themeColor="text1"/>
          <w14:textFill>
            <w14:solidFill>
              <w14:schemeClr w14:val="tx1"/>
            </w14:solidFill>
          </w14:textFill>
        </w:rPr>
        <w:t>m分辨率的worldpop人口分布数据设置阈值1</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人（相当于1</w:t>
      </w:r>
      <w:r>
        <w:rPr>
          <w:color w:val="000000" w:themeColor="text1"/>
          <w14:textFill>
            <w14:solidFill>
              <w14:schemeClr w14:val="tx1"/>
            </w14:solidFill>
          </w14:textFill>
        </w:rPr>
        <w:t>500</w:t>
      </w:r>
      <w:r>
        <w:rPr>
          <w:rFonts w:hint="eastAsia"/>
          <w:color w:val="000000" w:themeColor="text1"/>
          <w14:textFill>
            <w14:solidFill>
              <w14:schemeClr w14:val="tx1"/>
            </w14:solidFill>
          </w14:textFill>
        </w:rPr>
        <w:t>人每平方公里），可以发现未平滑处理时城市区域如图II2c所示与我们使用陆地覆盖数据提取的城市区域较为接近，能够相对较为准确的捕捉出城市几何形态的特征，但是该阈值也存在随意性，但是经过平滑性处理后如附图图II2d所示，却又与灯光数据出现相似的情形，松散性出现低估，这可能是因为平滑性处理后会将原本不规则区域边界变得更为平滑，使得其松散性出现低估。</w:t>
      </w:r>
    </w:p>
    <w:p>
      <w:pPr>
        <w:jc w:val="center"/>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0" distR="0">
            <wp:extent cx="2561590" cy="2400300"/>
            <wp:effectExtent l="0" t="0" r="0" b="0"/>
            <wp:docPr id="133" name="图片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图片 133"/>
                    <pic:cNvPicPr>
                      <a:picLocks noChangeAspect="1"/>
                    </pic:cNvPicPr>
                  </pic:nvPicPr>
                  <pic:blipFill>
                    <a:blip r:embed="rId18"/>
                    <a:stretch>
                      <a:fillRect/>
                    </a:stretch>
                  </pic:blipFill>
                  <pic:spPr>
                    <a:xfrm>
                      <a:off x="0" y="0"/>
                      <a:ext cx="2588886" cy="2425508"/>
                    </a:xfrm>
                    <a:prstGeom prst="rect">
                      <a:avLst/>
                    </a:prstGeom>
                  </pic:spPr>
                </pic:pic>
              </a:graphicData>
            </a:graphic>
          </wp:inline>
        </w:drawing>
      </w:r>
      <w:r>
        <w:rPr>
          <w:color w:val="000000" w:themeColor="text1"/>
          <w14:textFill>
            <w14:solidFill>
              <w14:schemeClr w14:val="tx1"/>
            </w14:solidFill>
          </w14:textFill>
        </w:rPr>
        <w:drawing>
          <wp:inline distT="0" distB="0" distL="0" distR="0">
            <wp:extent cx="2623820" cy="2438400"/>
            <wp:effectExtent l="0" t="0" r="508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20"/>
                    <a:stretch>
                      <a:fillRect/>
                    </a:stretch>
                  </pic:blipFill>
                  <pic:spPr>
                    <a:xfrm>
                      <a:off x="0" y="0"/>
                      <a:ext cx="2634416" cy="2447827"/>
                    </a:xfrm>
                    <a:prstGeom prst="rect">
                      <a:avLst/>
                    </a:prstGeom>
                  </pic:spPr>
                </pic:pic>
              </a:graphicData>
            </a:graphic>
          </wp:inline>
        </w:drawing>
      </w:r>
    </w:p>
    <w:p>
      <w:pPr>
        <w:jc w:val="center"/>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图II2a 2015年重庆市几何形态（ESA）   图II2b 2015年重庆市几何形态（灯光数据35阈值）</w:t>
      </w:r>
    </w:p>
    <w:p>
      <w:pPr>
        <w:jc w:val="center"/>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0" distR="0">
            <wp:extent cx="2261235" cy="2082800"/>
            <wp:effectExtent l="0" t="0" r="5715" b="3175"/>
            <wp:docPr id="181" name="图片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 name="图片 181"/>
                    <pic:cNvPicPr>
                      <a:picLocks noChangeAspect="1"/>
                    </pic:cNvPicPr>
                  </pic:nvPicPr>
                  <pic:blipFill>
                    <a:blip r:embed="rId21"/>
                    <a:stretch>
                      <a:fillRect/>
                    </a:stretch>
                  </pic:blipFill>
                  <pic:spPr>
                    <a:xfrm>
                      <a:off x="0" y="0"/>
                      <a:ext cx="2261235" cy="2082800"/>
                    </a:xfrm>
                    <a:prstGeom prst="rect">
                      <a:avLst/>
                    </a:prstGeom>
                  </pic:spPr>
                </pic:pic>
              </a:graphicData>
            </a:graphic>
          </wp:inline>
        </w:drawing>
      </w:r>
      <w:r>
        <w:rPr>
          <w:color w:val="000000" w:themeColor="text1"/>
          <w14:textFill>
            <w14:solidFill>
              <w14:schemeClr w14:val="tx1"/>
            </w14:solidFill>
          </w14:textFill>
        </w:rPr>
        <w:drawing>
          <wp:inline distT="0" distB="0" distL="0" distR="0">
            <wp:extent cx="2325370" cy="2096770"/>
            <wp:effectExtent l="0" t="0" r="8255" b="8255"/>
            <wp:docPr id="135" name="图片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图片 135"/>
                    <pic:cNvPicPr>
                      <a:picLocks noChangeAspect="1"/>
                    </pic:cNvPicPr>
                  </pic:nvPicPr>
                  <pic:blipFill>
                    <a:blip r:embed="rId22"/>
                    <a:stretch>
                      <a:fillRect/>
                    </a:stretch>
                  </pic:blipFill>
                  <pic:spPr>
                    <a:xfrm>
                      <a:off x="0" y="0"/>
                      <a:ext cx="2325370" cy="2096770"/>
                    </a:xfrm>
                    <a:prstGeom prst="rect">
                      <a:avLst/>
                    </a:prstGeom>
                  </pic:spPr>
                </pic:pic>
              </a:graphicData>
            </a:graphic>
          </wp:inline>
        </w:drawing>
      </w:r>
    </w:p>
    <w:p>
      <w:pPr>
        <w:jc w:val="center"/>
        <w:rPr>
          <w:rFonts w:ascii="黑体" w:hAnsi="黑体" w:eastAsia="黑体" w:cs="黑体"/>
          <w:color w:val="000000" w:themeColor="text1"/>
          <w:sz w:val="16"/>
          <w:szCs w:val="16"/>
          <w14:textFill>
            <w14:solidFill>
              <w14:schemeClr w14:val="tx1"/>
            </w14:solidFill>
          </w14:textFill>
        </w:rPr>
      </w:pPr>
      <w:r>
        <w:rPr>
          <w:rFonts w:hint="eastAsia" w:ascii="黑体" w:hAnsi="黑体" w:eastAsia="黑体" w:cs="黑体"/>
          <w:color w:val="000000" w:themeColor="text1"/>
          <w:sz w:val="16"/>
          <w:szCs w:val="16"/>
          <w14:textFill>
            <w14:solidFill>
              <w14:schemeClr w14:val="tx1"/>
            </w14:solidFill>
          </w14:textFill>
        </w:rPr>
        <w:t>图II2c2015年重庆市几何形态（worldpop 15阈值未平滑）图II2d 2015年重庆市几何形态（worldpop 15阈值已平滑）</w:t>
      </w:r>
    </w:p>
    <w:p>
      <w:pPr>
        <w:pStyle w:val="5"/>
        <w:ind w:firstLine="420"/>
        <w:rPr>
          <w:rFonts w:eastAsiaTheme="minorEastAsia"/>
        </w:rPr>
      </w:pPr>
      <w:r>
        <w:t>4.</w:t>
      </w:r>
      <w:r>
        <w:rPr>
          <w:rFonts w:hint="eastAsia"/>
        </w:rPr>
        <w:t>城市其他特征</w:t>
      </w:r>
    </w:p>
    <w:p>
      <w:pPr>
        <w:ind w:firstLine="42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本文在识别过程中还需要剥离城市层面其他对城市人口增长可能产生影响的扰动因素，以避免遗漏变量问题。计算政府财政支出额度占G</w:t>
      </w:r>
      <w:r>
        <w:rPr>
          <w:color w:val="000000" w:themeColor="text1"/>
          <w14:textFill>
            <w14:solidFill>
              <w14:schemeClr w14:val="tx1"/>
            </w14:solidFill>
          </w14:textFill>
        </w:rPr>
        <w:t>DP</w:t>
      </w:r>
      <w:r>
        <w:rPr>
          <w:rFonts w:hint="eastAsia"/>
          <w:color w:val="000000" w:themeColor="text1"/>
          <w14:textFill>
            <w14:solidFill>
              <w14:schemeClr w14:val="tx1"/>
            </w14:solidFill>
          </w14:textFill>
        </w:rPr>
        <w:t>比重（</w:t>
      </w:r>
      <w:r>
        <w:rPr>
          <w:rFonts w:hint="eastAsia"/>
          <w:i/>
          <w:color w:val="000000" w:themeColor="text1"/>
          <w14:textFill>
            <w14:solidFill>
              <w14:schemeClr w14:val="tx1"/>
            </w14:solidFill>
          </w14:textFill>
        </w:rPr>
        <w:t>expend</w:t>
      </w:r>
      <w:r>
        <w:rPr>
          <w:rFonts w:hint="eastAsia"/>
          <w:color w:val="000000" w:themeColor="text1"/>
          <w14:textFill>
            <w14:solidFill>
              <w14:schemeClr w14:val="tx1"/>
            </w14:solidFill>
          </w14:textFill>
        </w:rPr>
        <w:t>）以及财政收入额度占G</w:t>
      </w:r>
      <w:r>
        <w:rPr>
          <w:color w:val="000000" w:themeColor="text1"/>
          <w14:textFill>
            <w14:solidFill>
              <w14:schemeClr w14:val="tx1"/>
            </w14:solidFill>
          </w14:textFill>
        </w:rPr>
        <w:t>DP</w:t>
      </w:r>
      <w:r>
        <w:rPr>
          <w:rFonts w:hint="eastAsia"/>
          <w:color w:val="000000" w:themeColor="text1"/>
          <w14:textFill>
            <w14:solidFill>
              <w14:schemeClr w14:val="tx1"/>
            </w14:solidFill>
          </w14:textFill>
        </w:rPr>
        <w:t>比重（</w:t>
      </w:r>
      <w:r>
        <w:rPr>
          <w:rFonts w:hint="eastAsia"/>
          <w:i/>
          <w:color w:val="000000" w:themeColor="text1"/>
          <w14:textFill>
            <w14:solidFill>
              <w14:schemeClr w14:val="tx1"/>
            </w14:solidFill>
          </w14:textFill>
        </w:rPr>
        <w:t>income</w:t>
      </w:r>
      <w:r>
        <w:rPr>
          <w:rFonts w:hint="eastAsia"/>
          <w:color w:val="000000" w:themeColor="text1"/>
          <w14:textFill>
            <w14:solidFill>
              <w14:schemeClr w14:val="tx1"/>
            </w14:solidFill>
          </w14:textFill>
        </w:rPr>
        <w:t>），并将</w:t>
      </w:r>
      <w:r>
        <w:rPr>
          <w:rFonts w:hint="eastAsia"/>
          <w:i/>
          <w:iCs/>
          <w:color w:val="000000" w:themeColor="text1"/>
          <w14:textFill>
            <w14:solidFill>
              <w14:schemeClr w14:val="tx1"/>
            </w14:solidFill>
          </w14:textFill>
        </w:rPr>
        <w:t>income</w:t>
      </w:r>
      <w:r>
        <w:rPr>
          <w:rFonts w:hint="eastAsia"/>
          <w:color w:val="000000" w:themeColor="text1"/>
          <w14:textFill>
            <w14:solidFill>
              <w14:schemeClr w14:val="tx1"/>
            </w14:solidFill>
          </w14:textFill>
        </w:rPr>
        <w:t>减去</w:t>
      </w:r>
      <w:r>
        <w:rPr>
          <w:rFonts w:hint="eastAsia"/>
          <w:i/>
          <w:iCs/>
          <w:color w:val="000000" w:themeColor="text1"/>
          <w14:textFill>
            <w14:solidFill>
              <w14:schemeClr w14:val="tx1"/>
            </w14:solidFill>
          </w14:textFill>
        </w:rPr>
        <w:t>expend</w:t>
      </w:r>
      <w:r>
        <w:rPr>
          <w:rFonts w:hint="eastAsia"/>
          <w:color w:val="000000" w:themeColor="text1"/>
          <w14:textFill>
            <w14:solidFill>
              <w14:schemeClr w14:val="tx1"/>
            </w14:solidFill>
          </w14:textFill>
        </w:rPr>
        <w:t>计算城市每年的财政赤字占</w:t>
      </w:r>
      <w:r>
        <w:rPr>
          <w:color w:val="000000" w:themeColor="text1"/>
          <w14:textFill>
            <w14:solidFill>
              <w14:schemeClr w14:val="tx1"/>
            </w14:solidFill>
          </w14:textFill>
        </w:rPr>
        <w:t>GDP</w:t>
      </w:r>
      <w:r>
        <w:rPr>
          <w:rFonts w:hint="eastAsia"/>
          <w:color w:val="000000" w:themeColor="text1"/>
          <w14:textFill>
            <w14:solidFill>
              <w14:schemeClr w14:val="tx1"/>
            </w14:solidFill>
          </w14:textFill>
        </w:rPr>
        <w:t>比重（</w:t>
      </w:r>
      <w:r>
        <w:rPr>
          <w:i/>
          <w:iCs/>
          <w:color w:val="000000" w:themeColor="text1"/>
          <w14:textFill>
            <w14:solidFill>
              <w14:schemeClr w14:val="tx1"/>
            </w14:solidFill>
          </w14:textFill>
        </w:rPr>
        <w:t>government</w:t>
      </w:r>
      <w:r>
        <w:rPr>
          <w:rFonts w:hint="eastAsia"/>
          <w:color w:val="000000" w:themeColor="text1"/>
          <w14:textFill>
            <w14:solidFill>
              <w14:schemeClr w14:val="tx1"/>
            </w14:solidFill>
          </w14:textFill>
        </w:rPr>
        <w:t>），地方政府的财政盈余或是赤字能够反映出地方政府财政压力剥离地方政府出于财政压力而实施的政策产生的影响。这一点也是研究中国问题时必须考虑的，因为在中国政府的特征有可能同时影响城市经济增长以及整体的几何形态的规划，控制了城市固定资产投资占G</w:t>
      </w:r>
      <w:r>
        <w:rPr>
          <w:color w:val="000000" w:themeColor="text1"/>
          <w14:textFill>
            <w14:solidFill>
              <w14:schemeClr w14:val="tx1"/>
            </w14:solidFill>
          </w14:textFill>
        </w:rPr>
        <w:t>DP</w:t>
      </w:r>
      <w:r>
        <w:rPr>
          <w:rFonts w:hint="eastAsia"/>
          <w:color w:val="000000" w:themeColor="text1"/>
          <w14:textFill>
            <w14:solidFill>
              <w14:schemeClr w14:val="tx1"/>
            </w14:solidFill>
          </w14:textFill>
        </w:rPr>
        <w:t>比重（</w:t>
      </w:r>
      <w:r>
        <w:rPr>
          <w:rFonts w:eastAsia="等线" w:cs="Times New Roman"/>
          <w:i/>
          <w:iCs/>
          <w:color w:val="000000" w:themeColor="text1"/>
          <w:szCs w:val="21"/>
          <w14:textFill>
            <w14:solidFill>
              <w14:schemeClr w14:val="tx1"/>
            </w14:solidFill>
          </w14:textFill>
        </w:rPr>
        <w:t>investment</w:t>
      </w:r>
      <w:r>
        <w:rPr>
          <w:rFonts w:hint="eastAsia"/>
          <w:color w:val="000000" w:themeColor="text1"/>
          <w14:textFill>
            <w14:solidFill>
              <w14:schemeClr w14:val="tx1"/>
            </w14:solidFill>
          </w14:textFill>
        </w:rPr>
        <w:t>），控制城市固定资产投资对城市增长的影响，最后我们还控制了城市大学生在校人数占人口比重（</w:t>
      </w:r>
      <w:r>
        <w:rPr>
          <w:rFonts w:hint="eastAsia"/>
          <w:i/>
          <w:iCs/>
          <w:color w:val="000000" w:themeColor="text1"/>
          <w14:textFill>
            <w14:solidFill>
              <w14:schemeClr w14:val="tx1"/>
            </w14:solidFill>
          </w14:textFill>
        </w:rPr>
        <w:t>humancapital</w:t>
      </w:r>
      <w:r>
        <w:rPr>
          <w:rFonts w:hint="eastAsia"/>
          <w:color w:val="000000" w:themeColor="text1"/>
          <w14:textFill>
            <w14:solidFill>
              <w14:schemeClr w14:val="tx1"/>
            </w14:solidFill>
          </w14:textFill>
        </w:rPr>
        <w:t>），以剥离大学设立冲击导致的城市规模扩张效应，以上提到的指标均来自《中国城市统计年鉴》中各个城市市辖区层面的数据</w:t>
      </w:r>
      <w:r>
        <w:rPr>
          <w:rStyle w:val="15"/>
          <w:rFonts w:hint="eastAsia"/>
          <w:color w:val="000000" w:themeColor="text1"/>
          <w14:textFill>
            <w14:solidFill>
              <w14:schemeClr w14:val="tx1"/>
            </w14:solidFill>
          </w14:textFill>
        </w:rPr>
        <w:footnoteReference w:id="9"/>
      </w:r>
      <w:r>
        <w:rPr>
          <w:rFonts w:hint="eastAsia"/>
          <w:color w:val="000000" w:themeColor="text1"/>
          <w14:textFill>
            <w14:solidFill>
              <w14:schemeClr w14:val="tx1"/>
            </w14:solidFill>
          </w14:textFill>
        </w:rPr>
        <w:t>。</w:t>
      </w:r>
    </w:p>
    <w:p>
      <w:pPr>
        <w:ind w:firstLine="420" w:firstLineChars="200"/>
        <w:jc w:val="both"/>
        <w:rPr>
          <w:color w:val="000000" w:themeColor="text1"/>
          <w14:textFill>
            <w14:solidFill>
              <w14:schemeClr w14:val="tx1"/>
            </w14:solidFill>
          </w14:textFill>
        </w:rPr>
      </w:pPr>
      <w:r>
        <w:rPr>
          <w:color w:val="000000" w:themeColor="text1"/>
          <w14:textFill>
            <w14:solidFill>
              <w14:schemeClr w14:val="tx1"/>
            </w14:solidFill>
          </w14:textFill>
        </w:rPr>
        <w:t>5.</w:t>
      </w:r>
      <w:r>
        <w:rPr>
          <w:rFonts w:hint="eastAsia"/>
          <w:color w:val="000000" w:themeColor="text1"/>
          <w14:textFill>
            <w14:solidFill>
              <w14:schemeClr w14:val="tx1"/>
            </w14:solidFill>
          </w14:textFill>
        </w:rPr>
        <w:t>内生性及工具变量</w:t>
      </w:r>
    </w:p>
    <w:p>
      <w:pPr>
        <w:ind w:firstLine="42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既有研究对于城市内部空间分布因素已经做出了较为丰富的识别与测度，关于城市几何形态如何影响城市增长识别困难在于两点。第一，我们在进行实证分析过程中由于几何形态测度误差以及遗漏变量等问题，导致在估计的效应可能包含了其他城市特征的影响，尤其是在中国，城市间可能存在差异化的落户、规划和经济激励政策等，这些因素导致城市增长的异常差异，使得城市形态的影响被低估。第二，联立性偏误，例如城市几何形态较为松散的城市，可能是人口规模较大、经济发展水平较高的城市，因为大城市有可能出现更为多样化的内部空间规划形式，这样的互为因果关联也可能导致估计的效应出现低估。因此，我们在基准中使用O</w:t>
      </w:r>
      <w:r>
        <w:rPr>
          <w:color w:val="000000" w:themeColor="text1"/>
          <w14:textFill>
            <w14:solidFill>
              <w14:schemeClr w14:val="tx1"/>
            </w14:solidFill>
          </w14:textFill>
        </w:rPr>
        <w:t>LS</w:t>
      </w:r>
      <w:r>
        <w:rPr>
          <w:rFonts w:hint="eastAsia"/>
          <w:color w:val="000000" w:themeColor="text1"/>
          <w14:textFill>
            <w14:solidFill>
              <w14:schemeClr w14:val="tx1"/>
            </w14:solidFill>
          </w14:textFill>
        </w:rPr>
        <w:t>回归，并尝试尽可能控制城市层面与城市增长有关的干扰因素，以保证所识别的效应更接近因果事实。此外，我们还结合历史因素与自然地理因素寻找较为外生的工具变量来进行更为准确的效应评估。</w:t>
      </w:r>
      <w:r>
        <w:rPr>
          <w:rFonts w:cs="Times New Roman"/>
          <w:color w:val="000000" w:themeColor="text1"/>
          <w14:textFill>
            <w14:solidFill>
              <w14:schemeClr w14:val="tx1"/>
            </w14:solidFill>
          </w14:textFill>
        </w:rPr>
        <w:t>近年来，许多学者围绕城市</w:t>
      </w:r>
      <w:r>
        <w:rPr>
          <w:rFonts w:hint="eastAsia" w:cs="Times New Roman"/>
          <w:color w:val="000000" w:themeColor="text1"/>
          <w14:textFill>
            <w14:solidFill>
              <w14:schemeClr w14:val="tx1"/>
            </w14:solidFill>
          </w14:textFill>
        </w:rPr>
        <w:t>几何</w:t>
      </w:r>
      <w:r>
        <w:rPr>
          <w:rFonts w:cs="Times New Roman"/>
          <w:color w:val="000000" w:themeColor="text1"/>
          <w14:textFill>
            <w14:solidFill>
              <w14:schemeClr w14:val="tx1"/>
            </w14:solidFill>
          </w14:textFill>
        </w:rPr>
        <w:t>形态、空间结构等因素与经济发展间存在的内生性问题展开了探索与研究。</w:t>
      </w:r>
      <w:r>
        <w:rPr>
          <w:rFonts w:hint="eastAsia" w:cs="Times New Roman"/>
          <w:color w:val="000000" w:themeColor="text1"/>
          <w14:textFill>
            <w14:solidFill>
              <w14:schemeClr w14:val="tx1"/>
            </w14:solidFill>
          </w14:textFill>
        </w:rPr>
        <w:t>正如上文所述，</w:t>
      </w:r>
      <w:r>
        <w:rPr>
          <w:rFonts w:cs="Times New Roman"/>
          <w:color w:val="000000" w:themeColor="text1"/>
          <w14:textFill>
            <w14:solidFill>
              <w14:schemeClr w14:val="tx1"/>
            </w14:solidFill>
          </w14:textFill>
        </w:rPr>
        <w:t>城市的形态等空间分布因素主要受到</w:t>
      </w:r>
      <w:r>
        <w:rPr>
          <w:rFonts w:hint="eastAsia" w:cs="Times New Roman"/>
          <w:color w:val="000000" w:themeColor="text1"/>
          <w14:textFill>
            <w14:solidFill>
              <w14:schemeClr w14:val="tx1"/>
            </w14:solidFill>
          </w14:textFill>
        </w:rPr>
        <w:t>历史</w:t>
      </w:r>
      <w:r>
        <w:rPr>
          <w:rFonts w:cs="Times New Roman"/>
          <w:color w:val="000000" w:themeColor="text1"/>
          <w14:textFill>
            <w14:solidFill>
              <w14:schemeClr w14:val="tx1"/>
            </w14:solidFill>
          </w14:textFill>
        </w:rPr>
        <w:t>因素、自然地理因素和社会经济因素的影响</w:t>
      </w:r>
      <w:r>
        <w:rPr>
          <w:rFonts w:hint="eastAsia" w:cs="Times New Roman"/>
          <w:color w:val="000000" w:themeColor="text1"/>
          <w14:textFill>
            <w14:solidFill>
              <w14:schemeClr w14:val="tx1"/>
            </w14:solidFill>
          </w14:textFill>
        </w:rPr>
        <w:t>，并直接受到政府规划的作用</w:t>
      </w:r>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社会经济因素是本文核心观察的被解释变量，故工具变量的选择不能从该方面着手。政府因素来看，</w:t>
      </w:r>
      <w:r>
        <w:rPr>
          <w:rFonts w:cs="Times New Roman"/>
          <w:color w:val="000000" w:themeColor="text1"/>
          <w14:textFill>
            <w14:solidFill>
              <w14:schemeClr w14:val="tx1"/>
            </w14:solidFill>
          </w14:textFill>
        </w:rPr>
        <w:t>当前中国地方官员考核机制导致地方政府在制定城市规划时，不可避免</w:t>
      </w:r>
      <w:r>
        <w:rPr>
          <w:rFonts w:hint="eastAsia" w:cs="Times New Roman"/>
          <w:color w:val="000000" w:themeColor="text1"/>
          <w14:textFill>
            <w14:solidFill>
              <w14:schemeClr w14:val="tx1"/>
            </w14:solidFill>
          </w14:textFill>
        </w:rPr>
        <w:t>地</w:t>
      </w:r>
      <w:r>
        <w:rPr>
          <w:rFonts w:cs="Times New Roman"/>
          <w:color w:val="000000" w:themeColor="text1"/>
          <w14:textFill>
            <w14:solidFill>
              <w14:schemeClr w14:val="tx1"/>
            </w14:solidFill>
          </w14:textFill>
        </w:rPr>
        <w:t>考虑到地方经济发展因素，</w:t>
      </w:r>
      <w:r>
        <w:rPr>
          <w:rFonts w:hint="eastAsia" w:cs="Times New Roman"/>
          <w:color w:val="000000" w:themeColor="text1"/>
          <w14:textFill>
            <w14:solidFill>
              <w14:schemeClr w14:val="tx1"/>
            </w14:solidFill>
          </w14:textFill>
        </w:rPr>
        <w:t>城市增长</w:t>
      </w:r>
      <w:r>
        <w:rPr>
          <w:rFonts w:cs="Times New Roman"/>
          <w:color w:val="000000" w:themeColor="text1"/>
          <w14:textFill>
            <w14:solidFill>
              <w14:schemeClr w14:val="tx1"/>
            </w14:solidFill>
          </w14:textFill>
        </w:rPr>
        <w:t>也会影响到政府干预措施，正如Karpoff and Wittry（2018）所强调，政府相关政策设施冲击并不能保证外生性，故从这一角度选取多中心的工具变量并不合适。自然地理因素与历史因素在城市经济领域都是较为优良的外生冲击（Combes and Gobillon，2015），自然地理与历史因素</w:t>
      </w:r>
      <w:r>
        <w:rPr>
          <w:rFonts w:hint="eastAsia" w:cs="Times New Roman"/>
          <w:color w:val="000000" w:themeColor="text1"/>
          <w14:textFill>
            <w14:solidFill>
              <w14:schemeClr w14:val="tx1"/>
            </w14:solidFill>
          </w14:textFill>
        </w:rPr>
        <w:t>会直接决定城市几何形态，且其与</w:t>
      </w:r>
      <w:r>
        <w:rPr>
          <w:rFonts w:cs="Times New Roman"/>
          <w:color w:val="000000" w:themeColor="text1"/>
          <w14:textFill>
            <w14:solidFill>
              <w14:schemeClr w14:val="tx1"/>
            </w14:solidFill>
          </w14:textFill>
        </w:rPr>
        <w:t>城市</w:t>
      </w:r>
      <w:r>
        <w:rPr>
          <w:rFonts w:hint="eastAsia" w:cs="Times New Roman"/>
          <w:color w:val="000000" w:themeColor="text1"/>
          <w14:textFill>
            <w14:solidFill>
              <w14:schemeClr w14:val="tx1"/>
            </w14:solidFill>
          </w14:textFill>
        </w:rPr>
        <w:t>经济发展</w:t>
      </w:r>
      <w:r>
        <w:rPr>
          <w:rFonts w:cs="Times New Roman"/>
          <w:color w:val="000000" w:themeColor="text1"/>
          <w14:textFill>
            <w14:solidFill>
              <w14:schemeClr w14:val="tx1"/>
            </w14:solidFill>
          </w14:textFill>
        </w:rPr>
        <w:t>之间难以形成直接联系（Ahlfeldt</w:t>
      </w:r>
      <w:r>
        <w:rPr>
          <w:rFonts w:hint="eastAsia" w:cs="Times New Roman"/>
          <w:color w:val="000000" w:themeColor="text1"/>
          <w14:textFill>
            <w14:solidFill>
              <w14:schemeClr w14:val="tx1"/>
            </w14:solidFill>
          </w14:textFill>
        </w:rPr>
        <w:t xml:space="preserve"> </w:t>
      </w:r>
      <w:r>
        <w:rPr>
          <w:rFonts w:cs="Times New Roman"/>
          <w:color w:val="000000" w:themeColor="text1"/>
          <w14:textFill>
            <w14:solidFill>
              <w14:schemeClr w14:val="tx1"/>
            </w14:solidFill>
          </w14:textFill>
        </w:rPr>
        <w:t>and</w:t>
      </w:r>
      <w:r>
        <w:rPr>
          <w:rFonts w:hint="eastAsia" w:cs="Times New Roman"/>
          <w:color w:val="000000" w:themeColor="text1"/>
          <w14:textFill>
            <w14:solidFill>
              <w14:schemeClr w14:val="tx1"/>
            </w14:solidFill>
          </w14:textFill>
        </w:rPr>
        <w:t xml:space="preserve"> </w:t>
      </w:r>
      <w:r>
        <w:rPr>
          <w:rFonts w:cs="Times New Roman"/>
          <w:color w:val="000000" w:themeColor="text1"/>
          <w14:textFill>
            <w14:solidFill>
              <w14:schemeClr w14:val="tx1"/>
            </w14:solidFill>
          </w14:textFill>
        </w:rPr>
        <w:t>Pietrostefani，2019），保证</w:t>
      </w:r>
      <w:r>
        <w:rPr>
          <w:rFonts w:hint="eastAsia" w:cs="Times New Roman"/>
          <w:color w:val="000000" w:themeColor="text1"/>
          <w14:textFill>
            <w14:solidFill>
              <w14:schemeClr w14:val="tx1"/>
            </w14:solidFill>
          </w14:textFill>
        </w:rPr>
        <w:t>一定的外生性</w:t>
      </w:r>
      <w:r>
        <w:rPr>
          <w:rFonts w:cs="Times New Roman"/>
          <w:color w:val="000000" w:themeColor="text1"/>
          <w14:textFill>
            <w14:solidFill>
              <w14:schemeClr w14:val="tx1"/>
            </w14:solidFill>
          </w14:textFill>
        </w:rPr>
        <w:t>。与城市空间结构息息相关的历史与地理因素中，地理方面主要是城市地形因素（Du and Zhang，2018）、日照时间（Carlino et al.，2007）、土壤成分（Combes et al.，2010；Carozzi and Roth，2019）、建造高层建筑的土地适宜性（Rosenthal and Strange，2008）等，而历史方面则主要是历史上的城市规模（Ciccone</w:t>
      </w:r>
      <w:r>
        <w:rPr>
          <w:rFonts w:hint="eastAsia" w:cs="Times New Roman"/>
          <w:color w:val="000000" w:themeColor="text1"/>
          <w14:textFill>
            <w14:solidFill>
              <w14:schemeClr w14:val="tx1"/>
            </w14:solidFill>
          </w14:textFill>
        </w:rPr>
        <w:t xml:space="preserve"> </w:t>
      </w:r>
      <w:r>
        <w:rPr>
          <w:rFonts w:cs="Times New Roman"/>
          <w:color w:val="000000" w:themeColor="text1"/>
          <w14:textFill>
            <w14:solidFill>
              <w14:schemeClr w14:val="tx1"/>
            </w14:solidFill>
          </w14:textFill>
        </w:rPr>
        <w:t>and</w:t>
      </w:r>
      <w:r>
        <w:rPr>
          <w:rFonts w:hint="eastAsia" w:cs="Times New Roman"/>
          <w:color w:val="000000" w:themeColor="text1"/>
          <w14:textFill>
            <w14:solidFill>
              <w14:schemeClr w14:val="tx1"/>
            </w14:solidFill>
          </w14:textFill>
        </w:rPr>
        <w:t xml:space="preserve"> </w:t>
      </w:r>
      <w:r>
        <w:rPr>
          <w:rFonts w:cs="Times New Roman"/>
          <w:color w:val="000000" w:themeColor="text1"/>
          <w14:textFill>
            <w14:solidFill>
              <w14:schemeClr w14:val="tx1"/>
            </w14:solidFill>
          </w14:textFill>
        </w:rPr>
        <w:t>Hall，1996）、历史上城市基础设施（Ioannides</w:t>
      </w:r>
      <w:r>
        <w:rPr>
          <w:rFonts w:hint="eastAsia" w:cs="Times New Roman"/>
          <w:color w:val="000000" w:themeColor="text1"/>
          <w14:textFill>
            <w14:solidFill>
              <w14:schemeClr w14:val="tx1"/>
            </w14:solidFill>
          </w14:textFill>
        </w:rPr>
        <w:t xml:space="preserve"> </w:t>
      </w:r>
      <w:r>
        <w:rPr>
          <w:rFonts w:cs="Times New Roman"/>
          <w:color w:val="000000" w:themeColor="text1"/>
          <w14:textFill>
            <w14:solidFill>
              <w14:schemeClr w14:val="tx1"/>
            </w14:solidFill>
          </w14:textFill>
        </w:rPr>
        <w:t>and</w:t>
      </w:r>
      <w:r>
        <w:rPr>
          <w:rFonts w:hint="eastAsia" w:cs="Times New Roman"/>
          <w:color w:val="000000" w:themeColor="text1"/>
          <w14:textFill>
            <w14:solidFill>
              <w14:schemeClr w14:val="tx1"/>
            </w14:solidFill>
          </w14:textFill>
        </w:rPr>
        <w:t xml:space="preserve"> </w:t>
      </w:r>
      <w:r>
        <w:rPr>
          <w:rFonts w:cs="Times New Roman"/>
          <w:color w:val="000000" w:themeColor="text1"/>
          <w14:textFill>
            <w14:solidFill>
              <w14:schemeClr w14:val="tx1"/>
            </w14:solidFill>
          </w14:textFill>
        </w:rPr>
        <w:t>Zhang，2017）等</w:t>
      </w:r>
      <w:r>
        <w:rPr>
          <w:rFonts w:hint="eastAsia" w:cs="Times New Roman"/>
          <w:color w:val="000000" w:themeColor="text1"/>
          <w14:textFill>
            <w14:solidFill>
              <w14:schemeClr w14:val="tx1"/>
            </w14:solidFill>
          </w14:textFill>
        </w:rPr>
        <w:t>。但是这里还需指出，如果简单的使用历史与自然地理直接作为工具变量则可能出现历史因素与地理因素直接影响到城市的增长，例如历史上更快的人口增长率和多山水的地理环境也可能直接影响人口增长、工资和房价等因素，这样本文使用工具变量进行回归的排他性就可能难以满足，因此，</w:t>
      </w:r>
      <w:r>
        <w:rPr>
          <w:rFonts w:cs="Times New Roman"/>
          <w:color w:val="000000" w:themeColor="text1"/>
          <w14:textFill>
            <w14:solidFill>
              <w14:schemeClr w14:val="tx1"/>
            </w14:solidFill>
          </w14:textFill>
        </w:rPr>
        <w:t>基于数据可得性，我们参考Harari（2020）的</w:t>
      </w:r>
      <w:r>
        <w:rPr>
          <w:rFonts w:hint="eastAsia" w:cs="Times New Roman"/>
          <w:color w:val="000000" w:themeColor="text1"/>
          <w14:textFill>
            <w14:solidFill>
              <w14:schemeClr w14:val="tx1"/>
            </w14:solidFill>
          </w14:textFill>
        </w:rPr>
        <w:t>的做法，不直接采用以上因素作为工具变量，而是结合城市地理开发约束与</w:t>
      </w:r>
      <w:r>
        <w:rPr>
          <w:rFonts w:cs="Times New Roman"/>
          <w:color w:val="000000" w:themeColor="text1"/>
          <w14:textFill>
            <w14:solidFill>
              <w14:schemeClr w14:val="tx1"/>
            </w14:solidFill>
          </w14:textFill>
        </w:rPr>
        <w:t>历史</w:t>
      </w:r>
      <w:r>
        <w:rPr>
          <w:rFonts w:hint="eastAsia" w:cs="Times New Roman"/>
          <w:color w:val="000000" w:themeColor="text1"/>
          <w14:textFill>
            <w14:solidFill>
              <w14:schemeClr w14:val="tx1"/>
            </w14:solidFill>
          </w14:textFill>
        </w:rPr>
        <w:t>人口规模</w:t>
      </w:r>
      <w:r>
        <w:rPr>
          <w:rFonts w:cs="Times New Roman"/>
          <w:color w:val="000000" w:themeColor="text1"/>
          <w14:textFill>
            <w14:solidFill>
              <w14:schemeClr w14:val="tx1"/>
            </w14:solidFill>
          </w14:textFill>
        </w:rPr>
        <w:t>构造工具变量以尝试对内生性问题进行进一步考虑。</w:t>
      </w:r>
      <w:r>
        <w:rPr>
          <w:rFonts w:hint="eastAsia"/>
          <w:color w:val="000000" w:themeColor="text1"/>
          <w14:textFill>
            <w14:solidFill>
              <w14:schemeClr w14:val="tx1"/>
            </w14:solidFill>
          </w14:textFill>
        </w:rPr>
        <w:t>如下图所示：</w:t>
      </w:r>
    </w:p>
    <w:p>
      <w:pPr>
        <w:jc w:val="center"/>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0" distR="0">
            <wp:extent cx="2051050" cy="1975485"/>
            <wp:effectExtent l="0" t="0" r="6350" b="5715"/>
            <wp:docPr id="180" name="图片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图片 180"/>
                    <pic:cNvPicPr>
                      <a:picLocks noChangeAspect="1"/>
                    </pic:cNvPicPr>
                  </pic:nvPicPr>
                  <pic:blipFill>
                    <a:blip r:embed="rId23"/>
                    <a:stretch>
                      <a:fillRect/>
                    </a:stretch>
                  </pic:blipFill>
                  <pic:spPr>
                    <a:xfrm>
                      <a:off x="0" y="0"/>
                      <a:ext cx="2092718" cy="2015496"/>
                    </a:xfrm>
                    <a:prstGeom prst="rect">
                      <a:avLst/>
                    </a:prstGeom>
                  </pic:spPr>
                </pic:pic>
              </a:graphicData>
            </a:graphic>
          </wp:inline>
        </w:drawing>
      </w:r>
      <w:r>
        <w:rPr>
          <w:color w:val="000000" w:themeColor="text1"/>
          <w14:textFill>
            <w14:solidFill>
              <w14:schemeClr w14:val="tx1"/>
            </w14:solidFill>
          </w14:textFill>
        </w:rPr>
        <w:drawing>
          <wp:inline distT="0" distB="0" distL="0" distR="0">
            <wp:extent cx="2091055" cy="2037080"/>
            <wp:effectExtent l="0" t="0" r="4445" b="0"/>
            <wp:docPr id="223" name="图片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 name="图片 223"/>
                    <pic:cNvPicPr>
                      <a:picLocks noChangeAspect="1"/>
                    </pic:cNvPicPr>
                  </pic:nvPicPr>
                  <pic:blipFill>
                    <a:blip r:embed="rId24" cstate="print"/>
                    <a:stretch>
                      <a:fillRect/>
                    </a:stretch>
                  </pic:blipFill>
                  <pic:spPr>
                    <a:xfrm>
                      <a:off x="0" y="0"/>
                      <a:ext cx="2135291" cy="2080137"/>
                    </a:xfrm>
                    <a:prstGeom prst="rect">
                      <a:avLst/>
                    </a:prstGeom>
                  </pic:spPr>
                </pic:pic>
              </a:graphicData>
            </a:graphic>
          </wp:inline>
        </w:drawing>
      </w:r>
    </w:p>
    <w:p>
      <w:pPr>
        <w:jc w:val="center"/>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图II3a 2015年重庆市的预测城市范围     图II3b 2015年重庆市预测范围内连续的可开发范围</w:t>
      </w:r>
    </w:p>
    <w:p>
      <w:pPr>
        <w:jc w:val="center"/>
        <w:rPr>
          <w:color w:val="000000" w:themeColor="text1"/>
          <w:sz w:val="18"/>
          <w:szCs w:val="18"/>
          <w14:textFill>
            <w14:solidFill>
              <w14:schemeClr w14:val="tx1"/>
            </w14:solidFill>
          </w14:textFill>
        </w:rPr>
      </w:pPr>
    </w:p>
    <w:p>
      <w:pPr>
        <w:ind w:firstLine="420" w:firstLineChars="200"/>
      </w:pPr>
      <w:r>
        <w:t>6.</w:t>
      </w:r>
      <w:r>
        <w:rPr>
          <w:rFonts w:hint="eastAsia"/>
        </w:rPr>
        <w:t xml:space="preserve"> 城市容积率限值的测算</w:t>
      </w:r>
    </w:p>
    <w:p>
      <w:pPr>
        <w:ind w:firstLine="420" w:firstLineChars="200"/>
        <w:jc w:val="both"/>
      </w:pPr>
      <w:r>
        <w:rPr>
          <w:rFonts w:hint="eastAsia"/>
        </w:rPr>
        <w:t>根据交易地块的地理位置与名称信息，利用百度地图API以及Google Map API 对每一个地块进行经纬度定位与校准，并根据所在省域经纬度范围进行二次校准从而获取每一个交易地块的精准地理定位。根据地块的经纬度信息，先利用夜间灯光数据识别出每个地级市夜间最亮的单元，将其作为城市中心并获得其所在位置经纬度，然后根据地块的经纬度数据计算出其到所在城市市中心的直线距离，并以此作为模型中的地块位置变量。</w:t>
      </w:r>
      <w:r>
        <w:t>基于微观土地交易数据库，构建以法定容积率限值为被解释变量</w:t>
      </w:r>
      <w:r>
        <w:rPr>
          <w:rFonts w:hint="eastAsia"/>
        </w:rPr>
        <w:t>的模型：</w:t>
      </w:r>
    </w:p>
    <w:p>
      <w:pPr>
        <w:ind w:firstLine="420" w:firstLineChars="200"/>
        <w:jc w:val="right"/>
      </w:pPr>
      <w:r>
        <w:rPr>
          <w:rFonts w:hint="eastAsia"/>
          <w:position w:val="-14"/>
        </w:rPr>
        <w:object>
          <v:shape id="_x0000_i1030" o:spt="75" type="#_x0000_t75" style="height:19.15pt;width:340pt;" o:ole="t" filled="f" o:preferrelative="t" stroked="f" coordsize="21600,21600">
            <v:path/>
            <v:fill on="f" focussize="0,0"/>
            <v:stroke on="f" joinstyle="miter"/>
            <v:imagedata r:id="rId26" o:title=""/>
            <o:lock v:ext="edit" aspectratio="f"/>
            <w10:wrap type="none"/>
            <w10:anchorlock/>
          </v:shape>
          <o:OLEObject Type="Embed" ProgID="Equation.DSMT4" ShapeID="_x0000_i1030" DrawAspect="Content" ObjectID="_1468075730" r:id="rId25">
            <o:LockedField>false</o:LockedField>
          </o:OLEObject>
        </w:object>
      </w:r>
      <w:r>
        <w:rPr>
          <w:rFonts w:hint="eastAsia"/>
        </w:rPr>
        <w:t>（Ⅱ</w:t>
      </w:r>
      <w:r>
        <w:t>2</w:t>
      </w:r>
      <w:r>
        <w:rPr>
          <w:rFonts w:hint="eastAsia"/>
        </w:rPr>
        <w:t>）</w:t>
      </w:r>
    </w:p>
    <w:p>
      <w:pPr>
        <w:jc w:val="both"/>
      </w:pPr>
      <w:r>
        <w:rPr>
          <w:rFonts w:hint="eastAsia"/>
          <w:i/>
          <w:iCs/>
        </w:rPr>
        <w:t xml:space="preserve">far </w:t>
      </w:r>
      <w:r>
        <w:rPr>
          <w:rFonts w:hint="eastAsia"/>
        </w:rPr>
        <w:t>表示地块法定容积率限值，</w:t>
      </w:r>
      <w:r>
        <w:rPr>
          <w:rFonts w:hint="eastAsia"/>
          <w:i/>
          <w:iCs/>
        </w:rPr>
        <w:t>space</w:t>
      </w:r>
      <w:r>
        <w:rPr>
          <w:rFonts w:hint="eastAsia"/>
        </w:rPr>
        <w:t>为地块面积，</w:t>
      </w:r>
      <w:r>
        <w:rPr>
          <w:rFonts w:hint="eastAsia"/>
          <w:i/>
          <w:iCs/>
        </w:rPr>
        <w:t>location</w:t>
      </w:r>
      <w:r>
        <w:rPr>
          <w:rFonts w:hint="eastAsia"/>
        </w:rPr>
        <w:t>为地块位置，以地块到相应城市中心的距离来衡量，</w:t>
      </w:r>
      <w:r>
        <w:rPr>
          <w:rFonts w:hint="eastAsia"/>
          <w:i/>
          <w:iCs/>
        </w:rPr>
        <w:t xml:space="preserve">price </w:t>
      </w:r>
      <w:r>
        <w:rPr>
          <w:rFonts w:hint="eastAsia"/>
        </w:rPr>
        <w:t>与</w:t>
      </w:r>
      <w:r>
        <w:rPr>
          <w:rFonts w:hint="eastAsia"/>
          <w:i/>
          <w:iCs/>
        </w:rPr>
        <w:t>grade</w:t>
      </w:r>
      <w:r>
        <w:rPr>
          <w:rFonts w:hint="eastAsia"/>
        </w:rPr>
        <w:t>分别代表地块的价格和土地等级；下标</w:t>
      </w:r>
      <w:r>
        <w:rPr>
          <w:rFonts w:hint="eastAsia"/>
          <w:i/>
          <w:iCs/>
        </w:rPr>
        <w:t xml:space="preserve">c、l、t </w:t>
      </w:r>
      <w:r>
        <w:rPr>
          <w:rFonts w:hint="eastAsia"/>
        </w:rPr>
        <w:t>分别代表城市、地块以及年份，</w:t>
      </w:r>
      <w:r>
        <w:rPr>
          <w:rFonts w:hint="eastAsia"/>
          <w:i/>
          <w:iCs/>
        </w:rPr>
        <w:t>ω</w:t>
      </w:r>
      <w:r>
        <w:rPr>
          <w:rFonts w:hint="eastAsia"/>
        </w:rPr>
        <w:t>为常数项，</w:t>
      </w:r>
      <w:r>
        <w:rPr>
          <w:rFonts w:hint="eastAsia"/>
          <w:position w:val="-14"/>
        </w:rPr>
        <w:object>
          <v:shape id="_x0000_i1031" o:spt="75" type="#_x0000_t75" style="height:19.15pt;width:21.25pt;" o:ole="t" filled="f" o:preferrelative="t" stroked="f" coordsize="21600,21600">
            <v:path/>
            <v:fill on="f" focussize="0,0"/>
            <v:stroke on="f" joinstyle="miter"/>
            <v:imagedata r:id="rId28" o:title=""/>
            <o:lock v:ext="edit" aspectratio="f"/>
            <w10:wrap type="none"/>
            <w10:anchorlock/>
          </v:shape>
          <o:OLEObject Type="Embed" ProgID="Equation.DSMT4" ShapeID="_x0000_i1031" DrawAspect="Content" ObjectID="_1468075731" r:id="rId27">
            <o:LockedField>false</o:LockedField>
          </o:OLEObject>
        </w:object>
      </w:r>
      <w:r>
        <w:rPr>
          <w:rFonts w:hint="eastAsia"/>
        </w:rPr>
        <w:t>为误差项。此时，结合固定效应具有的特点，模型中城市-年份固定效应</w:t>
      </w:r>
      <w:r>
        <w:rPr>
          <w:rFonts w:hint="eastAsia"/>
          <w:position w:val="-14"/>
        </w:rPr>
        <w:object>
          <v:shape id="_x0000_i1032" o:spt="75" type="#_x0000_t75" style="height:19.15pt;width:20.4pt;" o:ole="t" filled="f" o:preferrelative="t" stroked="f" coordsize="21600,21600">
            <v:path/>
            <v:fill on="f" focussize="0,0"/>
            <v:stroke on="f" joinstyle="miter"/>
            <v:imagedata r:id="rId30" o:title=""/>
            <o:lock v:ext="edit" aspectratio="f"/>
            <w10:wrap type="none"/>
            <w10:anchorlock/>
          </v:shape>
          <o:OLEObject Type="Embed" ProgID="Equation.DSMT4" ShapeID="_x0000_i1032" DrawAspect="Content" ObjectID="_1468075732" r:id="rId29">
            <o:LockedField>false</o:LockedField>
          </o:OLEObject>
        </w:object>
      </w:r>
      <w:r>
        <w:rPr>
          <w:rFonts w:hint="eastAsia"/>
        </w:rPr>
        <w:t>的估计系数</w:t>
      </w:r>
      <w:r>
        <w:rPr>
          <w:rFonts w:hint="eastAsia"/>
          <w:position w:val="-14"/>
        </w:rPr>
        <w:object>
          <v:shape id="_x0000_i1033" o:spt="75" type="#_x0000_t75" style="height:19.15pt;width:19.15pt;" o:ole="t" filled="f" o:preferrelative="t" stroked="f" coordsize="21600,21600">
            <v:path/>
            <v:fill on="f" focussize="0,0"/>
            <v:stroke on="f" joinstyle="miter"/>
            <v:imagedata r:id="rId32" o:title=""/>
            <o:lock v:ext="edit" aspectratio="f"/>
            <w10:wrap type="none"/>
            <w10:anchorlock/>
          </v:shape>
          <o:OLEObject Type="Embed" ProgID="Equation.DSMT4" ShapeID="_x0000_i1033" DrawAspect="Content" ObjectID="_1468075733" r:id="rId31">
            <o:LockedField>false</o:LockedField>
          </o:OLEObject>
        </w:object>
      </w:r>
      <w:r>
        <w:rPr>
          <w:rFonts w:hint="eastAsia"/>
        </w:rPr>
        <w:t>即为控制地块面积、位置、价格以及等级等地方政府其他调控行为因素后的法定容积率平均限值</w:t>
      </w:r>
      <w:r>
        <w:rPr>
          <w:rFonts w:hint="eastAsia"/>
          <w:i/>
          <w:iCs/>
        </w:rPr>
        <w:t>farr</w:t>
      </w:r>
      <w:r>
        <w:rPr>
          <w:rFonts w:hint="eastAsia"/>
        </w:rPr>
        <w:t>。</w:t>
      </w:r>
    </w:p>
    <w:p>
      <w:pPr>
        <w:ind w:firstLine="420" w:firstLineChars="200"/>
      </w:pPr>
      <w:r>
        <w:t>6.</w:t>
      </w:r>
      <w:r>
        <w:rPr>
          <w:rFonts w:hint="eastAsia"/>
        </w:rPr>
        <w:t xml:space="preserve"> 城市人口次中心的测算</w:t>
      </w:r>
    </w:p>
    <w:p>
      <w:pPr>
        <w:ind w:firstLine="420" w:firstLineChars="200"/>
        <w:jc w:val="both"/>
      </w:pPr>
      <w:r>
        <w:rPr>
          <w:rFonts w:hint="eastAsia"/>
        </w:rPr>
        <w:t>本文在机制检验部分阐述的人口多中心测度步骤如下：首先需要识别城市中的各个中心。在以往的研究中，学者们提出了不同的方法来确定人口（主/次）中心，包括了基于最小（绝对）密度测度法、基于相对密度测度法以及非参数测度法（McMillen</w:t>
      </w:r>
      <w:r>
        <w:t xml:space="preserve">, </w:t>
      </w:r>
      <w:r>
        <w:rPr>
          <w:rFonts w:hint="eastAsia"/>
        </w:rPr>
        <w:t>2001）。我们选用非参数测度法进行测度，通过基于非参数法的探索性空间数据分析法（</w:t>
      </w:r>
      <w:r>
        <w:rPr>
          <w:szCs w:val="21"/>
        </w:rPr>
        <w:t xml:space="preserve">Exploratory Spatial Data Analysis, </w:t>
      </w:r>
      <w:r>
        <w:rPr>
          <w:rFonts w:hint="eastAsia"/>
        </w:rPr>
        <w:t>ESDA）来确定人口（主/次）中心。在城市层面，我们通过分析城市内部人口密度的局部空间自相关格局，来确定人口（主/次）中心。通过测算局部Moran I指数（Anselin,20</w:t>
      </w:r>
      <w:r>
        <w:t>1</w:t>
      </w:r>
      <w:r>
        <w:rPr>
          <w:rFonts w:hint="eastAsia"/>
        </w:rPr>
        <w:t>0），来捕捉由人口密度不同的LandScan栅格所构成的栅格簇（Grid Clusters），即通过把每个栅格的人口数值进行比较，描述该栅格周围显著的相似值栅格之间在空间上的集聚程度，通过保留Moran I指数显著的栅格簇而筛选有可能成为中心的地理单元。我们使用Arcgis对每个栅格进行逐个分析并且分类，最终Moran I指数显著的栅格可分为四类：（1）高人口密度栅格，同时相邻的栅格也是高密度（HH）；（2）低人口密度栅格，同时相邻的栅格也是低密度（LL）；（3）高人口密度栅格，同时相邻的栅格是低密度（HL）；（4）低人口密度栅格，同时相邻的栅格是高密度（LH）。需要提到的是，本文根据地理学的相邻原则：（1）点相邻原则；（2）边相邻原则，进行了包围准则的进一步标准化，本文所陈述的包围是满足边相邻原则的，即栅格与栅格之间满足边与边的相邻才被纳入考量。</w:t>
      </w:r>
    </w:p>
    <w:p>
      <w:pPr>
        <w:ind w:firstLine="420" w:firstLineChars="200"/>
        <w:jc w:val="both"/>
      </w:pPr>
      <w:r>
        <w:rPr>
          <w:rFonts w:hint="eastAsia"/>
        </w:rPr>
        <w:t>为了进一步确定</w:t>
      </w:r>
      <w:r>
        <w:rPr>
          <w:rFonts w:hint="eastAsia"/>
          <w:shd w:val="clear" w:color="auto" w:fill="FFFFFF"/>
        </w:rPr>
        <w:t>人口</w:t>
      </w:r>
      <w:r>
        <w:rPr>
          <w:rFonts w:hint="eastAsia"/>
        </w:rPr>
        <w:t>（主/次）中心，我们根据上述栅格分类进行对比，这一方法与基于绝对和相对密度的方法相比更为严格。本文认为人口密度较高，但周围人口密度未达到较高水平的栅格难以保证人口中心中人口密度的连续性，因此选取这类栅格组成人口中心并不合适，而将HH类栅格被视为组成潜在的人口中心是较为合适的。具体的，在中国一些城市最新规划的城镇和地区一开始便被政府视为绝对的人口中心，但是这些所谓的中心对周边地区的影响可能非常小（即被人口密度低和基础设施薄弱的地区包围，如城中村或棚户区）。严格地说，这些中心可能不符合实际的人口中心条件，因此本文多中心分析应该将这类中心进行剔除。人口中心应该是一个连续的区域，HH型栅格由于其本身人口密度较高且由高密度栅格所包围形成了彼此相邻的连续区域，自然而然</w:t>
      </w:r>
      <w:r>
        <w:rPr>
          <w:rFonts w:hint="eastAsia"/>
          <w:shd w:val="clear" w:color="auto" w:fill="FFFFFF"/>
        </w:rPr>
        <w:t>的</w:t>
      </w:r>
      <w:r>
        <w:rPr>
          <w:rFonts w:hint="eastAsia"/>
        </w:rPr>
        <w:t>可以形成人口中心。这类栅格构成人口中心还需要满足该中心范围较大且总人口数较高，故为了过滤出范围较小和人口较少的异常中心样本，本文设置了人口中心筛选准则，即一个中心应至少包含三个栅格（约3km</w:t>
      </w:r>
      <w:r>
        <w:rPr>
          <w:rFonts w:hint="eastAsia"/>
          <w:vertAlign w:val="superscript"/>
        </w:rPr>
        <w:t>2</w:t>
      </w:r>
      <w:r>
        <w:rPr>
          <w:rFonts w:hint="eastAsia"/>
        </w:rPr>
        <w:t>），且总人口拥有10万以上的居民。本文所采用的方法剔除了具有高人口密度的“孤立”栅格，有利于更精确地识别人口中心。</w:t>
      </w:r>
    </w:p>
    <w:p>
      <w:pPr>
        <w:ind w:firstLine="420" w:firstLineChars="200"/>
        <w:jc w:val="both"/>
      </w:pPr>
      <w:r>
        <w:rPr>
          <w:rFonts w:hint="eastAsia"/>
        </w:rPr>
        <w:t>通过以上方法，本文识别了城市中的各个人口中心，包括主中心与次中心，统计每个城市的人口次中心数量。</w:t>
      </w:r>
    </w:p>
    <w:p>
      <w:pPr>
        <w:ind w:firstLine="420" w:firstLineChars="200"/>
      </w:pPr>
      <w:r>
        <w:t>7.</w:t>
      </w:r>
      <w:r>
        <w:rPr>
          <w:rFonts w:hint="eastAsia"/>
        </w:rPr>
        <w:t xml:space="preserve"> 城市郊区化指数计算</w:t>
      </w:r>
    </w:p>
    <w:p>
      <w:pPr>
        <w:ind w:firstLine="420" w:firstLineChars="200"/>
        <w:jc w:val="both"/>
        <w:rPr>
          <w:rFonts w:cs="Times New Roman"/>
        </w:rPr>
      </w:pPr>
      <w:r>
        <w:rPr>
          <w:rFonts w:hint="eastAsia"/>
        </w:rPr>
        <w:t>针对每个城市，以质心为圆心，</w:t>
      </w:r>
      <w:r>
        <w:rPr>
          <w:rFonts w:hint="eastAsia" w:cs="Times New Roman"/>
        </w:rPr>
        <w:t>分别划分0</w:t>
      </w:r>
      <w:r>
        <w:rPr>
          <w:rFonts w:cs="Times New Roman"/>
        </w:rPr>
        <w:t>-1.5</w:t>
      </w:r>
      <w:r>
        <w:rPr>
          <w:rFonts w:hint="eastAsia" w:cs="Times New Roman"/>
        </w:rPr>
        <w:t>公里、</w:t>
      </w:r>
      <w:r>
        <w:rPr>
          <w:rFonts w:cs="Times New Roman"/>
        </w:rPr>
        <w:t>1.5-5</w:t>
      </w:r>
      <w:r>
        <w:rPr>
          <w:rFonts w:hint="eastAsia" w:cs="Times New Roman"/>
        </w:rPr>
        <w:t>公里、5</w:t>
      </w:r>
      <w:r>
        <w:rPr>
          <w:rFonts w:cs="Times New Roman"/>
        </w:rPr>
        <w:t>-10</w:t>
      </w:r>
      <w:r>
        <w:rPr>
          <w:rFonts w:hint="eastAsia" w:cs="Times New Roman"/>
        </w:rPr>
        <w:t>公里、1</w:t>
      </w:r>
      <w:r>
        <w:rPr>
          <w:rFonts w:cs="Times New Roman"/>
        </w:rPr>
        <w:t>0-25</w:t>
      </w:r>
      <w:r>
        <w:rPr>
          <w:rFonts w:hint="eastAsia" w:cs="Times New Roman"/>
        </w:rPr>
        <w:t>公里以及2</w:t>
      </w:r>
      <w:r>
        <w:rPr>
          <w:rFonts w:cs="Times New Roman"/>
        </w:rPr>
        <w:t>5-50</w:t>
      </w:r>
      <w:r>
        <w:rPr>
          <w:rFonts w:hint="eastAsia" w:cs="Times New Roman"/>
        </w:rPr>
        <w:t>公里处划分环形缓冲圈，然后将</w:t>
      </w:r>
      <w:r>
        <w:rPr>
          <w:rFonts w:cs="Times New Roman"/>
        </w:rPr>
        <w:t>L</w:t>
      </w:r>
      <w:r>
        <w:rPr>
          <w:rFonts w:hint="eastAsia" w:cs="Times New Roman"/>
        </w:rPr>
        <w:t>andscan人口数据铺在缓冲区地图内，计算每个环形缓冲圈内的平均人口密度，以缓冲圈内的人口密度作为被解释变量，以缓冲圈外围与城市质心间的距离的均值（0</w:t>
      </w:r>
      <w:r>
        <w:rPr>
          <w:rFonts w:cs="Times New Roman"/>
        </w:rPr>
        <w:t>.75</w:t>
      </w:r>
      <w:r>
        <w:rPr>
          <w:rFonts w:hint="eastAsia" w:cs="Times New Roman"/>
        </w:rPr>
        <w:t>公里、3</w:t>
      </w:r>
      <w:r>
        <w:rPr>
          <w:rFonts w:cs="Times New Roman"/>
        </w:rPr>
        <w:t>.75</w:t>
      </w:r>
      <w:r>
        <w:rPr>
          <w:rFonts w:hint="eastAsia" w:cs="Times New Roman"/>
        </w:rPr>
        <w:t>公里、</w:t>
      </w:r>
      <w:r>
        <w:rPr>
          <w:rFonts w:cs="Times New Roman"/>
        </w:rPr>
        <w:t>7.</w:t>
      </w:r>
      <w:r>
        <w:rPr>
          <w:rFonts w:hint="eastAsia" w:cs="Times New Roman"/>
        </w:rPr>
        <w:t>5公里、1</w:t>
      </w:r>
      <w:r>
        <w:rPr>
          <w:rFonts w:cs="Times New Roman"/>
        </w:rPr>
        <w:t>7.5</w:t>
      </w:r>
      <w:r>
        <w:rPr>
          <w:rFonts w:hint="eastAsia" w:cs="Times New Roman"/>
        </w:rPr>
        <w:t>公里、3</w:t>
      </w:r>
      <w:r>
        <w:rPr>
          <w:rFonts w:cs="Times New Roman"/>
        </w:rPr>
        <w:t>7.5</w:t>
      </w:r>
      <w:r>
        <w:rPr>
          <w:rFonts w:hint="eastAsia" w:cs="Times New Roman"/>
        </w:rPr>
        <w:t>公里）作为解释变量，按照一下模型进行回归：</w:t>
      </w:r>
    </w:p>
    <w:p>
      <w:pPr>
        <w:ind w:firstLine="420" w:firstLineChars="200"/>
        <w:jc w:val="right"/>
        <w:rPr>
          <w:b/>
          <w:bCs/>
        </w:rPr>
      </w:pPr>
      <w:r>
        <w:rPr>
          <w:position w:val="-14"/>
        </w:rPr>
        <w:object>
          <v:shape id="_x0000_i1034" o:spt="75" type="#_x0000_t75" style="height:18.75pt;width:99.05pt;" o:ole="t" filled="f" o:preferrelative="t" stroked="f" coordsize="21600,21600">
            <v:path/>
            <v:fill on="f" focussize="0,0"/>
            <v:stroke on="f" joinstyle="miter"/>
            <v:imagedata r:id="rId34" o:title=""/>
            <o:lock v:ext="edit" aspectratio="t"/>
            <w10:wrap type="none"/>
            <w10:anchorlock/>
          </v:shape>
          <o:OLEObject Type="Embed" ProgID="Equation.DSMT4" ShapeID="_x0000_i1034" DrawAspect="Content" ObjectID="_1468075734" r:id="rId33">
            <o:LockedField>false</o:LockedField>
          </o:OLEObject>
        </w:object>
      </w:r>
      <w:r>
        <w:rPr>
          <w:rFonts w:hint="eastAsia"/>
          <w:position w:val="-14"/>
        </w:rPr>
        <w:t xml:space="preserve">                    （Ⅱ</w:t>
      </w:r>
      <w:r>
        <w:rPr>
          <w:position w:val="-14"/>
        </w:rPr>
        <w:t>3</w:t>
      </w:r>
      <w:r>
        <w:rPr>
          <w:rFonts w:hint="eastAsia"/>
          <w:position w:val="-14"/>
        </w:rPr>
        <w:t>）</w:t>
      </w:r>
    </w:p>
    <w:p>
      <w:pPr>
        <w:jc w:val="both"/>
        <w:rPr>
          <w:rFonts w:cs="Times New Roman"/>
        </w:rPr>
      </w:pPr>
      <w:r>
        <w:rPr>
          <w:rFonts w:hint="eastAsia" w:cs="Times New Roman"/>
          <w:position w:val="-14"/>
        </w:rPr>
        <w:object>
          <v:shape id="_x0000_i1035" o:spt="75" type="#_x0000_t75" style="height:19.15pt;width:17.5pt;" o:ole="t" filled="f" o:preferrelative="t" stroked="f" coordsize="21600,21600">
            <v:path/>
            <v:fill on="f" focussize="0,0"/>
            <v:stroke on="f" joinstyle="miter"/>
            <v:imagedata r:id="rId36" o:title=""/>
            <o:lock v:ext="edit" aspectratio="f"/>
            <w10:wrap type="none"/>
            <w10:anchorlock/>
          </v:shape>
          <o:OLEObject Type="Embed" ProgID="Equation.DSMT4" ShapeID="_x0000_i1035" DrawAspect="Content" ObjectID="_1468075735" r:id="rId35">
            <o:LockedField>false</o:LockedField>
          </o:OLEObject>
        </w:object>
      </w:r>
      <w:r>
        <w:rPr>
          <w:rFonts w:hint="eastAsia" w:cs="Times New Roman"/>
        </w:rPr>
        <w:t>表示每个环形缓冲圈内的平均人口密度，</w:t>
      </w:r>
      <w:r>
        <w:rPr>
          <w:rFonts w:hint="eastAsia" w:cs="Times New Roman"/>
          <w:position w:val="-12"/>
        </w:rPr>
        <w:object>
          <v:shape id="_x0000_i1036" o:spt="75" type="#_x0000_t75" style="height:18.75pt;width:12.9pt;" o:ole="t" filled="f" o:preferrelative="t" stroked="f" coordsize="21600,21600">
            <v:path/>
            <v:fill on="f" focussize="0,0"/>
            <v:stroke on="f" joinstyle="miter"/>
            <v:imagedata r:id="rId38" o:title=""/>
            <o:lock v:ext="edit" aspectratio="f"/>
            <w10:wrap type="none"/>
            <w10:anchorlock/>
          </v:shape>
          <o:OLEObject Type="Embed" ProgID="Equation.DSMT4" ShapeID="_x0000_i1036" DrawAspect="Content" ObjectID="_1468075736" r:id="rId37">
            <o:LockedField>false</o:LockedField>
          </o:OLEObject>
        </w:object>
      </w:r>
      <w:r>
        <w:rPr>
          <w:rFonts w:hint="eastAsia" w:cs="Times New Roman"/>
        </w:rPr>
        <w:t>表示缓冲圈外围与城市质心间的距离，系数</w:t>
      </w:r>
      <w:r>
        <w:rPr>
          <w:rFonts w:hint="eastAsia" w:cs="Times New Roman"/>
          <w:position w:val="-6"/>
        </w:rPr>
        <w:object>
          <v:shape id="_x0000_i1037" o:spt="75" type="#_x0000_t75" style="height:11.25pt;width:12.9pt;" o:ole="t" filled="f" o:preferrelative="t" stroked="f" coordsize="21600,21600">
            <v:path/>
            <v:fill on="f" focussize="0,0"/>
            <v:stroke on="f" joinstyle="miter"/>
            <v:imagedata r:id="rId40" o:title=""/>
            <o:lock v:ext="edit" aspectratio="f"/>
            <w10:wrap type="none"/>
            <w10:anchorlock/>
          </v:shape>
          <o:OLEObject Type="Embed" ProgID="Equation.DSMT4" ShapeID="_x0000_i1037" DrawAspect="Content" ObjectID="_1468075737" r:id="rId39">
            <o:LockedField>false</o:LockedField>
          </o:OLEObject>
        </w:object>
      </w:r>
      <w:r>
        <w:rPr>
          <w:rFonts w:hint="eastAsia" w:cs="Times New Roman"/>
        </w:rPr>
        <w:t>则捕捉了缓冲圈的密度随着距离的衰减程度，如果系数越大说明随着距离增加密度也在上升，即出现人口郊区化，而截距项</w:t>
      </w:r>
      <w:r>
        <w:rPr>
          <w:rFonts w:hint="eastAsia" w:cs="Times New Roman"/>
          <w:position w:val="-10"/>
        </w:rPr>
        <w:object>
          <v:shape id="_x0000_i1038" o:spt="75" type="#_x0000_t75" style="height:16.25pt;width:12.9pt;" o:ole="t" filled="f" o:preferrelative="t" stroked="f" coordsize="21600,21600">
            <v:path/>
            <v:fill on="f" focussize="0,0"/>
            <v:stroke on="f" joinstyle="miter"/>
            <v:imagedata r:id="rId42" o:title=""/>
            <o:lock v:ext="edit" aspectratio="f"/>
            <w10:wrap type="none"/>
            <w10:anchorlock/>
          </v:shape>
          <o:OLEObject Type="Embed" ProgID="Equation.DSMT4" ShapeID="_x0000_i1038" DrawAspect="Content" ObjectID="_1468075738" r:id="rId41">
            <o:LockedField>false</o:LockedField>
          </o:OLEObject>
        </w:object>
      </w:r>
      <w:r>
        <w:rPr>
          <w:rFonts w:hint="eastAsia" w:cs="Times New Roman"/>
        </w:rPr>
        <w:t>则恰好表示城市质心的人口密度水平，其值越大说明城市趋于向中心集聚。</w:t>
      </w:r>
    </w:p>
    <w:p>
      <w:pPr>
        <w:pStyle w:val="4"/>
        <w:spacing w:before="156" w:after="156"/>
        <w:ind w:firstLine="420"/>
        <w:jc w:val="both"/>
        <w:rPr>
          <w:rFonts w:hAnsi="宋体" w:cs="Times New Roman"/>
        </w:rPr>
      </w:pPr>
      <w:bookmarkStart w:id="7" w:name="_Toc155566168"/>
      <w:r>
        <w:rPr>
          <w:rFonts w:hint="eastAsia" w:cs="Times New Roman"/>
        </w:rPr>
        <w:t>（三）</w:t>
      </w:r>
      <w:r>
        <w:rPr>
          <w:rFonts w:hint="eastAsia" w:hAnsi="宋体" w:cs="Times New Roman"/>
        </w:rPr>
        <w:t>基准回归</w:t>
      </w:r>
      <w:bookmarkEnd w:id="7"/>
    </w:p>
    <w:p>
      <w:pPr>
        <w:ind w:firstLine="420" w:firstLineChars="200"/>
        <w:jc w:val="both"/>
      </w:pPr>
      <w:r>
        <w:rPr>
          <w:rFonts w:hint="eastAsia"/>
        </w:rPr>
        <w:t>第一阶段结果如下表所示，潜在形态会显著正向影响城市几何形态。</w:t>
      </w:r>
    </w:p>
    <w:p>
      <w:pPr>
        <w:ind w:firstLine="360" w:firstLineChars="200"/>
        <w:jc w:val="center"/>
        <w:rPr>
          <w:rFonts w:ascii="黑体" w:hAnsi="黑体" w:eastAsia="黑体" w:cs="黑体"/>
          <w:sz w:val="18"/>
          <w:szCs w:val="18"/>
        </w:rPr>
      </w:pPr>
      <w:r>
        <w:rPr>
          <w:rFonts w:hint="eastAsia" w:ascii="黑体" w:hAnsi="黑体" w:eastAsia="黑体" w:cs="黑体"/>
          <w:color w:val="000000" w:themeColor="text1"/>
          <w:sz w:val="18"/>
          <w:szCs w:val="18"/>
          <w14:textFill>
            <w14:solidFill>
              <w14:schemeClr w14:val="tx1"/>
            </w14:solidFill>
          </w14:textFill>
        </w:rPr>
        <w:t>表II1 第一阶段回归</w:t>
      </w:r>
    </w:p>
    <w:tbl>
      <w:tblPr>
        <w:tblStyle w:val="12"/>
        <w:tblW w:w="9072" w:type="dxa"/>
        <w:jc w:val="center"/>
        <w:tblLayout w:type="autofit"/>
        <w:tblCellMar>
          <w:top w:w="0" w:type="dxa"/>
          <w:left w:w="75" w:type="dxa"/>
          <w:bottom w:w="0" w:type="dxa"/>
          <w:right w:w="75" w:type="dxa"/>
        </w:tblCellMar>
      </w:tblPr>
      <w:tblGrid>
        <w:gridCol w:w="1856"/>
        <w:gridCol w:w="1804"/>
        <w:gridCol w:w="1805"/>
        <w:gridCol w:w="1805"/>
        <w:gridCol w:w="1802"/>
      </w:tblGrid>
      <w:tr>
        <w:tblPrEx>
          <w:tblCellMar>
            <w:top w:w="0" w:type="dxa"/>
            <w:left w:w="75" w:type="dxa"/>
            <w:bottom w:w="0" w:type="dxa"/>
            <w:right w:w="75" w:type="dxa"/>
          </w:tblCellMar>
        </w:tblPrEx>
        <w:trPr>
          <w:jc w:val="center"/>
        </w:trPr>
        <w:tc>
          <w:tcPr>
            <w:tcW w:w="1023" w:type="pct"/>
            <w:tcBorders>
              <w:top w:val="single" w:color="auto" w:sz="6" w:space="0"/>
              <w:left w:val="nil"/>
              <w:bottom w:val="nil"/>
              <w:right w:val="nil"/>
            </w:tcBorders>
          </w:tcPr>
          <w:p>
            <w:pPr>
              <w:autoSpaceDE w:val="0"/>
              <w:autoSpaceDN w:val="0"/>
              <w:adjustRightInd w:val="0"/>
              <w:jc w:val="both"/>
              <w:rPr>
                <w:rFonts w:cs="Times New Roman"/>
                <w:sz w:val="18"/>
                <w:szCs w:val="18"/>
              </w:rPr>
            </w:pPr>
            <w:r>
              <w:rPr>
                <w:rFonts w:hint="eastAsia" w:cs="Times New Roman"/>
                <w:sz w:val="18"/>
                <w:szCs w:val="18"/>
              </w:rPr>
              <w:t>被解释变量</w:t>
            </w:r>
          </w:p>
        </w:tc>
        <w:tc>
          <w:tcPr>
            <w:tcW w:w="1989" w:type="pct"/>
            <w:gridSpan w:val="2"/>
            <w:tcBorders>
              <w:top w:val="single" w:color="auto" w:sz="6" w:space="0"/>
              <w:left w:val="nil"/>
              <w:bottom w:val="single" w:color="auto" w:sz="6" w:space="0"/>
              <w:right w:val="nil"/>
            </w:tcBorders>
          </w:tcPr>
          <w:p>
            <w:pPr>
              <w:autoSpaceDE w:val="0"/>
              <w:autoSpaceDN w:val="0"/>
              <w:adjustRightInd w:val="0"/>
              <w:jc w:val="center"/>
              <w:rPr>
                <w:rFonts w:cs="Times New Roman"/>
                <w:sz w:val="18"/>
                <w:szCs w:val="18"/>
              </w:rPr>
            </w:pPr>
            <w:r>
              <w:rPr>
                <w:rFonts w:cs="Times New Roman"/>
                <w:i/>
                <w:iCs/>
                <w:sz w:val="18"/>
                <w:szCs w:val="18"/>
              </w:rPr>
              <w:t>urbanshape</w:t>
            </w:r>
          </w:p>
        </w:tc>
        <w:tc>
          <w:tcPr>
            <w:tcW w:w="1988" w:type="pct"/>
            <w:gridSpan w:val="2"/>
            <w:tcBorders>
              <w:top w:val="single" w:color="auto" w:sz="6" w:space="0"/>
              <w:left w:val="nil"/>
              <w:bottom w:val="single" w:color="auto" w:sz="6" w:space="0"/>
              <w:right w:val="nil"/>
            </w:tcBorders>
          </w:tcPr>
          <w:p>
            <w:pPr>
              <w:autoSpaceDE w:val="0"/>
              <w:autoSpaceDN w:val="0"/>
              <w:adjustRightInd w:val="0"/>
              <w:jc w:val="center"/>
              <w:rPr>
                <w:rFonts w:cs="Times New Roman"/>
                <w:sz w:val="18"/>
                <w:szCs w:val="18"/>
              </w:rPr>
            </w:pPr>
            <w:r>
              <w:rPr>
                <w:rFonts w:cs="Times New Roman"/>
                <w:i/>
                <w:iCs/>
                <w:sz w:val="18"/>
                <w:szCs w:val="18"/>
              </w:rPr>
              <w:t>Δurbanshape</w:t>
            </w:r>
            <w:r>
              <w:rPr>
                <w:rFonts w:hint="eastAsia" w:cs="Times New Roman"/>
                <w:sz w:val="18"/>
                <w:szCs w:val="18"/>
              </w:rPr>
              <w:t>(</w:t>
            </w:r>
            <w:r>
              <w:rPr>
                <w:rFonts w:cs="Times New Roman"/>
                <w:sz w:val="18"/>
                <w:szCs w:val="18"/>
              </w:rPr>
              <w:t>2000-2015)</w:t>
            </w:r>
          </w:p>
        </w:tc>
      </w:tr>
      <w:tr>
        <w:tblPrEx>
          <w:tblCellMar>
            <w:top w:w="0" w:type="dxa"/>
            <w:left w:w="75" w:type="dxa"/>
            <w:bottom w:w="0" w:type="dxa"/>
            <w:right w:w="75" w:type="dxa"/>
          </w:tblCellMar>
        </w:tblPrEx>
        <w:trPr>
          <w:jc w:val="center"/>
        </w:trPr>
        <w:tc>
          <w:tcPr>
            <w:tcW w:w="1023" w:type="pct"/>
            <w:tcBorders>
              <w:top w:val="nil"/>
              <w:left w:val="nil"/>
              <w:bottom w:val="single" w:color="auto" w:sz="6" w:space="0"/>
              <w:right w:val="nil"/>
            </w:tcBorders>
          </w:tcPr>
          <w:p>
            <w:pPr>
              <w:autoSpaceDE w:val="0"/>
              <w:autoSpaceDN w:val="0"/>
              <w:adjustRightInd w:val="0"/>
              <w:jc w:val="both"/>
              <w:rPr>
                <w:rFonts w:cs="Times New Roman"/>
                <w:sz w:val="18"/>
                <w:szCs w:val="18"/>
              </w:rPr>
            </w:pPr>
            <w:r>
              <w:rPr>
                <w:rFonts w:hint="eastAsia" w:cs="Times New Roman"/>
                <w:sz w:val="18"/>
                <w:szCs w:val="18"/>
              </w:rPr>
              <w:t>解释变量</w:t>
            </w:r>
          </w:p>
        </w:tc>
        <w:tc>
          <w:tcPr>
            <w:tcW w:w="994" w:type="pct"/>
            <w:tcBorders>
              <w:top w:val="single" w:color="auto" w:sz="6" w:space="0"/>
              <w:left w:val="nil"/>
              <w:bottom w:val="single" w:color="auto" w:sz="6" w:space="0"/>
              <w:right w:val="nil"/>
            </w:tcBorders>
          </w:tcPr>
          <w:p>
            <w:pPr>
              <w:autoSpaceDE w:val="0"/>
              <w:autoSpaceDN w:val="0"/>
              <w:adjustRightInd w:val="0"/>
              <w:jc w:val="center"/>
              <w:rPr>
                <w:rFonts w:cs="Times New Roman"/>
                <w:i/>
                <w:iCs/>
                <w:sz w:val="18"/>
                <w:szCs w:val="18"/>
              </w:rPr>
            </w:pPr>
            <w:r>
              <w:rPr>
                <w:rFonts w:cs="Times New Roman"/>
                <w:sz w:val="18"/>
                <w:szCs w:val="18"/>
              </w:rPr>
              <w:t>(1)</w:t>
            </w:r>
          </w:p>
        </w:tc>
        <w:tc>
          <w:tcPr>
            <w:tcW w:w="995" w:type="pct"/>
            <w:tcBorders>
              <w:top w:val="single" w:color="auto" w:sz="6" w:space="0"/>
              <w:left w:val="nil"/>
              <w:bottom w:val="single" w:color="auto" w:sz="6" w:space="0"/>
              <w:right w:val="nil"/>
            </w:tcBorders>
          </w:tcPr>
          <w:p>
            <w:pPr>
              <w:autoSpaceDE w:val="0"/>
              <w:autoSpaceDN w:val="0"/>
              <w:adjustRightInd w:val="0"/>
              <w:jc w:val="center"/>
              <w:rPr>
                <w:rFonts w:cs="Times New Roman"/>
                <w:i/>
                <w:iCs/>
                <w:sz w:val="18"/>
                <w:szCs w:val="18"/>
              </w:rPr>
            </w:pPr>
            <w:r>
              <w:rPr>
                <w:rFonts w:cs="Times New Roman"/>
                <w:sz w:val="18"/>
                <w:szCs w:val="18"/>
              </w:rPr>
              <w:t>(2)</w:t>
            </w:r>
          </w:p>
        </w:tc>
        <w:tc>
          <w:tcPr>
            <w:tcW w:w="995" w:type="pct"/>
            <w:tcBorders>
              <w:top w:val="single" w:color="auto" w:sz="6" w:space="0"/>
              <w:left w:val="nil"/>
              <w:bottom w:val="single" w:color="auto" w:sz="6" w:space="0"/>
              <w:right w:val="nil"/>
            </w:tcBorders>
          </w:tcPr>
          <w:p>
            <w:pPr>
              <w:autoSpaceDE w:val="0"/>
              <w:autoSpaceDN w:val="0"/>
              <w:adjustRightInd w:val="0"/>
              <w:jc w:val="center"/>
              <w:rPr>
                <w:rFonts w:cs="Times New Roman"/>
                <w:i/>
                <w:iCs/>
                <w:sz w:val="18"/>
                <w:szCs w:val="18"/>
              </w:rPr>
            </w:pPr>
            <w:r>
              <w:rPr>
                <w:rFonts w:cs="Times New Roman"/>
                <w:sz w:val="18"/>
                <w:szCs w:val="18"/>
              </w:rPr>
              <w:t>(3)</w:t>
            </w:r>
          </w:p>
        </w:tc>
        <w:tc>
          <w:tcPr>
            <w:tcW w:w="993" w:type="pct"/>
            <w:tcBorders>
              <w:top w:val="single" w:color="auto" w:sz="6" w:space="0"/>
              <w:left w:val="nil"/>
              <w:bottom w:val="single" w:color="auto" w:sz="6" w:space="0"/>
              <w:right w:val="nil"/>
            </w:tcBorders>
          </w:tcPr>
          <w:p>
            <w:pPr>
              <w:autoSpaceDE w:val="0"/>
              <w:autoSpaceDN w:val="0"/>
              <w:adjustRightInd w:val="0"/>
              <w:jc w:val="center"/>
              <w:rPr>
                <w:rFonts w:cs="Times New Roman"/>
                <w:i/>
                <w:iCs/>
                <w:sz w:val="18"/>
                <w:szCs w:val="18"/>
              </w:rPr>
            </w:pPr>
            <w:r>
              <w:rPr>
                <w:rFonts w:cs="Times New Roman"/>
                <w:sz w:val="18"/>
                <w:szCs w:val="18"/>
              </w:rPr>
              <w:t>(4)</w:t>
            </w:r>
          </w:p>
        </w:tc>
      </w:tr>
      <w:tr>
        <w:tblPrEx>
          <w:tblCellMar>
            <w:top w:w="0" w:type="dxa"/>
            <w:left w:w="75" w:type="dxa"/>
            <w:bottom w:w="0" w:type="dxa"/>
            <w:right w:w="75" w:type="dxa"/>
          </w:tblCellMar>
        </w:tblPrEx>
        <w:trPr>
          <w:jc w:val="center"/>
        </w:trPr>
        <w:tc>
          <w:tcPr>
            <w:tcW w:w="1023" w:type="pct"/>
          </w:tcPr>
          <w:p>
            <w:pPr>
              <w:autoSpaceDE w:val="0"/>
              <w:autoSpaceDN w:val="0"/>
              <w:adjustRightInd w:val="0"/>
              <w:jc w:val="both"/>
              <w:rPr>
                <w:rFonts w:cs="Times New Roman"/>
                <w:i/>
                <w:iCs/>
                <w:sz w:val="18"/>
                <w:szCs w:val="18"/>
              </w:rPr>
            </w:pPr>
            <w:r>
              <w:rPr>
                <w:rFonts w:hint="eastAsia" w:cs="Times New Roman"/>
                <w:i/>
                <w:iCs/>
                <w:sz w:val="18"/>
                <w:szCs w:val="18"/>
              </w:rPr>
              <w:t>potential</w:t>
            </w:r>
            <w:r>
              <w:rPr>
                <w:rFonts w:cs="Times New Roman"/>
                <w:i/>
                <w:iCs/>
                <w:sz w:val="18"/>
                <w:szCs w:val="18"/>
              </w:rPr>
              <w:t xml:space="preserve"> shape</w:t>
            </w:r>
          </w:p>
        </w:tc>
        <w:tc>
          <w:tcPr>
            <w:tcW w:w="994" w:type="pct"/>
          </w:tcPr>
          <w:p>
            <w:pPr>
              <w:autoSpaceDE w:val="0"/>
              <w:autoSpaceDN w:val="0"/>
              <w:adjustRightInd w:val="0"/>
              <w:jc w:val="center"/>
              <w:rPr>
                <w:rFonts w:cs="Times New Roman"/>
                <w:sz w:val="18"/>
                <w:szCs w:val="18"/>
              </w:rPr>
            </w:pPr>
            <w:r>
              <w:rPr>
                <w:rFonts w:cs="Times New Roman"/>
                <w:sz w:val="18"/>
                <w:szCs w:val="18"/>
              </w:rPr>
              <w:t>1.3390***</w:t>
            </w:r>
          </w:p>
        </w:tc>
        <w:tc>
          <w:tcPr>
            <w:tcW w:w="995" w:type="pct"/>
          </w:tcPr>
          <w:p>
            <w:pPr>
              <w:autoSpaceDE w:val="0"/>
              <w:autoSpaceDN w:val="0"/>
              <w:adjustRightInd w:val="0"/>
              <w:jc w:val="center"/>
              <w:rPr>
                <w:rFonts w:cs="Times New Roman"/>
                <w:sz w:val="18"/>
                <w:szCs w:val="18"/>
              </w:rPr>
            </w:pPr>
            <w:r>
              <w:rPr>
                <w:rFonts w:cs="Times New Roman"/>
                <w:sz w:val="18"/>
                <w:szCs w:val="18"/>
              </w:rPr>
              <w:t>1.2427***</w:t>
            </w:r>
          </w:p>
        </w:tc>
        <w:tc>
          <w:tcPr>
            <w:tcW w:w="995" w:type="pct"/>
          </w:tcPr>
          <w:p>
            <w:pPr>
              <w:autoSpaceDE w:val="0"/>
              <w:autoSpaceDN w:val="0"/>
              <w:adjustRightInd w:val="0"/>
              <w:jc w:val="center"/>
              <w:rPr>
                <w:rFonts w:cs="Times New Roman"/>
                <w:sz w:val="18"/>
                <w:szCs w:val="18"/>
              </w:rPr>
            </w:pPr>
          </w:p>
        </w:tc>
        <w:tc>
          <w:tcPr>
            <w:tcW w:w="993" w:type="pct"/>
          </w:tcPr>
          <w:p>
            <w:pPr>
              <w:autoSpaceDE w:val="0"/>
              <w:autoSpaceDN w:val="0"/>
              <w:adjustRightInd w:val="0"/>
              <w:jc w:val="center"/>
              <w:rPr>
                <w:rFonts w:cs="Times New Roman"/>
                <w:sz w:val="18"/>
                <w:szCs w:val="18"/>
              </w:rPr>
            </w:pPr>
          </w:p>
        </w:tc>
      </w:tr>
      <w:tr>
        <w:tblPrEx>
          <w:tblCellMar>
            <w:top w:w="0" w:type="dxa"/>
            <w:left w:w="75" w:type="dxa"/>
            <w:bottom w:w="0" w:type="dxa"/>
            <w:right w:w="75" w:type="dxa"/>
          </w:tblCellMar>
        </w:tblPrEx>
        <w:trPr>
          <w:jc w:val="center"/>
        </w:trPr>
        <w:tc>
          <w:tcPr>
            <w:tcW w:w="1023" w:type="pct"/>
          </w:tcPr>
          <w:p>
            <w:pPr>
              <w:autoSpaceDE w:val="0"/>
              <w:autoSpaceDN w:val="0"/>
              <w:adjustRightInd w:val="0"/>
              <w:jc w:val="both"/>
              <w:rPr>
                <w:rFonts w:cs="Times New Roman"/>
                <w:i/>
                <w:iCs/>
                <w:sz w:val="18"/>
                <w:szCs w:val="18"/>
              </w:rPr>
            </w:pPr>
          </w:p>
        </w:tc>
        <w:tc>
          <w:tcPr>
            <w:tcW w:w="994" w:type="pct"/>
          </w:tcPr>
          <w:p>
            <w:pPr>
              <w:autoSpaceDE w:val="0"/>
              <w:autoSpaceDN w:val="0"/>
              <w:adjustRightInd w:val="0"/>
              <w:jc w:val="center"/>
              <w:rPr>
                <w:rFonts w:cs="Times New Roman"/>
                <w:sz w:val="18"/>
                <w:szCs w:val="18"/>
              </w:rPr>
            </w:pPr>
            <w:r>
              <w:rPr>
                <w:rFonts w:cs="Times New Roman"/>
                <w:sz w:val="18"/>
                <w:szCs w:val="18"/>
              </w:rPr>
              <w:t>(0.2063)</w:t>
            </w:r>
          </w:p>
        </w:tc>
        <w:tc>
          <w:tcPr>
            <w:tcW w:w="995" w:type="pct"/>
          </w:tcPr>
          <w:p>
            <w:pPr>
              <w:autoSpaceDE w:val="0"/>
              <w:autoSpaceDN w:val="0"/>
              <w:adjustRightInd w:val="0"/>
              <w:jc w:val="center"/>
              <w:rPr>
                <w:rFonts w:cs="Times New Roman"/>
                <w:sz w:val="18"/>
                <w:szCs w:val="18"/>
              </w:rPr>
            </w:pPr>
            <w:r>
              <w:rPr>
                <w:rFonts w:cs="Times New Roman"/>
                <w:sz w:val="18"/>
                <w:szCs w:val="18"/>
              </w:rPr>
              <w:t>(0.1971)</w:t>
            </w:r>
          </w:p>
        </w:tc>
        <w:tc>
          <w:tcPr>
            <w:tcW w:w="995" w:type="pct"/>
          </w:tcPr>
          <w:p>
            <w:pPr>
              <w:autoSpaceDE w:val="0"/>
              <w:autoSpaceDN w:val="0"/>
              <w:adjustRightInd w:val="0"/>
              <w:jc w:val="center"/>
              <w:rPr>
                <w:rFonts w:cs="Times New Roman"/>
                <w:sz w:val="18"/>
                <w:szCs w:val="18"/>
              </w:rPr>
            </w:pPr>
          </w:p>
        </w:tc>
        <w:tc>
          <w:tcPr>
            <w:tcW w:w="993" w:type="pct"/>
          </w:tcPr>
          <w:p>
            <w:pPr>
              <w:autoSpaceDE w:val="0"/>
              <w:autoSpaceDN w:val="0"/>
              <w:adjustRightInd w:val="0"/>
              <w:jc w:val="center"/>
              <w:rPr>
                <w:rFonts w:cs="Times New Roman"/>
                <w:sz w:val="18"/>
                <w:szCs w:val="18"/>
              </w:rPr>
            </w:pPr>
          </w:p>
        </w:tc>
      </w:tr>
      <w:tr>
        <w:tblPrEx>
          <w:tblCellMar>
            <w:top w:w="0" w:type="dxa"/>
            <w:left w:w="75" w:type="dxa"/>
            <w:bottom w:w="0" w:type="dxa"/>
            <w:right w:w="75" w:type="dxa"/>
          </w:tblCellMar>
        </w:tblPrEx>
        <w:trPr>
          <w:jc w:val="center"/>
        </w:trPr>
        <w:tc>
          <w:tcPr>
            <w:tcW w:w="1023" w:type="pct"/>
          </w:tcPr>
          <w:p>
            <w:pPr>
              <w:autoSpaceDE w:val="0"/>
              <w:autoSpaceDN w:val="0"/>
              <w:adjustRightInd w:val="0"/>
              <w:jc w:val="both"/>
              <w:rPr>
                <w:rFonts w:cs="Times New Roman"/>
                <w:i/>
                <w:iCs/>
                <w:sz w:val="18"/>
                <w:szCs w:val="18"/>
              </w:rPr>
            </w:pPr>
            <w:r>
              <w:rPr>
                <w:rFonts w:cs="Times New Roman"/>
                <w:i/>
                <w:iCs/>
                <w:sz w:val="18"/>
                <w:szCs w:val="18"/>
              </w:rPr>
              <w:t>Δ</w:t>
            </w:r>
            <w:r>
              <w:rPr>
                <w:rFonts w:hint="eastAsia" w:cs="Times New Roman"/>
                <w:i/>
                <w:iCs/>
                <w:sz w:val="18"/>
                <w:szCs w:val="18"/>
              </w:rPr>
              <w:t>potential</w:t>
            </w:r>
            <w:r>
              <w:rPr>
                <w:rFonts w:cs="Times New Roman"/>
                <w:i/>
                <w:iCs/>
                <w:sz w:val="18"/>
                <w:szCs w:val="18"/>
              </w:rPr>
              <w:t xml:space="preserve"> shape</w:t>
            </w:r>
          </w:p>
        </w:tc>
        <w:tc>
          <w:tcPr>
            <w:tcW w:w="994" w:type="pct"/>
          </w:tcPr>
          <w:p>
            <w:pPr>
              <w:autoSpaceDE w:val="0"/>
              <w:autoSpaceDN w:val="0"/>
              <w:adjustRightInd w:val="0"/>
              <w:jc w:val="center"/>
              <w:rPr>
                <w:rFonts w:cs="Times New Roman"/>
                <w:sz w:val="18"/>
                <w:szCs w:val="18"/>
              </w:rPr>
            </w:pPr>
          </w:p>
        </w:tc>
        <w:tc>
          <w:tcPr>
            <w:tcW w:w="995" w:type="pct"/>
          </w:tcPr>
          <w:p>
            <w:pPr>
              <w:autoSpaceDE w:val="0"/>
              <w:autoSpaceDN w:val="0"/>
              <w:adjustRightInd w:val="0"/>
              <w:jc w:val="center"/>
              <w:rPr>
                <w:rFonts w:cs="Times New Roman"/>
                <w:sz w:val="18"/>
                <w:szCs w:val="18"/>
              </w:rPr>
            </w:pPr>
          </w:p>
        </w:tc>
        <w:tc>
          <w:tcPr>
            <w:tcW w:w="995" w:type="pct"/>
          </w:tcPr>
          <w:p>
            <w:pPr>
              <w:autoSpaceDE w:val="0"/>
              <w:autoSpaceDN w:val="0"/>
              <w:adjustRightInd w:val="0"/>
              <w:jc w:val="center"/>
              <w:rPr>
                <w:rFonts w:cs="Times New Roman"/>
                <w:sz w:val="18"/>
                <w:szCs w:val="18"/>
              </w:rPr>
            </w:pPr>
            <w:r>
              <w:rPr>
                <w:rFonts w:cs="Times New Roman"/>
                <w:sz w:val="18"/>
                <w:szCs w:val="18"/>
              </w:rPr>
              <w:t>1.3600***</w:t>
            </w:r>
          </w:p>
        </w:tc>
        <w:tc>
          <w:tcPr>
            <w:tcW w:w="993" w:type="pct"/>
          </w:tcPr>
          <w:p>
            <w:pPr>
              <w:autoSpaceDE w:val="0"/>
              <w:autoSpaceDN w:val="0"/>
              <w:adjustRightInd w:val="0"/>
              <w:jc w:val="center"/>
              <w:rPr>
                <w:rFonts w:cs="Times New Roman"/>
                <w:sz w:val="18"/>
                <w:szCs w:val="18"/>
              </w:rPr>
            </w:pPr>
            <w:r>
              <w:rPr>
                <w:rFonts w:cs="Times New Roman"/>
                <w:sz w:val="18"/>
                <w:szCs w:val="18"/>
              </w:rPr>
              <w:t>1.2336***</w:t>
            </w:r>
          </w:p>
        </w:tc>
      </w:tr>
      <w:tr>
        <w:tblPrEx>
          <w:tblCellMar>
            <w:top w:w="0" w:type="dxa"/>
            <w:left w:w="75" w:type="dxa"/>
            <w:bottom w:w="0" w:type="dxa"/>
            <w:right w:w="75" w:type="dxa"/>
          </w:tblCellMar>
        </w:tblPrEx>
        <w:trPr>
          <w:jc w:val="center"/>
        </w:trPr>
        <w:tc>
          <w:tcPr>
            <w:tcW w:w="1023" w:type="pct"/>
          </w:tcPr>
          <w:p>
            <w:pPr>
              <w:autoSpaceDE w:val="0"/>
              <w:autoSpaceDN w:val="0"/>
              <w:adjustRightInd w:val="0"/>
              <w:jc w:val="both"/>
              <w:rPr>
                <w:rFonts w:cs="Times New Roman"/>
                <w:i/>
                <w:iCs/>
                <w:sz w:val="18"/>
                <w:szCs w:val="18"/>
              </w:rPr>
            </w:pPr>
          </w:p>
        </w:tc>
        <w:tc>
          <w:tcPr>
            <w:tcW w:w="994" w:type="pct"/>
          </w:tcPr>
          <w:p>
            <w:pPr>
              <w:autoSpaceDE w:val="0"/>
              <w:autoSpaceDN w:val="0"/>
              <w:adjustRightInd w:val="0"/>
              <w:jc w:val="center"/>
              <w:rPr>
                <w:rFonts w:cs="Times New Roman"/>
                <w:sz w:val="18"/>
                <w:szCs w:val="18"/>
              </w:rPr>
            </w:pPr>
          </w:p>
        </w:tc>
        <w:tc>
          <w:tcPr>
            <w:tcW w:w="995" w:type="pct"/>
          </w:tcPr>
          <w:p>
            <w:pPr>
              <w:autoSpaceDE w:val="0"/>
              <w:autoSpaceDN w:val="0"/>
              <w:adjustRightInd w:val="0"/>
              <w:jc w:val="center"/>
              <w:rPr>
                <w:rFonts w:cs="Times New Roman"/>
                <w:sz w:val="18"/>
                <w:szCs w:val="18"/>
              </w:rPr>
            </w:pPr>
          </w:p>
        </w:tc>
        <w:tc>
          <w:tcPr>
            <w:tcW w:w="995" w:type="pct"/>
          </w:tcPr>
          <w:p>
            <w:pPr>
              <w:autoSpaceDE w:val="0"/>
              <w:autoSpaceDN w:val="0"/>
              <w:adjustRightInd w:val="0"/>
              <w:jc w:val="center"/>
              <w:rPr>
                <w:rFonts w:cs="Times New Roman"/>
                <w:sz w:val="18"/>
                <w:szCs w:val="18"/>
              </w:rPr>
            </w:pPr>
            <w:r>
              <w:rPr>
                <w:rFonts w:cs="Times New Roman"/>
                <w:sz w:val="18"/>
                <w:szCs w:val="18"/>
              </w:rPr>
              <w:t>(0.1896)</w:t>
            </w:r>
          </w:p>
        </w:tc>
        <w:tc>
          <w:tcPr>
            <w:tcW w:w="993" w:type="pct"/>
          </w:tcPr>
          <w:p>
            <w:pPr>
              <w:autoSpaceDE w:val="0"/>
              <w:autoSpaceDN w:val="0"/>
              <w:adjustRightInd w:val="0"/>
              <w:jc w:val="center"/>
              <w:rPr>
                <w:rFonts w:cs="Times New Roman"/>
                <w:sz w:val="18"/>
                <w:szCs w:val="18"/>
              </w:rPr>
            </w:pPr>
            <w:r>
              <w:rPr>
                <w:rFonts w:cs="Times New Roman"/>
                <w:sz w:val="18"/>
                <w:szCs w:val="18"/>
              </w:rPr>
              <w:t>(0.1907)</w:t>
            </w:r>
          </w:p>
        </w:tc>
      </w:tr>
      <w:tr>
        <w:tblPrEx>
          <w:tblCellMar>
            <w:top w:w="0" w:type="dxa"/>
            <w:left w:w="75" w:type="dxa"/>
            <w:bottom w:w="0" w:type="dxa"/>
            <w:right w:w="75" w:type="dxa"/>
          </w:tblCellMar>
        </w:tblPrEx>
        <w:trPr>
          <w:jc w:val="center"/>
        </w:trPr>
        <w:tc>
          <w:tcPr>
            <w:tcW w:w="1023" w:type="pct"/>
          </w:tcPr>
          <w:p>
            <w:pPr>
              <w:autoSpaceDE w:val="0"/>
              <w:autoSpaceDN w:val="0"/>
              <w:adjustRightInd w:val="0"/>
              <w:jc w:val="both"/>
              <w:rPr>
                <w:rFonts w:cs="Times New Roman"/>
                <w:sz w:val="18"/>
                <w:szCs w:val="18"/>
              </w:rPr>
            </w:pPr>
            <w:r>
              <w:rPr>
                <w:rFonts w:cs="Times New Roman"/>
                <w:sz w:val="18"/>
                <w:szCs w:val="18"/>
              </w:rPr>
              <w:t>N</w:t>
            </w:r>
          </w:p>
        </w:tc>
        <w:tc>
          <w:tcPr>
            <w:tcW w:w="994" w:type="pct"/>
          </w:tcPr>
          <w:p>
            <w:pPr>
              <w:autoSpaceDE w:val="0"/>
              <w:autoSpaceDN w:val="0"/>
              <w:adjustRightInd w:val="0"/>
              <w:jc w:val="center"/>
              <w:rPr>
                <w:rFonts w:cs="Times New Roman"/>
                <w:sz w:val="18"/>
                <w:szCs w:val="18"/>
              </w:rPr>
            </w:pPr>
            <w:r>
              <w:rPr>
                <w:rFonts w:cs="Times New Roman"/>
                <w:sz w:val="18"/>
                <w:szCs w:val="18"/>
              </w:rPr>
              <w:t>4,018</w:t>
            </w:r>
          </w:p>
        </w:tc>
        <w:tc>
          <w:tcPr>
            <w:tcW w:w="995" w:type="pct"/>
          </w:tcPr>
          <w:p>
            <w:pPr>
              <w:autoSpaceDE w:val="0"/>
              <w:autoSpaceDN w:val="0"/>
              <w:adjustRightInd w:val="0"/>
              <w:jc w:val="center"/>
              <w:rPr>
                <w:rFonts w:cs="Times New Roman"/>
                <w:sz w:val="18"/>
                <w:szCs w:val="18"/>
              </w:rPr>
            </w:pPr>
            <w:r>
              <w:rPr>
                <w:rFonts w:cs="Times New Roman"/>
                <w:sz w:val="18"/>
                <w:szCs w:val="18"/>
              </w:rPr>
              <w:t>3,827</w:t>
            </w:r>
          </w:p>
        </w:tc>
        <w:tc>
          <w:tcPr>
            <w:tcW w:w="995" w:type="pct"/>
          </w:tcPr>
          <w:p>
            <w:pPr>
              <w:autoSpaceDE w:val="0"/>
              <w:autoSpaceDN w:val="0"/>
              <w:adjustRightInd w:val="0"/>
              <w:jc w:val="center"/>
              <w:rPr>
                <w:rFonts w:cs="Times New Roman"/>
                <w:sz w:val="18"/>
                <w:szCs w:val="18"/>
              </w:rPr>
            </w:pPr>
            <w:r>
              <w:rPr>
                <w:rFonts w:cs="Times New Roman"/>
                <w:sz w:val="18"/>
                <w:szCs w:val="18"/>
              </w:rPr>
              <w:t>251</w:t>
            </w:r>
          </w:p>
        </w:tc>
        <w:tc>
          <w:tcPr>
            <w:tcW w:w="993" w:type="pct"/>
          </w:tcPr>
          <w:p>
            <w:pPr>
              <w:autoSpaceDE w:val="0"/>
              <w:autoSpaceDN w:val="0"/>
              <w:adjustRightInd w:val="0"/>
              <w:jc w:val="center"/>
              <w:rPr>
                <w:rFonts w:cs="Times New Roman"/>
                <w:sz w:val="18"/>
                <w:szCs w:val="18"/>
              </w:rPr>
            </w:pPr>
            <w:r>
              <w:rPr>
                <w:rFonts w:cs="Times New Roman"/>
                <w:sz w:val="18"/>
                <w:szCs w:val="18"/>
              </w:rPr>
              <w:t>251</w:t>
            </w:r>
          </w:p>
        </w:tc>
      </w:tr>
      <w:tr>
        <w:tblPrEx>
          <w:tblCellMar>
            <w:top w:w="0" w:type="dxa"/>
            <w:left w:w="75" w:type="dxa"/>
            <w:bottom w:w="0" w:type="dxa"/>
            <w:right w:w="75" w:type="dxa"/>
          </w:tblCellMar>
        </w:tblPrEx>
        <w:trPr>
          <w:jc w:val="center"/>
        </w:trPr>
        <w:tc>
          <w:tcPr>
            <w:tcW w:w="1023" w:type="pct"/>
          </w:tcPr>
          <w:p>
            <w:pPr>
              <w:autoSpaceDE w:val="0"/>
              <w:autoSpaceDN w:val="0"/>
              <w:adjustRightInd w:val="0"/>
              <w:jc w:val="both"/>
              <w:rPr>
                <w:rFonts w:cs="Times New Roman"/>
                <w:sz w:val="18"/>
                <w:szCs w:val="18"/>
              </w:rPr>
            </w:pPr>
            <w:r>
              <w:rPr>
                <w:rFonts w:cs="Times New Roman"/>
                <w:sz w:val="18"/>
                <w:szCs w:val="18"/>
              </w:rPr>
              <w:t>Adj R</w:t>
            </w:r>
            <w:r>
              <w:rPr>
                <w:rFonts w:cs="Times New Roman"/>
                <w:sz w:val="18"/>
                <w:szCs w:val="18"/>
                <w:vertAlign w:val="superscript"/>
              </w:rPr>
              <w:t>2</w:t>
            </w:r>
          </w:p>
        </w:tc>
        <w:tc>
          <w:tcPr>
            <w:tcW w:w="994" w:type="pct"/>
          </w:tcPr>
          <w:p>
            <w:pPr>
              <w:autoSpaceDE w:val="0"/>
              <w:autoSpaceDN w:val="0"/>
              <w:adjustRightInd w:val="0"/>
              <w:jc w:val="center"/>
              <w:rPr>
                <w:rFonts w:cs="Times New Roman"/>
                <w:sz w:val="18"/>
                <w:szCs w:val="18"/>
              </w:rPr>
            </w:pPr>
            <w:r>
              <w:rPr>
                <w:rFonts w:cs="Times New Roman"/>
                <w:sz w:val="18"/>
                <w:szCs w:val="18"/>
              </w:rPr>
              <w:t>0.9751</w:t>
            </w:r>
          </w:p>
        </w:tc>
        <w:tc>
          <w:tcPr>
            <w:tcW w:w="995" w:type="pct"/>
          </w:tcPr>
          <w:p>
            <w:pPr>
              <w:autoSpaceDE w:val="0"/>
              <w:autoSpaceDN w:val="0"/>
              <w:adjustRightInd w:val="0"/>
              <w:jc w:val="center"/>
              <w:rPr>
                <w:rFonts w:cs="Times New Roman"/>
                <w:sz w:val="18"/>
                <w:szCs w:val="18"/>
              </w:rPr>
            </w:pPr>
            <w:r>
              <w:rPr>
                <w:rFonts w:cs="Times New Roman"/>
                <w:sz w:val="18"/>
                <w:szCs w:val="18"/>
              </w:rPr>
              <w:t>0.9762</w:t>
            </w:r>
          </w:p>
        </w:tc>
        <w:tc>
          <w:tcPr>
            <w:tcW w:w="995" w:type="pct"/>
          </w:tcPr>
          <w:p>
            <w:pPr>
              <w:autoSpaceDE w:val="0"/>
              <w:autoSpaceDN w:val="0"/>
              <w:adjustRightInd w:val="0"/>
              <w:jc w:val="center"/>
              <w:rPr>
                <w:rFonts w:cs="Times New Roman"/>
                <w:sz w:val="18"/>
                <w:szCs w:val="18"/>
              </w:rPr>
            </w:pPr>
            <w:r>
              <w:rPr>
                <w:rFonts w:cs="Times New Roman"/>
                <w:sz w:val="18"/>
                <w:szCs w:val="18"/>
              </w:rPr>
              <w:t>0.4257</w:t>
            </w:r>
          </w:p>
        </w:tc>
        <w:tc>
          <w:tcPr>
            <w:tcW w:w="993" w:type="pct"/>
          </w:tcPr>
          <w:p>
            <w:pPr>
              <w:autoSpaceDE w:val="0"/>
              <w:autoSpaceDN w:val="0"/>
              <w:adjustRightInd w:val="0"/>
              <w:jc w:val="center"/>
              <w:rPr>
                <w:rFonts w:cs="Times New Roman"/>
                <w:sz w:val="18"/>
                <w:szCs w:val="18"/>
              </w:rPr>
            </w:pPr>
            <w:r>
              <w:rPr>
                <w:rFonts w:cs="Times New Roman"/>
                <w:sz w:val="18"/>
                <w:szCs w:val="18"/>
              </w:rPr>
              <w:t>0.4470</w:t>
            </w:r>
          </w:p>
        </w:tc>
      </w:tr>
      <w:tr>
        <w:tblPrEx>
          <w:tblCellMar>
            <w:top w:w="0" w:type="dxa"/>
            <w:left w:w="75" w:type="dxa"/>
            <w:bottom w:w="0" w:type="dxa"/>
            <w:right w:w="75" w:type="dxa"/>
          </w:tblCellMar>
        </w:tblPrEx>
        <w:trPr>
          <w:jc w:val="center"/>
        </w:trPr>
        <w:tc>
          <w:tcPr>
            <w:tcW w:w="1023" w:type="pct"/>
          </w:tcPr>
          <w:p>
            <w:pPr>
              <w:autoSpaceDE w:val="0"/>
              <w:autoSpaceDN w:val="0"/>
              <w:adjustRightInd w:val="0"/>
              <w:jc w:val="both"/>
              <w:rPr>
                <w:rFonts w:cs="Times New Roman"/>
                <w:sz w:val="18"/>
                <w:szCs w:val="18"/>
              </w:rPr>
            </w:pPr>
            <w:r>
              <w:rPr>
                <w:rFonts w:hint="eastAsia" w:cs="Times New Roman"/>
                <w:sz w:val="18"/>
                <w:szCs w:val="18"/>
              </w:rPr>
              <w:t>C</w:t>
            </w:r>
            <w:r>
              <w:rPr>
                <w:rFonts w:cs="Times New Roman"/>
                <w:sz w:val="18"/>
                <w:szCs w:val="18"/>
              </w:rPr>
              <w:t>ontrols</w:t>
            </w:r>
          </w:p>
        </w:tc>
        <w:tc>
          <w:tcPr>
            <w:tcW w:w="994" w:type="pct"/>
          </w:tcPr>
          <w:p>
            <w:pPr>
              <w:autoSpaceDE w:val="0"/>
              <w:autoSpaceDN w:val="0"/>
              <w:adjustRightInd w:val="0"/>
              <w:jc w:val="center"/>
              <w:rPr>
                <w:rFonts w:cs="Times New Roman"/>
                <w:sz w:val="18"/>
                <w:szCs w:val="18"/>
              </w:rPr>
            </w:pPr>
          </w:p>
        </w:tc>
        <w:tc>
          <w:tcPr>
            <w:tcW w:w="995" w:type="pct"/>
          </w:tcPr>
          <w:p>
            <w:pPr>
              <w:autoSpaceDE w:val="0"/>
              <w:autoSpaceDN w:val="0"/>
              <w:adjustRightInd w:val="0"/>
              <w:jc w:val="center"/>
              <w:rPr>
                <w:rFonts w:cs="Times New Roman"/>
                <w:sz w:val="18"/>
                <w:szCs w:val="18"/>
              </w:rPr>
            </w:pPr>
            <w:r>
              <w:rPr>
                <w:rFonts w:cs="Times New Roman"/>
                <w:sz w:val="18"/>
                <w:szCs w:val="18"/>
              </w:rPr>
              <w:t>Y</w:t>
            </w:r>
          </w:p>
        </w:tc>
        <w:tc>
          <w:tcPr>
            <w:tcW w:w="995" w:type="pct"/>
          </w:tcPr>
          <w:p>
            <w:pPr>
              <w:autoSpaceDE w:val="0"/>
              <w:autoSpaceDN w:val="0"/>
              <w:adjustRightInd w:val="0"/>
              <w:jc w:val="center"/>
              <w:rPr>
                <w:rFonts w:cs="Times New Roman"/>
                <w:sz w:val="18"/>
                <w:szCs w:val="18"/>
              </w:rPr>
            </w:pPr>
          </w:p>
        </w:tc>
        <w:tc>
          <w:tcPr>
            <w:tcW w:w="993" w:type="pct"/>
          </w:tcPr>
          <w:p>
            <w:pPr>
              <w:autoSpaceDE w:val="0"/>
              <w:autoSpaceDN w:val="0"/>
              <w:adjustRightInd w:val="0"/>
              <w:jc w:val="center"/>
              <w:rPr>
                <w:rFonts w:cs="Times New Roman"/>
                <w:sz w:val="18"/>
                <w:szCs w:val="18"/>
              </w:rPr>
            </w:pPr>
            <w:r>
              <w:rPr>
                <w:rFonts w:cs="Times New Roman"/>
                <w:sz w:val="18"/>
                <w:szCs w:val="18"/>
              </w:rPr>
              <w:t>Y</w:t>
            </w:r>
          </w:p>
        </w:tc>
      </w:tr>
      <w:tr>
        <w:tblPrEx>
          <w:tblCellMar>
            <w:top w:w="0" w:type="dxa"/>
            <w:left w:w="75" w:type="dxa"/>
            <w:bottom w:w="0" w:type="dxa"/>
            <w:right w:w="75" w:type="dxa"/>
          </w:tblCellMar>
        </w:tblPrEx>
        <w:trPr>
          <w:jc w:val="center"/>
        </w:trPr>
        <w:tc>
          <w:tcPr>
            <w:tcW w:w="1023" w:type="pct"/>
          </w:tcPr>
          <w:p>
            <w:pPr>
              <w:autoSpaceDE w:val="0"/>
              <w:autoSpaceDN w:val="0"/>
              <w:adjustRightInd w:val="0"/>
              <w:jc w:val="both"/>
              <w:rPr>
                <w:rFonts w:cs="Times New Roman"/>
                <w:sz w:val="18"/>
                <w:szCs w:val="18"/>
              </w:rPr>
            </w:pPr>
            <w:r>
              <w:rPr>
                <w:rFonts w:cs="Times New Roman"/>
                <w:sz w:val="18"/>
                <w:szCs w:val="18"/>
              </w:rPr>
              <w:t>City FE</w:t>
            </w:r>
          </w:p>
        </w:tc>
        <w:tc>
          <w:tcPr>
            <w:tcW w:w="994" w:type="pct"/>
          </w:tcPr>
          <w:p>
            <w:pPr>
              <w:autoSpaceDE w:val="0"/>
              <w:autoSpaceDN w:val="0"/>
              <w:adjustRightInd w:val="0"/>
              <w:jc w:val="center"/>
              <w:rPr>
                <w:rFonts w:cs="Times New Roman"/>
                <w:sz w:val="18"/>
                <w:szCs w:val="18"/>
              </w:rPr>
            </w:pPr>
            <w:r>
              <w:rPr>
                <w:rFonts w:cs="Times New Roman"/>
                <w:sz w:val="18"/>
                <w:szCs w:val="18"/>
              </w:rPr>
              <w:t>Y</w:t>
            </w:r>
          </w:p>
        </w:tc>
        <w:tc>
          <w:tcPr>
            <w:tcW w:w="995" w:type="pct"/>
          </w:tcPr>
          <w:p>
            <w:pPr>
              <w:autoSpaceDE w:val="0"/>
              <w:autoSpaceDN w:val="0"/>
              <w:adjustRightInd w:val="0"/>
              <w:jc w:val="center"/>
              <w:rPr>
                <w:rFonts w:cs="Times New Roman"/>
                <w:sz w:val="18"/>
                <w:szCs w:val="18"/>
              </w:rPr>
            </w:pPr>
            <w:r>
              <w:rPr>
                <w:rFonts w:cs="Times New Roman"/>
                <w:sz w:val="18"/>
                <w:szCs w:val="18"/>
              </w:rPr>
              <w:t>Y</w:t>
            </w:r>
          </w:p>
        </w:tc>
        <w:tc>
          <w:tcPr>
            <w:tcW w:w="995" w:type="pct"/>
          </w:tcPr>
          <w:p>
            <w:pPr>
              <w:autoSpaceDE w:val="0"/>
              <w:autoSpaceDN w:val="0"/>
              <w:adjustRightInd w:val="0"/>
              <w:jc w:val="center"/>
              <w:rPr>
                <w:rFonts w:cs="Times New Roman"/>
                <w:sz w:val="18"/>
                <w:szCs w:val="18"/>
              </w:rPr>
            </w:pPr>
          </w:p>
        </w:tc>
        <w:tc>
          <w:tcPr>
            <w:tcW w:w="993" w:type="pct"/>
          </w:tcPr>
          <w:p>
            <w:pPr>
              <w:autoSpaceDE w:val="0"/>
              <w:autoSpaceDN w:val="0"/>
              <w:adjustRightInd w:val="0"/>
              <w:jc w:val="center"/>
              <w:rPr>
                <w:rFonts w:cs="Times New Roman"/>
                <w:sz w:val="18"/>
                <w:szCs w:val="18"/>
              </w:rPr>
            </w:pPr>
          </w:p>
        </w:tc>
      </w:tr>
      <w:tr>
        <w:tblPrEx>
          <w:tblCellMar>
            <w:top w:w="0" w:type="dxa"/>
            <w:left w:w="75" w:type="dxa"/>
            <w:bottom w:w="0" w:type="dxa"/>
            <w:right w:w="75" w:type="dxa"/>
          </w:tblCellMar>
        </w:tblPrEx>
        <w:trPr>
          <w:jc w:val="center"/>
        </w:trPr>
        <w:tc>
          <w:tcPr>
            <w:tcW w:w="1023" w:type="pct"/>
            <w:tcBorders>
              <w:top w:val="nil"/>
              <w:left w:val="nil"/>
              <w:bottom w:val="nil"/>
              <w:right w:val="nil"/>
            </w:tcBorders>
          </w:tcPr>
          <w:p>
            <w:pPr>
              <w:autoSpaceDE w:val="0"/>
              <w:autoSpaceDN w:val="0"/>
              <w:adjustRightInd w:val="0"/>
              <w:jc w:val="both"/>
              <w:rPr>
                <w:rFonts w:cs="Times New Roman"/>
                <w:sz w:val="18"/>
                <w:szCs w:val="18"/>
              </w:rPr>
            </w:pPr>
            <w:r>
              <w:rPr>
                <w:rFonts w:cs="Times New Roman"/>
                <w:sz w:val="18"/>
                <w:szCs w:val="18"/>
              </w:rPr>
              <w:t>Year FE</w:t>
            </w:r>
          </w:p>
        </w:tc>
        <w:tc>
          <w:tcPr>
            <w:tcW w:w="994" w:type="pct"/>
            <w:tcBorders>
              <w:top w:val="nil"/>
              <w:left w:val="nil"/>
              <w:bottom w:val="nil"/>
              <w:right w:val="nil"/>
            </w:tcBorders>
          </w:tcPr>
          <w:p>
            <w:pPr>
              <w:autoSpaceDE w:val="0"/>
              <w:autoSpaceDN w:val="0"/>
              <w:adjustRightInd w:val="0"/>
              <w:jc w:val="center"/>
              <w:rPr>
                <w:rFonts w:cs="Times New Roman"/>
                <w:sz w:val="18"/>
                <w:szCs w:val="18"/>
              </w:rPr>
            </w:pPr>
            <w:r>
              <w:rPr>
                <w:rFonts w:cs="Times New Roman"/>
                <w:sz w:val="18"/>
                <w:szCs w:val="18"/>
              </w:rPr>
              <w:t>Y</w:t>
            </w:r>
          </w:p>
        </w:tc>
        <w:tc>
          <w:tcPr>
            <w:tcW w:w="995" w:type="pct"/>
            <w:tcBorders>
              <w:top w:val="nil"/>
              <w:left w:val="nil"/>
              <w:bottom w:val="nil"/>
              <w:right w:val="nil"/>
            </w:tcBorders>
          </w:tcPr>
          <w:p>
            <w:pPr>
              <w:autoSpaceDE w:val="0"/>
              <w:autoSpaceDN w:val="0"/>
              <w:adjustRightInd w:val="0"/>
              <w:jc w:val="center"/>
              <w:rPr>
                <w:rFonts w:cs="Times New Roman"/>
                <w:sz w:val="18"/>
                <w:szCs w:val="18"/>
              </w:rPr>
            </w:pPr>
            <w:r>
              <w:rPr>
                <w:rFonts w:cs="Times New Roman"/>
                <w:sz w:val="18"/>
                <w:szCs w:val="18"/>
              </w:rPr>
              <w:t>Y</w:t>
            </w:r>
          </w:p>
        </w:tc>
        <w:tc>
          <w:tcPr>
            <w:tcW w:w="995" w:type="pct"/>
            <w:tcBorders>
              <w:top w:val="nil"/>
              <w:left w:val="nil"/>
              <w:bottom w:val="nil"/>
              <w:right w:val="nil"/>
            </w:tcBorders>
          </w:tcPr>
          <w:p>
            <w:pPr>
              <w:autoSpaceDE w:val="0"/>
              <w:autoSpaceDN w:val="0"/>
              <w:adjustRightInd w:val="0"/>
              <w:jc w:val="center"/>
              <w:rPr>
                <w:rFonts w:cs="Times New Roman"/>
                <w:sz w:val="18"/>
                <w:szCs w:val="18"/>
              </w:rPr>
            </w:pPr>
          </w:p>
        </w:tc>
        <w:tc>
          <w:tcPr>
            <w:tcW w:w="993" w:type="pct"/>
            <w:tcBorders>
              <w:top w:val="nil"/>
              <w:left w:val="nil"/>
              <w:bottom w:val="nil"/>
              <w:right w:val="nil"/>
            </w:tcBorders>
          </w:tcPr>
          <w:p>
            <w:pPr>
              <w:autoSpaceDE w:val="0"/>
              <w:autoSpaceDN w:val="0"/>
              <w:adjustRightInd w:val="0"/>
              <w:jc w:val="center"/>
              <w:rPr>
                <w:rFonts w:cs="Times New Roman"/>
                <w:sz w:val="18"/>
                <w:szCs w:val="18"/>
              </w:rPr>
            </w:pPr>
          </w:p>
        </w:tc>
      </w:tr>
      <w:tr>
        <w:tblPrEx>
          <w:tblCellMar>
            <w:top w:w="0" w:type="dxa"/>
            <w:left w:w="75" w:type="dxa"/>
            <w:bottom w:w="0" w:type="dxa"/>
            <w:right w:w="75" w:type="dxa"/>
          </w:tblCellMar>
        </w:tblPrEx>
        <w:trPr>
          <w:jc w:val="center"/>
        </w:trPr>
        <w:tc>
          <w:tcPr>
            <w:tcW w:w="1023" w:type="pct"/>
            <w:tcBorders>
              <w:top w:val="nil"/>
              <w:left w:val="nil"/>
              <w:bottom w:val="single" w:color="auto" w:sz="6" w:space="0"/>
              <w:right w:val="nil"/>
            </w:tcBorders>
          </w:tcPr>
          <w:p>
            <w:pPr>
              <w:autoSpaceDE w:val="0"/>
              <w:autoSpaceDN w:val="0"/>
              <w:adjustRightInd w:val="0"/>
              <w:jc w:val="both"/>
              <w:rPr>
                <w:rFonts w:cs="Times New Roman"/>
                <w:sz w:val="18"/>
                <w:szCs w:val="18"/>
              </w:rPr>
            </w:pPr>
            <w:r>
              <w:rPr>
                <w:rFonts w:cs="Times New Roman"/>
                <w:sz w:val="18"/>
                <w:szCs w:val="18"/>
              </w:rPr>
              <w:t>KPW F-statistics</w:t>
            </w:r>
          </w:p>
        </w:tc>
        <w:tc>
          <w:tcPr>
            <w:tcW w:w="994" w:type="pct"/>
            <w:tcBorders>
              <w:top w:val="nil"/>
              <w:left w:val="nil"/>
              <w:bottom w:val="single" w:color="auto" w:sz="6" w:space="0"/>
              <w:right w:val="nil"/>
            </w:tcBorders>
          </w:tcPr>
          <w:p>
            <w:pPr>
              <w:autoSpaceDE w:val="0"/>
              <w:autoSpaceDN w:val="0"/>
              <w:adjustRightInd w:val="0"/>
              <w:jc w:val="center"/>
              <w:rPr>
                <w:rFonts w:cs="Times New Roman"/>
                <w:sz w:val="18"/>
                <w:szCs w:val="18"/>
              </w:rPr>
            </w:pPr>
            <w:r>
              <w:rPr>
                <w:rFonts w:cs="Times New Roman"/>
                <w:sz w:val="18"/>
                <w:szCs w:val="18"/>
              </w:rPr>
              <w:t>42.130</w:t>
            </w:r>
          </w:p>
        </w:tc>
        <w:tc>
          <w:tcPr>
            <w:tcW w:w="995" w:type="pct"/>
            <w:tcBorders>
              <w:top w:val="nil"/>
              <w:left w:val="nil"/>
              <w:bottom w:val="single" w:color="auto" w:sz="6" w:space="0"/>
              <w:right w:val="nil"/>
            </w:tcBorders>
          </w:tcPr>
          <w:p>
            <w:pPr>
              <w:autoSpaceDE w:val="0"/>
              <w:autoSpaceDN w:val="0"/>
              <w:adjustRightInd w:val="0"/>
              <w:jc w:val="center"/>
              <w:rPr>
                <w:rFonts w:cs="Times New Roman"/>
                <w:sz w:val="18"/>
                <w:szCs w:val="18"/>
              </w:rPr>
            </w:pPr>
            <w:r>
              <w:rPr>
                <w:rFonts w:cs="Times New Roman"/>
                <w:sz w:val="18"/>
                <w:szCs w:val="18"/>
              </w:rPr>
              <w:t>39.772</w:t>
            </w:r>
          </w:p>
        </w:tc>
        <w:tc>
          <w:tcPr>
            <w:tcW w:w="995" w:type="pct"/>
            <w:tcBorders>
              <w:top w:val="nil"/>
              <w:left w:val="nil"/>
              <w:bottom w:val="single" w:color="auto" w:sz="6" w:space="0"/>
              <w:right w:val="nil"/>
            </w:tcBorders>
          </w:tcPr>
          <w:p>
            <w:pPr>
              <w:autoSpaceDE w:val="0"/>
              <w:autoSpaceDN w:val="0"/>
              <w:adjustRightInd w:val="0"/>
              <w:jc w:val="center"/>
              <w:rPr>
                <w:rFonts w:cs="Times New Roman"/>
                <w:sz w:val="18"/>
                <w:szCs w:val="18"/>
              </w:rPr>
            </w:pPr>
            <w:r>
              <w:rPr>
                <w:rFonts w:cs="Times New Roman"/>
                <w:sz w:val="18"/>
                <w:szCs w:val="18"/>
              </w:rPr>
              <w:t>51.452</w:t>
            </w:r>
          </w:p>
        </w:tc>
        <w:tc>
          <w:tcPr>
            <w:tcW w:w="993" w:type="pct"/>
            <w:tcBorders>
              <w:top w:val="nil"/>
              <w:left w:val="nil"/>
              <w:bottom w:val="single" w:color="auto" w:sz="6" w:space="0"/>
              <w:right w:val="nil"/>
            </w:tcBorders>
          </w:tcPr>
          <w:p>
            <w:pPr>
              <w:autoSpaceDE w:val="0"/>
              <w:autoSpaceDN w:val="0"/>
              <w:adjustRightInd w:val="0"/>
              <w:jc w:val="center"/>
              <w:rPr>
                <w:rFonts w:cs="Times New Roman"/>
                <w:sz w:val="18"/>
                <w:szCs w:val="18"/>
              </w:rPr>
            </w:pPr>
            <w:r>
              <w:rPr>
                <w:rFonts w:cs="Times New Roman"/>
                <w:sz w:val="18"/>
                <w:szCs w:val="18"/>
              </w:rPr>
              <w:t>41.858</w:t>
            </w:r>
          </w:p>
        </w:tc>
      </w:tr>
    </w:tbl>
    <w:p>
      <w:pPr>
        <w:autoSpaceDE w:val="0"/>
        <w:autoSpaceDN w:val="0"/>
        <w:adjustRightInd w:val="0"/>
        <w:ind w:firstLine="270" w:firstLineChars="150"/>
        <w:jc w:val="both"/>
        <w:rPr>
          <w:rFonts w:cs="Times New Roman"/>
          <w:sz w:val="18"/>
          <w:szCs w:val="18"/>
        </w:rPr>
      </w:pPr>
      <w:r>
        <w:rPr>
          <w:rFonts w:cs="Times New Roman"/>
          <w:sz w:val="18"/>
          <w:szCs w:val="18"/>
        </w:rPr>
        <w:t>注：</w:t>
      </w:r>
      <w:r>
        <w:rPr>
          <w:rFonts w:hint="eastAsia" w:cs="Times New Roman"/>
          <w:sz w:val="18"/>
          <w:szCs w:val="18"/>
        </w:rPr>
        <w:t>第（1）与（2）列括号里为聚类至城市层面的稳健标准误，第（</w:t>
      </w:r>
      <w:r>
        <w:rPr>
          <w:rFonts w:cs="Times New Roman"/>
          <w:sz w:val="18"/>
          <w:szCs w:val="18"/>
        </w:rPr>
        <w:t>3</w:t>
      </w:r>
      <w:r>
        <w:rPr>
          <w:rFonts w:hint="eastAsia" w:cs="Times New Roman"/>
          <w:sz w:val="18"/>
          <w:szCs w:val="18"/>
        </w:rPr>
        <w:t>）与（</w:t>
      </w:r>
      <w:r>
        <w:rPr>
          <w:rFonts w:cs="Times New Roman"/>
          <w:sz w:val="18"/>
          <w:szCs w:val="18"/>
        </w:rPr>
        <w:t>4</w:t>
      </w:r>
      <w:r>
        <w:rPr>
          <w:rFonts w:hint="eastAsia" w:cs="Times New Roman"/>
          <w:sz w:val="18"/>
          <w:szCs w:val="18"/>
        </w:rPr>
        <w:t>）列括号里为稳健标准误，第（</w:t>
      </w:r>
      <w:r>
        <w:rPr>
          <w:rFonts w:cs="Times New Roman"/>
          <w:sz w:val="18"/>
          <w:szCs w:val="18"/>
        </w:rPr>
        <w:t>1</w:t>
      </w:r>
      <w:r>
        <w:rPr>
          <w:rFonts w:hint="eastAsia" w:cs="Times New Roman"/>
          <w:sz w:val="18"/>
          <w:szCs w:val="18"/>
        </w:rPr>
        <w:t>）列与第（</w:t>
      </w:r>
      <w:r>
        <w:rPr>
          <w:rFonts w:cs="Times New Roman"/>
          <w:sz w:val="18"/>
          <w:szCs w:val="18"/>
        </w:rPr>
        <w:t>2</w:t>
      </w:r>
      <w:r>
        <w:rPr>
          <w:rFonts w:hint="eastAsia" w:cs="Times New Roman"/>
          <w:sz w:val="18"/>
          <w:szCs w:val="18"/>
        </w:rPr>
        <w:t>）列为基于面板数据的回归，第（3）列与第（4）列为基于长差分模型的回归，在第（</w:t>
      </w:r>
      <w:r>
        <w:rPr>
          <w:rFonts w:cs="Times New Roman"/>
          <w:sz w:val="18"/>
          <w:szCs w:val="18"/>
        </w:rPr>
        <w:t>1</w:t>
      </w:r>
      <w:r>
        <w:rPr>
          <w:rFonts w:hint="eastAsia" w:cs="Times New Roman"/>
          <w:sz w:val="18"/>
          <w:szCs w:val="18"/>
        </w:rPr>
        <w:t>）列与第（3）列中，我们并未加入额外的控制变量，而在第（</w:t>
      </w:r>
      <w:r>
        <w:rPr>
          <w:rFonts w:cs="Times New Roman"/>
          <w:sz w:val="18"/>
          <w:szCs w:val="18"/>
        </w:rPr>
        <w:t>2</w:t>
      </w:r>
      <w:r>
        <w:rPr>
          <w:rFonts w:hint="eastAsia" w:cs="Times New Roman"/>
          <w:sz w:val="18"/>
          <w:szCs w:val="18"/>
        </w:rPr>
        <w:t>）与第（</w:t>
      </w:r>
      <w:r>
        <w:rPr>
          <w:rFonts w:cs="Times New Roman"/>
          <w:sz w:val="18"/>
          <w:szCs w:val="18"/>
        </w:rPr>
        <w:t>4</w:t>
      </w:r>
      <w:r>
        <w:rPr>
          <w:rFonts w:hint="eastAsia" w:cs="Times New Roman"/>
          <w:sz w:val="18"/>
          <w:szCs w:val="18"/>
        </w:rPr>
        <w:t>）列中我们控制了</w:t>
      </w:r>
      <w:r>
        <w:rPr>
          <w:rFonts w:cs="Times New Roman"/>
          <w:sz w:val="18"/>
          <w:szCs w:val="18"/>
        </w:rPr>
        <w:t>OLS</w:t>
      </w:r>
      <w:r>
        <w:rPr>
          <w:rFonts w:hint="eastAsia" w:cs="Times New Roman"/>
          <w:sz w:val="18"/>
          <w:szCs w:val="18"/>
        </w:rPr>
        <w:t>回归中控制的所有因素。</w:t>
      </w:r>
    </w:p>
    <w:p>
      <w:pPr>
        <w:autoSpaceDE w:val="0"/>
        <w:autoSpaceDN w:val="0"/>
        <w:adjustRightInd w:val="0"/>
        <w:ind w:firstLine="420" w:firstLineChars="200"/>
        <w:jc w:val="both"/>
        <w:rPr>
          <w:rFonts w:cs="Times New Roman"/>
          <w:color w:val="000000" w:themeColor="text1"/>
          <w:szCs w:val="21"/>
          <w14:textFill>
            <w14:solidFill>
              <w14:schemeClr w14:val="tx1"/>
            </w14:solidFill>
          </w14:textFill>
        </w:rPr>
      </w:pPr>
    </w:p>
    <w:p>
      <w:pPr>
        <w:autoSpaceDE w:val="0"/>
        <w:autoSpaceDN w:val="0"/>
        <w:adjustRightInd w:val="0"/>
        <w:ind w:firstLine="420" w:firstLineChars="200"/>
        <w:jc w:val="both"/>
        <w:rPr>
          <w:rFonts w:cs="Times New Roman"/>
          <w:color w:val="000000" w:themeColor="text1"/>
          <w:szCs w:val="21"/>
          <w14:textFill>
            <w14:solidFill>
              <w14:schemeClr w14:val="tx1"/>
            </w14:solidFill>
          </w14:textFill>
        </w:rPr>
      </w:pPr>
      <w:r>
        <w:rPr>
          <w:rFonts w:hint="eastAsia" w:cs="Times New Roman"/>
          <w:color w:val="000000" w:themeColor="text1"/>
          <w:szCs w:val="21"/>
          <w14:textFill>
            <w14:solidFill>
              <w14:schemeClr w14:val="tx1"/>
            </w14:solidFill>
          </w14:textFill>
        </w:rPr>
        <w:t>除此之外，我们还使用城市每年新增的规模以上工业企业数量（</w:t>
      </w:r>
      <w:r>
        <w:rPr>
          <w:rFonts w:hint="eastAsia" w:cs="Times New Roman"/>
          <w:i/>
          <w:iCs/>
          <w:color w:val="000000" w:themeColor="text1"/>
          <w:szCs w:val="21"/>
          <w14:textFill>
            <w14:solidFill>
              <w14:schemeClr w14:val="tx1"/>
            </w14:solidFill>
          </w14:textFill>
        </w:rPr>
        <w:t>Δlnentrants</w:t>
      </w:r>
      <w:r>
        <w:rPr>
          <w:rFonts w:hint="eastAsia" w:cs="Times New Roman"/>
          <w:color w:val="000000" w:themeColor="text1"/>
          <w:szCs w:val="21"/>
          <w14:textFill>
            <w14:solidFill>
              <w14:schemeClr w14:val="tx1"/>
            </w14:solidFill>
          </w14:textFill>
        </w:rPr>
        <w:t>）考察几何形态对企业在城市间选址的影响，回归结果如表</w:t>
      </w:r>
      <w:r>
        <w:rPr>
          <w:rFonts w:hint="eastAsia" w:ascii="仿宋" w:hAnsi="仿宋" w:cs="仿宋"/>
          <w:color w:val="000000" w:themeColor="text1"/>
          <w:szCs w:val="21"/>
          <w14:textFill>
            <w14:solidFill>
              <w14:schemeClr w14:val="tx1"/>
            </w14:solidFill>
          </w14:textFill>
        </w:rPr>
        <w:t>Ⅱ</w:t>
      </w:r>
      <w:r>
        <w:rPr>
          <w:rFonts w:hint="eastAsia" w:cs="Times New Roman"/>
          <w:color w:val="000000" w:themeColor="text1"/>
          <w:szCs w:val="21"/>
          <w14:textFill>
            <w14:solidFill>
              <w14:schemeClr w14:val="tx1"/>
            </w14:solidFill>
          </w14:textFill>
        </w:rPr>
        <w:t>2第（1）列所示，经过内生性处理后我们发现城市几何形态的系数显著为负，这说明企业在选择进入城市时更倾向于紧凑的城市，而非松散型城市，而企业选址的倾向性也会左右城市内部的集聚经济，降低生产率或经济效率，第（2）列则是以城市层面的T</w:t>
      </w:r>
      <w:r>
        <w:rPr>
          <w:rFonts w:cs="Times New Roman"/>
          <w:color w:val="000000" w:themeColor="text1"/>
          <w:szCs w:val="21"/>
          <w14:textFill>
            <w14:solidFill>
              <w14:schemeClr w14:val="tx1"/>
            </w14:solidFill>
          </w14:textFill>
        </w:rPr>
        <w:t>FP</w:t>
      </w:r>
      <w:r>
        <w:rPr>
          <w:rFonts w:hint="eastAsia" w:cs="Times New Roman"/>
          <w:color w:val="000000" w:themeColor="text1"/>
          <w:szCs w:val="21"/>
          <w14:textFill>
            <w14:solidFill>
              <w14:schemeClr w14:val="tx1"/>
            </w14:solidFill>
          </w14:textFill>
        </w:rPr>
        <w:t>作为被解释变量进行回归，结果依然稳健。</w:t>
      </w:r>
    </w:p>
    <w:p>
      <w:pPr>
        <w:ind w:firstLine="360" w:firstLineChars="200"/>
        <w:jc w:val="center"/>
        <w:rPr>
          <w:rFonts w:ascii="黑体" w:hAnsi="黑体" w:eastAsia="黑体" w:cs="黑体"/>
          <w:sz w:val="18"/>
          <w:szCs w:val="18"/>
        </w:rPr>
      </w:pPr>
      <w:r>
        <w:rPr>
          <w:rFonts w:hint="eastAsia" w:ascii="黑体" w:hAnsi="黑体" w:eastAsia="黑体" w:cs="黑体"/>
          <w:color w:val="000000" w:themeColor="text1"/>
          <w:sz w:val="18"/>
          <w:szCs w:val="18"/>
          <w14:textFill>
            <w14:solidFill>
              <w14:schemeClr w14:val="tx1"/>
            </w14:solidFill>
          </w14:textFill>
        </w:rPr>
        <w:t>表II2 几何形</w:t>
      </w:r>
      <w:r>
        <w:rPr>
          <w:rFonts w:hint="eastAsia" w:ascii="黑体" w:hAnsi="黑体" w:eastAsia="黑体" w:cs="黑体"/>
          <w:sz w:val="18"/>
          <w:szCs w:val="18"/>
        </w:rPr>
        <w:t>态与企业进入、全要素生产率（工具变量回归第二阶段）</w:t>
      </w:r>
    </w:p>
    <w:tbl>
      <w:tblPr>
        <w:tblStyle w:val="12"/>
        <w:tblW w:w="9072" w:type="dxa"/>
        <w:jc w:val="center"/>
        <w:tblLayout w:type="autofit"/>
        <w:tblCellMar>
          <w:top w:w="0" w:type="dxa"/>
          <w:left w:w="75" w:type="dxa"/>
          <w:bottom w:w="0" w:type="dxa"/>
          <w:right w:w="75" w:type="dxa"/>
        </w:tblCellMar>
      </w:tblPr>
      <w:tblGrid>
        <w:gridCol w:w="3144"/>
        <w:gridCol w:w="3015"/>
        <w:gridCol w:w="2913"/>
      </w:tblGrid>
      <w:tr>
        <w:tblPrEx>
          <w:tblCellMar>
            <w:top w:w="0" w:type="dxa"/>
            <w:left w:w="75" w:type="dxa"/>
            <w:bottom w:w="0" w:type="dxa"/>
            <w:right w:w="75" w:type="dxa"/>
          </w:tblCellMar>
        </w:tblPrEx>
        <w:trPr>
          <w:jc w:val="center"/>
        </w:trPr>
        <w:tc>
          <w:tcPr>
            <w:tcW w:w="3144" w:type="dxa"/>
            <w:tcBorders>
              <w:top w:val="single" w:color="auto" w:sz="6" w:space="0"/>
              <w:left w:val="nil"/>
              <w:bottom w:val="nil"/>
              <w:right w:val="nil"/>
            </w:tcBorders>
          </w:tcPr>
          <w:p>
            <w:pPr>
              <w:autoSpaceDE w:val="0"/>
              <w:autoSpaceDN w:val="0"/>
              <w:adjustRightInd w:val="0"/>
              <w:rPr>
                <w:rFonts w:cs="Times New Roman"/>
                <w:sz w:val="18"/>
                <w:szCs w:val="18"/>
              </w:rPr>
            </w:pPr>
            <w:r>
              <w:rPr>
                <w:rFonts w:hint="eastAsia" w:cs="Times New Roman"/>
                <w:sz w:val="18"/>
                <w:szCs w:val="18"/>
              </w:rPr>
              <w:t>被解释变量</w:t>
            </w:r>
          </w:p>
        </w:tc>
        <w:tc>
          <w:tcPr>
            <w:tcW w:w="3015" w:type="dxa"/>
            <w:tcBorders>
              <w:top w:val="single" w:color="auto" w:sz="6" w:space="0"/>
              <w:left w:val="nil"/>
              <w:bottom w:val="single" w:color="auto" w:sz="6" w:space="0"/>
              <w:right w:val="nil"/>
            </w:tcBorders>
          </w:tcPr>
          <w:p>
            <w:pPr>
              <w:autoSpaceDE w:val="0"/>
              <w:autoSpaceDN w:val="0"/>
              <w:adjustRightInd w:val="0"/>
              <w:jc w:val="center"/>
              <w:rPr>
                <w:rFonts w:cs="Times New Roman"/>
                <w:sz w:val="18"/>
                <w:szCs w:val="18"/>
              </w:rPr>
            </w:pPr>
            <w:r>
              <w:rPr>
                <w:rFonts w:cs="Times New Roman"/>
                <w:i/>
                <w:iCs/>
                <w:sz w:val="18"/>
                <w:szCs w:val="18"/>
              </w:rPr>
              <w:t>Δlnentrants</w:t>
            </w:r>
            <w:r>
              <w:rPr>
                <w:rFonts w:cs="Times New Roman"/>
                <w:sz w:val="18"/>
                <w:szCs w:val="18"/>
              </w:rPr>
              <w:t>(2000-2013)</w:t>
            </w:r>
          </w:p>
        </w:tc>
        <w:tc>
          <w:tcPr>
            <w:tcW w:w="2913" w:type="dxa"/>
            <w:tcBorders>
              <w:top w:val="single" w:color="auto" w:sz="6" w:space="0"/>
              <w:left w:val="nil"/>
              <w:bottom w:val="single" w:color="auto" w:sz="6" w:space="0"/>
              <w:right w:val="nil"/>
            </w:tcBorders>
          </w:tcPr>
          <w:p>
            <w:pPr>
              <w:autoSpaceDE w:val="0"/>
              <w:autoSpaceDN w:val="0"/>
              <w:adjustRightInd w:val="0"/>
              <w:jc w:val="center"/>
              <w:rPr>
                <w:rFonts w:cs="Times New Roman"/>
                <w:sz w:val="18"/>
                <w:szCs w:val="18"/>
              </w:rPr>
            </w:pPr>
            <w:r>
              <w:rPr>
                <w:rFonts w:cs="Times New Roman"/>
                <w:i/>
                <w:iCs/>
                <w:sz w:val="18"/>
                <w:szCs w:val="18"/>
              </w:rPr>
              <w:t>Δtfp</w:t>
            </w:r>
            <w:r>
              <w:rPr>
                <w:rFonts w:cs="Times New Roman"/>
                <w:sz w:val="18"/>
                <w:szCs w:val="18"/>
              </w:rPr>
              <w:t>(2000-2015)</w:t>
            </w:r>
          </w:p>
        </w:tc>
      </w:tr>
      <w:tr>
        <w:tblPrEx>
          <w:tblCellMar>
            <w:top w:w="0" w:type="dxa"/>
            <w:left w:w="75" w:type="dxa"/>
            <w:bottom w:w="0" w:type="dxa"/>
            <w:right w:w="75" w:type="dxa"/>
          </w:tblCellMar>
        </w:tblPrEx>
        <w:trPr>
          <w:jc w:val="center"/>
        </w:trPr>
        <w:tc>
          <w:tcPr>
            <w:tcW w:w="3144" w:type="dxa"/>
            <w:tcBorders>
              <w:top w:val="nil"/>
              <w:left w:val="nil"/>
              <w:bottom w:val="single" w:color="auto" w:sz="6" w:space="0"/>
              <w:right w:val="nil"/>
            </w:tcBorders>
          </w:tcPr>
          <w:p>
            <w:pPr>
              <w:autoSpaceDE w:val="0"/>
              <w:autoSpaceDN w:val="0"/>
              <w:adjustRightInd w:val="0"/>
              <w:rPr>
                <w:rFonts w:cs="Times New Roman"/>
                <w:sz w:val="18"/>
                <w:szCs w:val="18"/>
              </w:rPr>
            </w:pPr>
            <w:r>
              <w:rPr>
                <w:rFonts w:hint="eastAsia" w:cs="Times New Roman"/>
                <w:sz w:val="18"/>
                <w:szCs w:val="18"/>
              </w:rPr>
              <w:t>解释变量</w:t>
            </w:r>
          </w:p>
        </w:tc>
        <w:tc>
          <w:tcPr>
            <w:tcW w:w="3015" w:type="dxa"/>
            <w:tcBorders>
              <w:top w:val="single" w:color="auto" w:sz="6" w:space="0"/>
              <w:left w:val="nil"/>
              <w:bottom w:val="single" w:color="auto" w:sz="6" w:space="0"/>
              <w:right w:val="nil"/>
            </w:tcBorders>
          </w:tcPr>
          <w:p>
            <w:pPr>
              <w:autoSpaceDE w:val="0"/>
              <w:autoSpaceDN w:val="0"/>
              <w:adjustRightInd w:val="0"/>
              <w:jc w:val="center"/>
              <w:rPr>
                <w:rFonts w:cs="Times New Roman"/>
                <w:i/>
                <w:iCs/>
                <w:sz w:val="18"/>
                <w:szCs w:val="18"/>
              </w:rPr>
            </w:pPr>
            <w:r>
              <w:rPr>
                <w:rFonts w:cs="Times New Roman"/>
                <w:sz w:val="18"/>
                <w:szCs w:val="18"/>
              </w:rPr>
              <w:t>(1)</w:t>
            </w:r>
          </w:p>
        </w:tc>
        <w:tc>
          <w:tcPr>
            <w:tcW w:w="2913" w:type="dxa"/>
            <w:tcBorders>
              <w:top w:val="single" w:color="auto" w:sz="6" w:space="0"/>
              <w:left w:val="nil"/>
              <w:bottom w:val="single" w:color="auto" w:sz="6" w:space="0"/>
              <w:right w:val="nil"/>
            </w:tcBorders>
          </w:tcPr>
          <w:p>
            <w:pPr>
              <w:autoSpaceDE w:val="0"/>
              <w:autoSpaceDN w:val="0"/>
              <w:adjustRightInd w:val="0"/>
              <w:jc w:val="center"/>
              <w:rPr>
                <w:rFonts w:cs="Times New Roman"/>
                <w:i/>
                <w:iCs/>
                <w:sz w:val="18"/>
                <w:szCs w:val="18"/>
              </w:rPr>
            </w:pPr>
            <w:r>
              <w:rPr>
                <w:rFonts w:cs="Times New Roman"/>
                <w:sz w:val="18"/>
                <w:szCs w:val="18"/>
              </w:rPr>
              <w:t>(2)</w:t>
            </w:r>
          </w:p>
        </w:tc>
      </w:tr>
      <w:tr>
        <w:tblPrEx>
          <w:tblCellMar>
            <w:top w:w="0" w:type="dxa"/>
            <w:left w:w="75" w:type="dxa"/>
            <w:bottom w:w="0" w:type="dxa"/>
            <w:right w:w="75" w:type="dxa"/>
          </w:tblCellMar>
        </w:tblPrEx>
        <w:trPr>
          <w:jc w:val="center"/>
        </w:trPr>
        <w:tc>
          <w:tcPr>
            <w:tcW w:w="3144" w:type="dxa"/>
          </w:tcPr>
          <w:p>
            <w:pPr>
              <w:autoSpaceDE w:val="0"/>
              <w:autoSpaceDN w:val="0"/>
              <w:adjustRightInd w:val="0"/>
              <w:jc w:val="both"/>
              <w:rPr>
                <w:rFonts w:cs="Times New Roman"/>
                <w:sz w:val="18"/>
                <w:szCs w:val="18"/>
              </w:rPr>
            </w:pPr>
            <w:r>
              <w:rPr>
                <w:rFonts w:cs="Times New Roman"/>
                <w:i/>
                <w:iCs/>
                <w:sz w:val="18"/>
                <w:szCs w:val="18"/>
              </w:rPr>
              <w:t>Δurbanshape</w:t>
            </w:r>
          </w:p>
        </w:tc>
        <w:tc>
          <w:tcPr>
            <w:tcW w:w="3015" w:type="dxa"/>
          </w:tcPr>
          <w:p>
            <w:pPr>
              <w:autoSpaceDE w:val="0"/>
              <w:autoSpaceDN w:val="0"/>
              <w:adjustRightInd w:val="0"/>
              <w:jc w:val="center"/>
              <w:rPr>
                <w:rFonts w:cs="Times New Roman"/>
                <w:sz w:val="18"/>
                <w:szCs w:val="18"/>
              </w:rPr>
            </w:pPr>
            <w:r>
              <w:rPr>
                <w:rFonts w:cs="Times New Roman"/>
                <w:sz w:val="18"/>
                <w:szCs w:val="18"/>
              </w:rPr>
              <w:t>-0.3101***</w:t>
            </w:r>
          </w:p>
        </w:tc>
        <w:tc>
          <w:tcPr>
            <w:tcW w:w="2913" w:type="dxa"/>
          </w:tcPr>
          <w:p>
            <w:pPr>
              <w:autoSpaceDE w:val="0"/>
              <w:autoSpaceDN w:val="0"/>
              <w:adjustRightInd w:val="0"/>
              <w:jc w:val="center"/>
              <w:rPr>
                <w:rFonts w:cs="Times New Roman"/>
                <w:sz w:val="18"/>
                <w:szCs w:val="18"/>
              </w:rPr>
            </w:pPr>
            <w:r>
              <w:rPr>
                <w:rFonts w:cs="Times New Roman"/>
                <w:sz w:val="18"/>
                <w:szCs w:val="18"/>
              </w:rPr>
              <w:t>-0.0618*</w:t>
            </w:r>
          </w:p>
        </w:tc>
      </w:tr>
      <w:tr>
        <w:tblPrEx>
          <w:tblCellMar>
            <w:top w:w="0" w:type="dxa"/>
            <w:left w:w="75" w:type="dxa"/>
            <w:bottom w:w="0" w:type="dxa"/>
            <w:right w:w="75" w:type="dxa"/>
          </w:tblCellMar>
        </w:tblPrEx>
        <w:trPr>
          <w:jc w:val="center"/>
        </w:trPr>
        <w:tc>
          <w:tcPr>
            <w:tcW w:w="3144" w:type="dxa"/>
          </w:tcPr>
          <w:p>
            <w:pPr>
              <w:autoSpaceDE w:val="0"/>
              <w:autoSpaceDN w:val="0"/>
              <w:adjustRightInd w:val="0"/>
              <w:jc w:val="both"/>
              <w:rPr>
                <w:rFonts w:cs="Times New Roman"/>
                <w:sz w:val="18"/>
                <w:szCs w:val="18"/>
              </w:rPr>
            </w:pPr>
          </w:p>
        </w:tc>
        <w:tc>
          <w:tcPr>
            <w:tcW w:w="3015" w:type="dxa"/>
          </w:tcPr>
          <w:p>
            <w:pPr>
              <w:autoSpaceDE w:val="0"/>
              <w:autoSpaceDN w:val="0"/>
              <w:adjustRightInd w:val="0"/>
              <w:jc w:val="center"/>
              <w:rPr>
                <w:rFonts w:cs="Times New Roman"/>
                <w:sz w:val="18"/>
                <w:szCs w:val="18"/>
              </w:rPr>
            </w:pPr>
            <w:r>
              <w:rPr>
                <w:rFonts w:cs="Times New Roman"/>
                <w:sz w:val="18"/>
                <w:szCs w:val="18"/>
              </w:rPr>
              <w:t>(0.0942)</w:t>
            </w:r>
          </w:p>
        </w:tc>
        <w:tc>
          <w:tcPr>
            <w:tcW w:w="2913" w:type="dxa"/>
          </w:tcPr>
          <w:p>
            <w:pPr>
              <w:autoSpaceDE w:val="0"/>
              <w:autoSpaceDN w:val="0"/>
              <w:adjustRightInd w:val="0"/>
              <w:jc w:val="center"/>
              <w:rPr>
                <w:rFonts w:cs="Times New Roman"/>
                <w:sz w:val="18"/>
                <w:szCs w:val="18"/>
              </w:rPr>
            </w:pPr>
            <w:r>
              <w:rPr>
                <w:rFonts w:cs="Times New Roman"/>
                <w:sz w:val="18"/>
                <w:szCs w:val="18"/>
              </w:rPr>
              <w:t>(0.0332)</w:t>
            </w:r>
          </w:p>
        </w:tc>
      </w:tr>
      <w:tr>
        <w:tblPrEx>
          <w:tblCellMar>
            <w:top w:w="0" w:type="dxa"/>
            <w:left w:w="75" w:type="dxa"/>
            <w:bottom w:w="0" w:type="dxa"/>
            <w:right w:w="75" w:type="dxa"/>
          </w:tblCellMar>
        </w:tblPrEx>
        <w:trPr>
          <w:jc w:val="center"/>
        </w:trPr>
        <w:tc>
          <w:tcPr>
            <w:tcW w:w="3144" w:type="dxa"/>
          </w:tcPr>
          <w:p>
            <w:pPr>
              <w:autoSpaceDE w:val="0"/>
              <w:autoSpaceDN w:val="0"/>
              <w:adjustRightInd w:val="0"/>
              <w:jc w:val="both"/>
              <w:rPr>
                <w:rFonts w:cs="Times New Roman"/>
                <w:sz w:val="18"/>
                <w:szCs w:val="18"/>
              </w:rPr>
            </w:pPr>
            <w:r>
              <w:rPr>
                <w:rFonts w:cs="Times New Roman"/>
                <w:i/>
                <w:iCs/>
                <w:sz w:val="18"/>
                <w:szCs w:val="18"/>
              </w:rPr>
              <w:t>Δlnarea</w:t>
            </w:r>
          </w:p>
        </w:tc>
        <w:tc>
          <w:tcPr>
            <w:tcW w:w="3015" w:type="dxa"/>
          </w:tcPr>
          <w:p>
            <w:pPr>
              <w:autoSpaceDE w:val="0"/>
              <w:autoSpaceDN w:val="0"/>
              <w:adjustRightInd w:val="0"/>
              <w:jc w:val="center"/>
              <w:rPr>
                <w:rFonts w:cs="Times New Roman"/>
                <w:sz w:val="18"/>
                <w:szCs w:val="18"/>
              </w:rPr>
            </w:pPr>
            <w:r>
              <w:rPr>
                <w:rFonts w:cs="Times New Roman"/>
                <w:sz w:val="18"/>
                <w:szCs w:val="18"/>
              </w:rPr>
              <w:t>1.1847***</w:t>
            </w:r>
          </w:p>
        </w:tc>
        <w:tc>
          <w:tcPr>
            <w:tcW w:w="2913" w:type="dxa"/>
          </w:tcPr>
          <w:p>
            <w:pPr>
              <w:autoSpaceDE w:val="0"/>
              <w:autoSpaceDN w:val="0"/>
              <w:adjustRightInd w:val="0"/>
              <w:jc w:val="center"/>
              <w:rPr>
                <w:rFonts w:cs="Times New Roman"/>
                <w:sz w:val="18"/>
                <w:szCs w:val="18"/>
              </w:rPr>
            </w:pPr>
            <w:r>
              <w:rPr>
                <w:rFonts w:cs="Times New Roman"/>
                <w:sz w:val="18"/>
                <w:szCs w:val="18"/>
              </w:rPr>
              <w:t>0.1609</w:t>
            </w:r>
          </w:p>
        </w:tc>
      </w:tr>
      <w:tr>
        <w:tblPrEx>
          <w:tblCellMar>
            <w:top w:w="0" w:type="dxa"/>
            <w:left w:w="75" w:type="dxa"/>
            <w:bottom w:w="0" w:type="dxa"/>
            <w:right w:w="75" w:type="dxa"/>
          </w:tblCellMar>
        </w:tblPrEx>
        <w:trPr>
          <w:jc w:val="center"/>
        </w:trPr>
        <w:tc>
          <w:tcPr>
            <w:tcW w:w="3144" w:type="dxa"/>
          </w:tcPr>
          <w:p>
            <w:pPr>
              <w:autoSpaceDE w:val="0"/>
              <w:autoSpaceDN w:val="0"/>
              <w:adjustRightInd w:val="0"/>
              <w:jc w:val="both"/>
              <w:rPr>
                <w:rFonts w:cs="Times New Roman"/>
                <w:sz w:val="18"/>
                <w:szCs w:val="18"/>
              </w:rPr>
            </w:pPr>
          </w:p>
        </w:tc>
        <w:tc>
          <w:tcPr>
            <w:tcW w:w="3015" w:type="dxa"/>
          </w:tcPr>
          <w:p>
            <w:pPr>
              <w:autoSpaceDE w:val="0"/>
              <w:autoSpaceDN w:val="0"/>
              <w:adjustRightInd w:val="0"/>
              <w:jc w:val="center"/>
              <w:rPr>
                <w:rFonts w:cs="Times New Roman"/>
                <w:sz w:val="18"/>
                <w:szCs w:val="18"/>
              </w:rPr>
            </w:pPr>
            <w:r>
              <w:rPr>
                <w:rFonts w:cs="Times New Roman"/>
                <w:sz w:val="18"/>
                <w:szCs w:val="18"/>
              </w:rPr>
              <w:t>(0.2710)</w:t>
            </w:r>
          </w:p>
        </w:tc>
        <w:tc>
          <w:tcPr>
            <w:tcW w:w="2913" w:type="dxa"/>
          </w:tcPr>
          <w:p>
            <w:pPr>
              <w:autoSpaceDE w:val="0"/>
              <w:autoSpaceDN w:val="0"/>
              <w:adjustRightInd w:val="0"/>
              <w:jc w:val="center"/>
              <w:rPr>
                <w:rFonts w:cs="Times New Roman"/>
                <w:sz w:val="18"/>
                <w:szCs w:val="18"/>
              </w:rPr>
            </w:pPr>
            <w:r>
              <w:rPr>
                <w:rFonts w:cs="Times New Roman"/>
                <w:sz w:val="18"/>
                <w:szCs w:val="18"/>
              </w:rPr>
              <w:t>(0.1075)</w:t>
            </w:r>
          </w:p>
        </w:tc>
      </w:tr>
      <w:tr>
        <w:tblPrEx>
          <w:tblCellMar>
            <w:top w:w="0" w:type="dxa"/>
            <w:left w:w="75" w:type="dxa"/>
            <w:bottom w:w="0" w:type="dxa"/>
            <w:right w:w="75" w:type="dxa"/>
          </w:tblCellMar>
        </w:tblPrEx>
        <w:trPr>
          <w:jc w:val="center"/>
        </w:trPr>
        <w:tc>
          <w:tcPr>
            <w:tcW w:w="3144" w:type="dxa"/>
          </w:tcPr>
          <w:p>
            <w:pPr>
              <w:autoSpaceDE w:val="0"/>
              <w:autoSpaceDN w:val="0"/>
              <w:adjustRightInd w:val="0"/>
              <w:jc w:val="both"/>
              <w:rPr>
                <w:rFonts w:cs="Times New Roman"/>
                <w:sz w:val="18"/>
                <w:szCs w:val="18"/>
              </w:rPr>
            </w:pPr>
            <w:r>
              <w:rPr>
                <w:rFonts w:cs="Times New Roman"/>
                <w:sz w:val="18"/>
                <w:szCs w:val="18"/>
              </w:rPr>
              <w:t>N</w:t>
            </w:r>
          </w:p>
        </w:tc>
        <w:tc>
          <w:tcPr>
            <w:tcW w:w="3015" w:type="dxa"/>
          </w:tcPr>
          <w:p>
            <w:pPr>
              <w:autoSpaceDE w:val="0"/>
              <w:autoSpaceDN w:val="0"/>
              <w:adjustRightInd w:val="0"/>
              <w:jc w:val="center"/>
              <w:rPr>
                <w:rFonts w:cs="Times New Roman"/>
                <w:sz w:val="18"/>
                <w:szCs w:val="18"/>
              </w:rPr>
            </w:pPr>
            <w:r>
              <w:rPr>
                <w:rFonts w:cs="Times New Roman"/>
                <w:sz w:val="18"/>
                <w:szCs w:val="18"/>
              </w:rPr>
              <w:t>252</w:t>
            </w:r>
          </w:p>
        </w:tc>
        <w:tc>
          <w:tcPr>
            <w:tcW w:w="2913" w:type="dxa"/>
          </w:tcPr>
          <w:p>
            <w:pPr>
              <w:autoSpaceDE w:val="0"/>
              <w:autoSpaceDN w:val="0"/>
              <w:adjustRightInd w:val="0"/>
              <w:jc w:val="center"/>
              <w:rPr>
                <w:rFonts w:cs="Times New Roman"/>
                <w:sz w:val="18"/>
                <w:szCs w:val="18"/>
              </w:rPr>
            </w:pPr>
            <w:r>
              <w:rPr>
                <w:rFonts w:cs="Times New Roman"/>
                <w:sz w:val="18"/>
                <w:szCs w:val="18"/>
              </w:rPr>
              <w:t>252</w:t>
            </w:r>
          </w:p>
        </w:tc>
      </w:tr>
      <w:tr>
        <w:tblPrEx>
          <w:tblCellMar>
            <w:top w:w="0" w:type="dxa"/>
            <w:left w:w="75" w:type="dxa"/>
            <w:bottom w:w="0" w:type="dxa"/>
            <w:right w:w="75" w:type="dxa"/>
          </w:tblCellMar>
        </w:tblPrEx>
        <w:trPr>
          <w:jc w:val="center"/>
        </w:trPr>
        <w:tc>
          <w:tcPr>
            <w:tcW w:w="3144" w:type="dxa"/>
            <w:tcBorders>
              <w:bottom w:val="single" w:color="auto" w:sz="6" w:space="0"/>
            </w:tcBorders>
          </w:tcPr>
          <w:p>
            <w:pPr>
              <w:autoSpaceDE w:val="0"/>
              <w:autoSpaceDN w:val="0"/>
              <w:adjustRightInd w:val="0"/>
              <w:jc w:val="both"/>
              <w:rPr>
                <w:rFonts w:cs="Times New Roman"/>
                <w:sz w:val="18"/>
                <w:szCs w:val="18"/>
              </w:rPr>
            </w:pPr>
            <w:r>
              <w:rPr>
                <w:rFonts w:cs="Times New Roman"/>
                <w:sz w:val="18"/>
                <w:szCs w:val="18"/>
              </w:rPr>
              <w:t>Controls</w:t>
            </w:r>
          </w:p>
        </w:tc>
        <w:tc>
          <w:tcPr>
            <w:tcW w:w="3015" w:type="dxa"/>
            <w:tcBorders>
              <w:bottom w:val="single" w:color="auto" w:sz="6" w:space="0"/>
            </w:tcBorders>
          </w:tcPr>
          <w:p>
            <w:pPr>
              <w:autoSpaceDE w:val="0"/>
              <w:autoSpaceDN w:val="0"/>
              <w:adjustRightInd w:val="0"/>
              <w:jc w:val="center"/>
              <w:rPr>
                <w:rFonts w:cs="Times New Roman"/>
                <w:sz w:val="18"/>
                <w:szCs w:val="18"/>
              </w:rPr>
            </w:pPr>
            <w:r>
              <w:rPr>
                <w:rFonts w:cs="Times New Roman"/>
                <w:sz w:val="18"/>
                <w:szCs w:val="18"/>
              </w:rPr>
              <w:t>Y</w:t>
            </w:r>
          </w:p>
        </w:tc>
        <w:tc>
          <w:tcPr>
            <w:tcW w:w="2913" w:type="dxa"/>
            <w:tcBorders>
              <w:bottom w:val="single" w:color="auto" w:sz="6" w:space="0"/>
            </w:tcBorders>
          </w:tcPr>
          <w:p>
            <w:pPr>
              <w:autoSpaceDE w:val="0"/>
              <w:autoSpaceDN w:val="0"/>
              <w:adjustRightInd w:val="0"/>
              <w:jc w:val="center"/>
              <w:rPr>
                <w:rFonts w:cs="Times New Roman"/>
                <w:sz w:val="18"/>
                <w:szCs w:val="18"/>
              </w:rPr>
            </w:pPr>
            <w:r>
              <w:rPr>
                <w:rFonts w:cs="Times New Roman"/>
                <w:sz w:val="18"/>
                <w:szCs w:val="18"/>
              </w:rPr>
              <w:t>Y</w:t>
            </w:r>
          </w:p>
        </w:tc>
      </w:tr>
    </w:tbl>
    <w:p>
      <w:pPr>
        <w:pStyle w:val="4"/>
        <w:spacing w:before="156" w:after="156"/>
        <w:ind w:firstLine="420"/>
        <w:jc w:val="both"/>
        <w:rPr>
          <w:rFonts w:cs="Times New Roman"/>
        </w:rPr>
      </w:pPr>
      <w:bookmarkStart w:id="8" w:name="_Toc155566169"/>
      <w:r>
        <w:rPr>
          <w:rFonts w:hint="eastAsia" w:cs="Times New Roman"/>
        </w:rPr>
        <w:t>（四）</w:t>
      </w:r>
      <w:r>
        <w:rPr>
          <w:rFonts w:hAnsi="宋体" w:cs="Times New Roman"/>
        </w:rPr>
        <w:t>稳健性检验</w:t>
      </w:r>
      <w:bookmarkEnd w:id="8"/>
    </w:p>
    <w:p>
      <w:pPr>
        <w:pStyle w:val="5"/>
        <w:ind w:firstLine="420"/>
      </w:pPr>
      <w:r>
        <w:rPr>
          <w:rFonts w:hint="eastAsia"/>
        </w:rPr>
        <w:t>1</w:t>
      </w:r>
      <w:r>
        <w:t>.改变城市形态测度方法</w:t>
      </w:r>
    </w:p>
    <w:p>
      <w:pPr>
        <w:ind w:firstLine="420" w:firstLineChars="200"/>
        <w:jc w:val="both"/>
        <w:rPr>
          <w:rFonts w:cs="Times New Roman"/>
          <w:color w:val="000000" w:themeColor="text1"/>
          <w:szCs w:val="21"/>
          <w14:textFill>
            <w14:solidFill>
              <w14:schemeClr w14:val="tx1"/>
            </w14:solidFill>
          </w14:textFill>
        </w:rPr>
      </w:pPr>
      <w:r>
        <w:rPr>
          <w:rFonts w:cs="Times New Roman"/>
          <w:color w:val="000000" w:themeColor="text1"/>
          <w14:textFill>
            <w14:solidFill>
              <w14:schemeClr w14:val="tx1"/>
            </w14:solidFill>
          </w14:textFill>
        </w:rPr>
        <w:t>城市形态可以</w:t>
      </w:r>
      <w:r>
        <w:rPr>
          <w:rFonts w:hint="eastAsia" w:cs="Times New Roman"/>
          <w:color w:val="000000" w:themeColor="text1"/>
          <w14:textFill>
            <w14:solidFill>
              <w14:schemeClr w14:val="tx1"/>
            </w14:solidFill>
          </w14:textFill>
        </w:rPr>
        <w:t>从多个维度</w:t>
      </w:r>
      <w:r>
        <w:rPr>
          <w:rFonts w:cs="Times New Roman"/>
          <w:color w:val="000000" w:themeColor="text1"/>
          <w14:textFill>
            <w14:solidFill>
              <w14:schemeClr w14:val="tx1"/>
            </w14:solidFill>
          </w14:textFill>
        </w:rPr>
        <w:t>测度，城市内部任意两点之间的平均距离仅是其中之一，城市形态的几何学测度</w:t>
      </w:r>
      <w:r>
        <w:rPr>
          <w:rFonts w:hint="eastAsia" w:cs="Times New Roman"/>
          <w:color w:val="000000" w:themeColor="text1"/>
          <w14:textFill>
            <w14:solidFill>
              <w14:schemeClr w14:val="tx1"/>
            </w14:solidFill>
          </w14:textFill>
        </w:rPr>
        <w:t>也</w:t>
      </w:r>
      <w:r>
        <w:rPr>
          <w:rFonts w:cs="Times New Roman"/>
          <w:color w:val="000000" w:themeColor="text1"/>
          <w14:textFill>
            <w14:solidFill>
              <w14:schemeClr w14:val="tx1"/>
            </w14:solidFill>
          </w14:textFill>
        </w:rPr>
        <w:t>可以反映在城市内部各点至城市中心的平均距离或是城市内部任意两点间的最大距离</w:t>
      </w:r>
      <w:r>
        <w:rPr>
          <w:rFonts w:hint="eastAsia" w:cs="Times New Roman"/>
          <w:color w:val="000000" w:themeColor="text1"/>
          <w14:textFill>
            <w14:solidFill>
              <w14:schemeClr w14:val="tx1"/>
            </w14:solidFill>
          </w14:textFill>
        </w:rPr>
        <w:t>上</w:t>
      </w:r>
      <w:r>
        <w:rPr>
          <w:rFonts w:cs="Times New Roman"/>
          <w:color w:val="000000" w:themeColor="text1"/>
          <w14:textFill>
            <w14:solidFill>
              <w14:schemeClr w14:val="tx1"/>
            </w14:solidFill>
          </w14:textFill>
        </w:rPr>
        <w:t>（Harari，2020）。因此，我们结合上文所介绍的陆地覆盖类型数据计算了上述两个指标描绘城市的几何形态。以城市内部各点至城市中心的平均距离</w:t>
      </w:r>
      <w:r>
        <w:rPr>
          <w:rFonts w:hint="eastAsia" w:cs="Times New Roman"/>
          <w:color w:val="000000" w:themeColor="text1"/>
          <w14:textFill>
            <w14:solidFill>
              <w14:schemeClr w14:val="tx1"/>
            </w14:solidFill>
          </w14:textFill>
        </w:rPr>
        <w:t>的长差分项</w:t>
      </w:r>
      <w:r>
        <w:rPr>
          <w:rFonts w:cs="Times New Roman"/>
          <w:color w:val="000000" w:themeColor="text1"/>
          <w14:textFill>
            <w14:solidFill>
              <w14:schemeClr w14:val="tx1"/>
            </w14:solidFill>
          </w14:textFill>
        </w:rPr>
        <w:t>（</w:t>
      </w:r>
      <w:r>
        <w:rPr>
          <w:rFonts w:cs="Times New Roman"/>
          <w:i/>
          <w:iCs/>
          <w:color w:val="000000" w:themeColor="text1"/>
          <w:szCs w:val="21"/>
          <w14:textFill>
            <w14:solidFill>
              <w14:schemeClr w14:val="tx1"/>
            </w14:solidFill>
          </w14:textFill>
        </w:rPr>
        <w:t>Δ</w:t>
      </w:r>
      <w:r>
        <w:rPr>
          <w:rFonts w:hint="eastAsia" w:cs="Times New Roman"/>
          <w:i/>
          <w:iCs/>
          <w:color w:val="000000" w:themeColor="text1"/>
          <w:szCs w:val="21"/>
          <w14:textFill>
            <w14:solidFill>
              <w14:schemeClr w14:val="tx1"/>
            </w14:solidFill>
          </w14:textFill>
        </w:rPr>
        <w:t>remo</w:t>
      </w:r>
      <w:r>
        <w:rPr>
          <w:rFonts w:cs="Times New Roman"/>
          <w:i/>
          <w:iCs/>
          <w:color w:val="000000" w:themeColor="text1"/>
          <w:szCs w:val="21"/>
          <w14:textFill>
            <w14:solidFill>
              <w14:schemeClr w14:val="tx1"/>
            </w14:solidFill>
          </w14:textFill>
        </w:rPr>
        <w:t>te</w:t>
      </w:r>
      <w:r>
        <w:rPr>
          <w:rFonts w:hint="eastAsia" w:cs="Times New Roman"/>
          <w:i/>
          <w:iCs/>
          <w:color w:val="000000" w:themeColor="text1"/>
          <w:szCs w:val="21"/>
          <w14:textFill>
            <w14:solidFill>
              <w14:schemeClr w14:val="tx1"/>
            </w14:solidFill>
          </w14:textFill>
        </w:rPr>
        <w:t>ness</w:t>
      </w:r>
      <w:r>
        <w:rPr>
          <w:rFonts w:cs="Times New Roman"/>
          <w:color w:val="000000" w:themeColor="text1"/>
          <w14:textFill>
            <w14:solidFill>
              <w14:schemeClr w14:val="tx1"/>
            </w14:solidFill>
          </w14:textFill>
        </w:rPr>
        <w:t>）以及城市内部任意两点间的最大距离</w:t>
      </w:r>
      <w:r>
        <w:rPr>
          <w:rFonts w:hint="eastAsia" w:cs="Times New Roman"/>
          <w:color w:val="000000" w:themeColor="text1"/>
          <w14:textFill>
            <w14:solidFill>
              <w14:schemeClr w14:val="tx1"/>
            </w14:solidFill>
          </w14:textFill>
        </w:rPr>
        <w:t>的长差分项</w:t>
      </w:r>
      <w:r>
        <w:rPr>
          <w:rFonts w:cs="Times New Roman"/>
          <w:color w:val="000000" w:themeColor="text1"/>
          <w14:textFill>
            <w14:solidFill>
              <w14:schemeClr w14:val="tx1"/>
            </w14:solidFill>
          </w14:textFill>
        </w:rPr>
        <w:t>（</w:t>
      </w:r>
      <w:r>
        <w:rPr>
          <w:rFonts w:cs="Times New Roman"/>
          <w:i/>
          <w:iCs/>
          <w:color w:val="000000" w:themeColor="text1"/>
          <w:szCs w:val="21"/>
          <w14:textFill>
            <w14:solidFill>
              <w14:schemeClr w14:val="tx1"/>
            </w14:solidFill>
          </w14:textFill>
        </w:rPr>
        <w:t>Δrange</w:t>
      </w:r>
      <w:r>
        <w:rPr>
          <w:rFonts w:cs="Times New Roman"/>
          <w:color w:val="000000" w:themeColor="text1"/>
          <w14:textFill>
            <w14:solidFill>
              <w14:schemeClr w14:val="tx1"/>
            </w14:solidFill>
          </w14:textFill>
        </w:rPr>
        <w:t>）作为主要解释变量重新回归以进行稳健性检验，回归结果如表</w:t>
      </w:r>
      <w:r>
        <w:rPr>
          <w:rFonts w:hint="eastAsia" w:ascii="仿宋" w:hAnsi="仿宋" w:cs="仿宋"/>
          <w:color w:val="000000" w:themeColor="text1"/>
          <w14:textFill>
            <w14:solidFill>
              <w14:schemeClr w14:val="tx1"/>
            </w14:solidFill>
          </w14:textFill>
        </w:rPr>
        <w:t>Ⅱ</w:t>
      </w:r>
      <w:r>
        <w:rPr>
          <w:rFonts w:hint="eastAsia" w:cs="Times New Roman"/>
          <w:color w:val="000000" w:themeColor="text1"/>
          <w14:textFill>
            <w14:solidFill>
              <w14:schemeClr w14:val="tx1"/>
            </w14:solidFill>
          </w14:textFill>
        </w:rPr>
        <w:t>3</w:t>
      </w:r>
      <w:r>
        <w:rPr>
          <w:rFonts w:cs="Times New Roman"/>
          <w:color w:val="000000" w:themeColor="text1"/>
          <w14:textFill>
            <w14:solidFill>
              <w14:schemeClr w14:val="tx1"/>
            </w14:solidFill>
          </w14:textFill>
        </w:rPr>
        <w:t>所示。</w:t>
      </w:r>
      <w:r>
        <w:rPr>
          <w:rFonts w:hint="eastAsia" w:cs="Times New Roman"/>
          <w:color w:val="000000" w:themeColor="text1"/>
          <w14:textFill>
            <w14:solidFill>
              <w14:schemeClr w14:val="tx1"/>
            </w14:solidFill>
          </w14:textFill>
        </w:rPr>
        <w:t>我们依然是基于长差分模型考察其他城市几何形态指标对城市人口增长的影响。其中，第（</w:t>
      </w:r>
      <w:r>
        <w:rPr>
          <w:rFonts w:cs="Times New Roman"/>
          <w:color w:val="000000" w:themeColor="text1"/>
          <w14:textFill>
            <w14:solidFill>
              <w14:schemeClr w14:val="tx1"/>
            </w14:solidFill>
          </w14:textFill>
        </w:rPr>
        <w:t>2</w:t>
      </w:r>
      <w:r>
        <w:rPr>
          <w:rFonts w:hint="eastAsia" w:cs="Times New Roman"/>
          <w:color w:val="000000" w:themeColor="text1"/>
          <w14:textFill>
            <w14:solidFill>
              <w14:schemeClr w14:val="tx1"/>
            </w14:solidFill>
          </w14:textFill>
        </w:rPr>
        <w:t>）列与第（</w:t>
      </w:r>
      <w:r>
        <w:rPr>
          <w:rFonts w:cs="Times New Roman"/>
          <w:color w:val="000000" w:themeColor="text1"/>
          <w14:textFill>
            <w14:solidFill>
              <w14:schemeClr w14:val="tx1"/>
            </w14:solidFill>
          </w14:textFill>
        </w:rPr>
        <w:t>4</w:t>
      </w:r>
      <w:r>
        <w:rPr>
          <w:rFonts w:hint="eastAsia" w:cs="Times New Roman"/>
          <w:color w:val="000000" w:themeColor="text1"/>
          <w14:textFill>
            <w14:solidFill>
              <w14:schemeClr w14:val="tx1"/>
            </w14:solidFill>
          </w14:textFill>
        </w:rPr>
        <w:t>）列为工具变量回归的第二阶段，可以看出无论是城市内部各点至城市中心的平均距离还是城市内部任意两点间的最大距离，它们所反映出城市几何形态的松散化发展都会导致城市人口增长受到抑制。</w:t>
      </w:r>
      <w:r>
        <w:rPr>
          <w:rFonts w:hint="eastAsia" w:cs="Times New Roman"/>
          <w:color w:val="000000" w:themeColor="text1"/>
          <w:szCs w:val="21"/>
          <w14:textFill>
            <w14:solidFill>
              <w14:schemeClr w14:val="tx1"/>
            </w14:solidFill>
          </w14:textFill>
        </w:rPr>
        <w:t>通过替换城市形态的测度方法依然能够得出较为稳健的结论，而且第（</w:t>
      </w:r>
      <w:r>
        <w:rPr>
          <w:rFonts w:cs="Times New Roman"/>
          <w:color w:val="000000" w:themeColor="text1"/>
          <w:szCs w:val="21"/>
          <w14:textFill>
            <w14:solidFill>
              <w14:schemeClr w14:val="tx1"/>
            </w14:solidFill>
          </w14:textFill>
        </w:rPr>
        <w:t>1</w:t>
      </w:r>
      <w:r>
        <w:rPr>
          <w:rFonts w:hint="eastAsia" w:cs="Times New Roman"/>
          <w:color w:val="000000" w:themeColor="text1"/>
          <w:szCs w:val="21"/>
          <w14:textFill>
            <w14:solidFill>
              <w14:schemeClr w14:val="tx1"/>
            </w14:solidFill>
          </w14:textFill>
        </w:rPr>
        <w:t>）列与第（</w:t>
      </w:r>
      <w:r>
        <w:rPr>
          <w:rFonts w:cs="Times New Roman"/>
          <w:color w:val="000000" w:themeColor="text1"/>
          <w:szCs w:val="21"/>
          <w14:textFill>
            <w14:solidFill>
              <w14:schemeClr w14:val="tx1"/>
            </w14:solidFill>
          </w14:textFill>
        </w:rPr>
        <w:t>3</w:t>
      </w:r>
      <w:r>
        <w:rPr>
          <w:rFonts w:hint="eastAsia" w:cs="Times New Roman"/>
          <w:color w:val="000000" w:themeColor="text1"/>
          <w:szCs w:val="21"/>
          <w14:textFill>
            <w14:solidFill>
              <w14:schemeClr w14:val="tx1"/>
            </w14:solidFill>
          </w14:textFill>
        </w:rPr>
        <w:t>）列中我们分别参照基准部分构造工具变量的方式构造了这两项指数的工具变量，可以看到工具变量对城市几何形态产生的影响依然是显著为正，且通过了弱工具变量检验，验证了工具变量测算方法的稳健性。</w:t>
      </w:r>
    </w:p>
    <w:p>
      <w:pPr>
        <w:ind w:firstLine="360" w:firstLineChars="200"/>
        <w:jc w:val="center"/>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表II3 更改城市几何形态测度方式（工具变量回归）</w:t>
      </w:r>
    </w:p>
    <w:tbl>
      <w:tblPr>
        <w:tblStyle w:val="12"/>
        <w:tblW w:w="9072" w:type="dxa"/>
        <w:jc w:val="center"/>
        <w:tblLayout w:type="fixed"/>
        <w:tblCellMar>
          <w:top w:w="0" w:type="dxa"/>
          <w:left w:w="75" w:type="dxa"/>
          <w:bottom w:w="0" w:type="dxa"/>
          <w:right w:w="75" w:type="dxa"/>
        </w:tblCellMar>
      </w:tblPr>
      <w:tblGrid>
        <w:gridCol w:w="2577"/>
        <w:gridCol w:w="1626"/>
        <w:gridCol w:w="1623"/>
        <w:gridCol w:w="1623"/>
        <w:gridCol w:w="1623"/>
      </w:tblGrid>
      <w:tr>
        <w:tblPrEx>
          <w:tblCellMar>
            <w:top w:w="0" w:type="dxa"/>
            <w:left w:w="75" w:type="dxa"/>
            <w:bottom w:w="0" w:type="dxa"/>
            <w:right w:w="75" w:type="dxa"/>
          </w:tblCellMar>
        </w:tblPrEx>
        <w:trPr>
          <w:jc w:val="center"/>
        </w:trPr>
        <w:tc>
          <w:tcPr>
            <w:tcW w:w="2577" w:type="dxa"/>
            <w:tcBorders>
              <w:top w:val="single" w:color="auto" w:sz="6" w:space="0"/>
              <w:left w:val="nil"/>
              <w:bottom w:val="nil"/>
              <w:right w:val="nil"/>
            </w:tcBorders>
          </w:tcPr>
          <w:p>
            <w:pPr>
              <w:autoSpaceDE w:val="0"/>
              <w:autoSpaceDN w:val="0"/>
              <w:adjustRightInd w:val="0"/>
              <w:jc w:val="both"/>
              <w:rPr>
                <w:rFonts w:cs="Times New Roman"/>
                <w:color w:val="000000" w:themeColor="text1"/>
                <w:sz w:val="18"/>
                <w:szCs w:val="18"/>
                <w14:textFill>
                  <w14:solidFill>
                    <w14:schemeClr w14:val="tx1"/>
                  </w14:solidFill>
                </w14:textFill>
              </w:rPr>
            </w:pPr>
          </w:p>
        </w:tc>
        <w:tc>
          <w:tcPr>
            <w:tcW w:w="6495" w:type="dxa"/>
            <w:gridSpan w:val="4"/>
            <w:tcBorders>
              <w:top w:val="single" w:color="auto" w:sz="6" w:space="0"/>
              <w:left w:val="nil"/>
              <w:right w:val="nil"/>
            </w:tcBorders>
          </w:tcPr>
          <w:p>
            <w:pPr>
              <w:autoSpaceDE w:val="0"/>
              <w:autoSpaceDN w:val="0"/>
              <w:adjustRightInd w:val="0"/>
              <w:jc w:val="center"/>
              <w:rPr>
                <w:rFonts w:cs="Times New Roman"/>
                <w:color w:val="000000" w:themeColor="text1"/>
                <w:sz w:val="18"/>
                <w:szCs w:val="18"/>
                <w14:textFill>
                  <w14:solidFill>
                    <w14:schemeClr w14:val="tx1"/>
                  </w14:solidFill>
                </w14:textFill>
              </w:rPr>
            </w:pPr>
            <w:r>
              <w:rPr>
                <w:rFonts w:hint="eastAsia" w:cs="Times New Roman"/>
                <w:color w:val="000000" w:themeColor="text1"/>
                <w:sz w:val="18"/>
                <w:szCs w:val="18"/>
                <w14:textFill>
                  <w14:solidFill>
                    <w14:schemeClr w14:val="tx1"/>
                  </w14:solidFill>
                </w14:textFill>
              </w:rPr>
              <w:t>被解释变量：</w:t>
            </w:r>
            <w:r>
              <w:rPr>
                <w:rFonts w:cs="Times New Roman"/>
                <w:i/>
                <w:iCs/>
                <w:color w:val="000000" w:themeColor="text1"/>
                <w:sz w:val="18"/>
                <w:szCs w:val="18"/>
                <w14:textFill>
                  <w14:solidFill>
                    <w14:schemeClr w14:val="tx1"/>
                  </w14:solidFill>
                </w14:textFill>
              </w:rPr>
              <w:t>Δlnpop</w:t>
            </w:r>
            <w:r>
              <w:rPr>
                <w:rFonts w:hint="eastAsia" w:cs="Times New Roman"/>
                <w:color w:val="000000" w:themeColor="text1"/>
                <w:sz w:val="18"/>
                <w:szCs w:val="18"/>
                <w14:textFill>
                  <w14:solidFill>
                    <w14:schemeClr w14:val="tx1"/>
                  </w14:solidFill>
                </w14:textFill>
              </w:rPr>
              <w:t>(</w:t>
            </w:r>
            <w:r>
              <w:rPr>
                <w:rFonts w:cs="Times New Roman"/>
                <w:color w:val="000000" w:themeColor="text1"/>
                <w:sz w:val="18"/>
                <w:szCs w:val="18"/>
                <w14:textFill>
                  <w14:solidFill>
                    <w14:schemeClr w14:val="tx1"/>
                  </w14:solidFill>
                </w14:textFill>
              </w:rPr>
              <w:t>2000-2015)</w:t>
            </w:r>
          </w:p>
        </w:tc>
      </w:tr>
      <w:tr>
        <w:tblPrEx>
          <w:tblCellMar>
            <w:top w:w="0" w:type="dxa"/>
            <w:left w:w="75" w:type="dxa"/>
            <w:bottom w:w="0" w:type="dxa"/>
            <w:right w:w="75" w:type="dxa"/>
          </w:tblCellMar>
        </w:tblPrEx>
        <w:trPr>
          <w:jc w:val="center"/>
        </w:trPr>
        <w:tc>
          <w:tcPr>
            <w:tcW w:w="2577" w:type="dxa"/>
            <w:tcBorders>
              <w:left w:val="nil"/>
              <w:bottom w:val="nil"/>
              <w:right w:val="nil"/>
            </w:tcBorders>
          </w:tcPr>
          <w:p>
            <w:pPr>
              <w:autoSpaceDE w:val="0"/>
              <w:autoSpaceDN w:val="0"/>
              <w:adjustRightInd w:val="0"/>
              <w:jc w:val="both"/>
              <w:rPr>
                <w:rFonts w:cs="Times New Roman"/>
                <w:color w:val="000000" w:themeColor="text1"/>
                <w:sz w:val="18"/>
                <w:szCs w:val="18"/>
                <w14:textFill>
                  <w14:solidFill>
                    <w14:schemeClr w14:val="tx1"/>
                  </w14:solidFill>
                </w14:textFill>
              </w:rPr>
            </w:pPr>
            <w:r>
              <w:rPr>
                <w:rFonts w:hint="eastAsia" w:cs="Times New Roman"/>
                <w:color w:val="000000" w:themeColor="text1"/>
                <w:sz w:val="18"/>
                <w:szCs w:val="18"/>
                <w14:textFill>
                  <w14:solidFill>
                    <w14:schemeClr w14:val="tx1"/>
                  </w14:solidFill>
                </w14:textFill>
              </w:rPr>
              <w:t>回归方式</w:t>
            </w:r>
          </w:p>
        </w:tc>
        <w:tc>
          <w:tcPr>
            <w:tcW w:w="1626" w:type="dxa"/>
            <w:tcBorders>
              <w:left w:val="nil"/>
              <w:bottom w:val="single" w:color="auto" w:sz="6" w:space="0"/>
              <w:right w:val="nil"/>
            </w:tcBorders>
          </w:tcPr>
          <w:p>
            <w:pPr>
              <w:autoSpaceDE w:val="0"/>
              <w:autoSpaceDN w:val="0"/>
              <w:adjustRightInd w:val="0"/>
              <w:jc w:val="center"/>
              <w:rPr>
                <w:rFonts w:cs="Times New Roman"/>
                <w:color w:val="000000" w:themeColor="text1"/>
                <w:sz w:val="18"/>
                <w:szCs w:val="18"/>
                <w14:textFill>
                  <w14:solidFill>
                    <w14:schemeClr w14:val="tx1"/>
                  </w14:solidFill>
                </w14:textFill>
              </w:rPr>
            </w:pPr>
            <w:r>
              <w:rPr>
                <w:rFonts w:hint="eastAsia" w:cs="Times New Roman"/>
                <w:color w:val="000000" w:themeColor="text1"/>
                <w:sz w:val="18"/>
                <w:szCs w:val="18"/>
                <w14:textFill>
                  <w14:solidFill>
                    <w14:schemeClr w14:val="tx1"/>
                  </w14:solidFill>
                </w14:textFill>
              </w:rPr>
              <w:t>2</w:t>
            </w:r>
            <w:r>
              <w:rPr>
                <w:rFonts w:cs="Times New Roman"/>
                <w:color w:val="000000" w:themeColor="text1"/>
                <w:sz w:val="18"/>
                <w:szCs w:val="18"/>
                <w14:textFill>
                  <w14:solidFill>
                    <w14:schemeClr w14:val="tx1"/>
                  </w14:solidFill>
                </w14:textFill>
              </w:rPr>
              <w:t>SLS-I</w:t>
            </w:r>
          </w:p>
        </w:tc>
        <w:tc>
          <w:tcPr>
            <w:tcW w:w="1623" w:type="dxa"/>
            <w:tcBorders>
              <w:left w:val="nil"/>
              <w:bottom w:val="single" w:color="auto" w:sz="6" w:space="0"/>
              <w:right w:val="nil"/>
            </w:tcBorders>
          </w:tcPr>
          <w:p>
            <w:pPr>
              <w:autoSpaceDE w:val="0"/>
              <w:autoSpaceDN w:val="0"/>
              <w:adjustRightInd w:val="0"/>
              <w:jc w:val="center"/>
              <w:rPr>
                <w:rFonts w:cs="Times New Roman"/>
                <w:color w:val="000000" w:themeColor="text1"/>
                <w:sz w:val="18"/>
                <w:szCs w:val="18"/>
                <w14:textFill>
                  <w14:solidFill>
                    <w14:schemeClr w14:val="tx1"/>
                  </w14:solidFill>
                </w14:textFill>
              </w:rPr>
            </w:pPr>
            <w:r>
              <w:rPr>
                <w:rFonts w:hint="eastAsia" w:cs="Times New Roman"/>
                <w:color w:val="000000" w:themeColor="text1"/>
                <w:sz w:val="18"/>
                <w:szCs w:val="18"/>
                <w14:textFill>
                  <w14:solidFill>
                    <w14:schemeClr w14:val="tx1"/>
                  </w14:solidFill>
                </w14:textFill>
              </w:rPr>
              <w:t>2</w:t>
            </w:r>
            <w:r>
              <w:rPr>
                <w:rFonts w:cs="Times New Roman"/>
                <w:color w:val="000000" w:themeColor="text1"/>
                <w:sz w:val="18"/>
                <w:szCs w:val="18"/>
                <w14:textFill>
                  <w14:solidFill>
                    <w14:schemeClr w14:val="tx1"/>
                  </w14:solidFill>
                </w14:textFill>
              </w:rPr>
              <w:t>SLS-II</w:t>
            </w:r>
          </w:p>
        </w:tc>
        <w:tc>
          <w:tcPr>
            <w:tcW w:w="1623" w:type="dxa"/>
            <w:tcBorders>
              <w:left w:val="nil"/>
              <w:bottom w:val="single" w:color="auto" w:sz="6" w:space="0"/>
              <w:right w:val="nil"/>
            </w:tcBorders>
          </w:tcPr>
          <w:p>
            <w:pPr>
              <w:autoSpaceDE w:val="0"/>
              <w:autoSpaceDN w:val="0"/>
              <w:adjustRightInd w:val="0"/>
              <w:jc w:val="center"/>
              <w:rPr>
                <w:rFonts w:cs="Times New Roman"/>
                <w:color w:val="000000" w:themeColor="text1"/>
                <w:sz w:val="18"/>
                <w:szCs w:val="18"/>
                <w14:textFill>
                  <w14:solidFill>
                    <w14:schemeClr w14:val="tx1"/>
                  </w14:solidFill>
                </w14:textFill>
              </w:rPr>
            </w:pPr>
            <w:r>
              <w:rPr>
                <w:rFonts w:hint="eastAsia" w:cs="Times New Roman"/>
                <w:color w:val="000000" w:themeColor="text1"/>
                <w:sz w:val="18"/>
                <w:szCs w:val="18"/>
                <w14:textFill>
                  <w14:solidFill>
                    <w14:schemeClr w14:val="tx1"/>
                  </w14:solidFill>
                </w14:textFill>
              </w:rPr>
              <w:t>2</w:t>
            </w:r>
            <w:r>
              <w:rPr>
                <w:rFonts w:cs="Times New Roman"/>
                <w:color w:val="000000" w:themeColor="text1"/>
                <w:sz w:val="18"/>
                <w:szCs w:val="18"/>
                <w14:textFill>
                  <w14:solidFill>
                    <w14:schemeClr w14:val="tx1"/>
                  </w14:solidFill>
                </w14:textFill>
              </w:rPr>
              <w:t>SLS-I</w:t>
            </w:r>
          </w:p>
        </w:tc>
        <w:tc>
          <w:tcPr>
            <w:tcW w:w="1623" w:type="dxa"/>
            <w:tcBorders>
              <w:left w:val="nil"/>
              <w:bottom w:val="single" w:color="auto" w:sz="6" w:space="0"/>
              <w:right w:val="nil"/>
            </w:tcBorders>
          </w:tcPr>
          <w:p>
            <w:pPr>
              <w:autoSpaceDE w:val="0"/>
              <w:autoSpaceDN w:val="0"/>
              <w:adjustRightInd w:val="0"/>
              <w:jc w:val="center"/>
              <w:rPr>
                <w:rFonts w:cs="Times New Roman"/>
                <w:color w:val="000000" w:themeColor="text1"/>
                <w:sz w:val="18"/>
                <w:szCs w:val="18"/>
                <w14:textFill>
                  <w14:solidFill>
                    <w14:schemeClr w14:val="tx1"/>
                  </w14:solidFill>
                </w14:textFill>
              </w:rPr>
            </w:pPr>
            <w:r>
              <w:rPr>
                <w:rFonts w:hint="eastAsia" w:cs="Times New Roman"/>
                <w:color w:val="000000" w:themeColor="text1"/>
                <w:sz w:val="18"/>
                <w:szCs w:val="18"/>
                <w14:textFill>
                  <w14:solidFill>
                    <w14:schemeClr w14:val="tx1"/>
                  </w14:solidFill>
                </w14:textFill>
              </w:rPr>
              <w:t>2</w:t>
            </w:r>
            <w:r>
              <w:rPr>
                <w:rFonts w:cs="Times New Roman"/>
                <w:color w:val="000000" w:themeColor="text1"/>
                <w:sz w:val="18"/>
                <w:szCs w:val="18"/>
                <w14:textFill>
                  <w14:solidFill>
                    <w14:schemeClr w14:val="tx1"/>
                  </w14:solidFill>
                </w14:textFill>
              </w:rPr>
              <w:t>SLS-II</w:t>
            </w:r>
          </w:p>
        </w:tc>
      </w:tr>
      <w:tr>
        <w:tblPrEx>
          <w:tblCellMar>
            <w:top w:w="0" w:type="dxa"/>
            <w:left w:w="75" w:type="dxa"/>
            <w:bottom w:w="0" w:type="dxa"/>
            <w:right w:w="75" w:type="dxa"/>
          </w:tblCellMar>
        </w:tblPrEx>
        <w:trPr>
          <w:jc w:val="center"/>
        </w:trPr>
        <w:tc>
          <w:tcPr>
            <w:tcW w:w="2577" w:type="dxa"/>
            <w:tcBorders>
              <w:top w:val="nil"/>
              <w:left w:val="nil"/>
              <w:bottom w:val="single" w:color="auto" w:sz="6" w:space="0"/>
              <w:right w:val="nil"/>
            </w:tcBorders>
          </w:tcPr>
          <w:p>
            <w:pPr>
              <w:autoSpaceDE w:val="0"/>
              <w:autoSpaceDN w:val="0"/>
              <w:adjustRightInd w:val="0"/>
              <w:jc w:val="both"/>
              <w:rPr>
                <w:rFonts w:cs="Times New Roman"/>
                <w:color w:val="000000" w:themeColor="text1"/>
                <w:sz w:val="18"/>
                <w:szCs w:val="18"/>
                <w14:textFill>
                  <w14:solidFill>
                    <w14:schemeClr w14:val="tx1"/>
                  </w14:solidFill>
                </w14:textFill>
              </w:rPr>
            </w:pPr>
            <w:r>
              <w:rPr>
                <w:rFonts w:hint="eastAsia" w:cs="Times New Roman"/>
                <w:color w:val="000000" w:themeColor="text1"/>
                <w:sz w:val="18"/>
                <w:szCs w:val="18"/>
                <w14:textFill>
                  <w14:solidFill>
                    <w14:schemeClr w14:val="tx1"/>
                  </w14:solidFill>
                </w14:textFill>
              </w:rPr>
              <w:t>解释变量</w:t>
            </w:r>
          </w:p>
        </w:tc>
        <w:tc>
          <w:tcPr>
            <w:tcW w:w="1626" w:type="dxa"/>
            <w:tcBorders>
              <w:top w:val="single" w:color="auto" w:sz="6" w:space="0"/>
              <w:left w:val="nil"/>
              <w:bottom w:val="single" w:color="auto" w:sz="6" w:space="0"/>
              <w:right w:val="nil"/>
            </w:tcBorders>
          </w:tcPr>
          <w:p>
            <w:pPr>
              <w:autoSpaceDE w:val="0"/>
              <w:autoSpaceDN w:val="0"/>
              <w:adjustRightInd w:val="0"/>
              <w:jc w:val="center"/>
              <w:rPr>
                <w:rFonts w:cs="Times New Roman"/>
                <w:i/>
                <w:iCs/>
                <w:color w:val="000000" w:themeColor="text1"/>
                <w:sz w:val="18"/>
                <w:szCs w:val="18"/>
                <w14:textFill>
                  <w14:solidFill>
                    <w14:schemeClr w14:val="tx1"/>
                  </w14:solidFill>
                </w14:textFill>
              </w:rPr>
            </w:pPr>
            <w:r>
              <w:rPr>
                <w:rFonts w:hint="eastAsia" w:cs="Times New Roman"/>
                <w:color w:val="000000" w:themeColor="text1"/>
                <w:sz w:val="18"/>
                <w:szCs w:val="18"/>
                <w14:textFill>
                  <w14:solidFill>
                    <w14:schemeClr w14:val="tx1"/>
                  </w14:solidFill>
                </w14:textFill>
              </w:rPr>
              <w:t>(</w:t>
            </w:r>
            <w:r>
              <w:rPr>
                <w:rFonts w:cs="Times New Roman"/>
                <w:color w:val="000000" w:themeColor="text1"/>
                <w:sz w:val="18"/>
                <w:szCs w:val="18"/>
                <w14:textFill>
                  <w14:solidFill>
                    <w14:schemeClr w14:val="tx1"/>
                  </w14:solidFill>
                </w14:textFill>
              </w:rPr>
              <w:t>1)</w:t>
            </w:r>
          </w:p>
        </w:tc>
        <w:tc>
          <w:tcPr>
            <w:tcW w:w="1623" w:type="dxa"/>
            <w:tcBorders>
              <w:top w:val="single" w:color="auto" w:sz="6" w:space="0"/>
              <w:left w:val="nil"/>
              <w:bottom w:val="single" w:color="auto" w:sz="6" w:space="0"/>
              <w:right w:val="nil"/>
            </w:tcBorders>
          </w:tcPr>
          <w:p>
            <w:pPr>
              <w:autoSpaceDE w:val="0"/>
              <w:autoSpaceDN w:val="0"/>
              <w:adjustRightInd w:val="0"/>
              <w:jc w:val="center"/>
              <w:rPr>
                <w:rFonts w:cs="Times New Roman"/>
                <w:i/>
                <w:iCs/>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(2)</w:t>
            </w:r>
          </w:p>
        </w:tc>
        <w:tc>
          <w:tcPr>
            <w:tcW w:w="1623" w:type="dxa"/>
            <w:tcBorders>
              <w:top w:val="single" w:color="auto" w:sz="6" w:space="0"/>
              <w:left w:val="nil"/>
              <w:bottom w:val="single" w:color="auto" w:sz="6" w:space="0"/>
              <w:right w:val="nil"/>
            </w:tcBorders>
          </w:tcPr>
          <w:p>
            <w:pPr>
              <w:autoSpaceDE w:val="0"/>
              <w:autoSpaceDN w:val="0"/>
              <w:adjustRightInd w:val="0"/>
              <w:jc w:val="center"/>
              <w:rPr>
                <w:rFonts w:cs="Times New Roman"/>
                <w:i/>
                <w:iCs/>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(3)</w:t>
            </w:r>
          </w:p>
        </w:tc>
        <w:tc>
          <w:tcPr>
            <w:tcW w:w="1623" w:type="dxa"/>
            <w:tcBorders>
              <w:top w:val="single" w:color="auto" w:sz="6" w:space="0"/>
              <w:left w:val="nil"/>
              <w:bottom w:val="single" w:color="auto" w:sz="6" w:space="0"/>
              <w:right w:val="nil"/>
            </w:tcBorders>
          </w:tcPr>
          <w:p>
            <w:pPr>
              <w:autoSpaceDE w:val="0"/>
              <w:autoSpaceDN w:val="0"/>
              <w:adjustRightInd w:val="0"/>
              <w:jc w:val="center"/>
              <w:rPr>
                <w:rFonts w:cs="Times New Roman"/>
                <w:i/>
                <w:iCs/>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(4)</w:t>
            </w:r>
          </w:p>
        </w:tc>
      </w:tr>
      <w:tr>
        <w:tblPrEx>
          <w:tblCellMar>
            <w:top w:w="0" w:type="dxa"/>
            <w:left w:w="75" w:type="dxa"/>
            <w:bottom w:w="0" w:type="dxa"/>
            <w:right w:w="75" w:type="dxa"/>
          </w:tblCellMar>
        </w:tblPrEx>
        <w:trPr>
          <w:jc w:val="center"/>
        </w:trPr>
        <w:tc>
          <w:tcPr>
            <w:tcW w:w="2577" w:type="dxa"/>
          </w:tcPr>
          <w:p>
            <w:pPr>
              <w:autoSpaceDE w:val="0"/>
              <w:autoSpaceDN w:val="0"/>
              <w:adjustRightInd w:val="0"/>
              <w:jc w:val="both"/>
              <w:rPr>
                <w:rFonts w:cs="Times New Roman"/>
                <w:i/>
                <w:iCs/>
                <w:color w:val="000000" w:themeColor="text1"/>
                <w:sz w:val="18"/>
                <w:szCs w:val="18"/>
                <w14:textFill>
                  <w14:solidFill>
                    <w14:schemeClr w14:val="tx1"/>
                  </w14:solidFill>
                </w14:textFill>
              </w:rPr>
            </w:pPr>
            <w:r>
              <w:rPr>
                <w:rFonts w:cs="Times New Roman"/>
                <w:i/>
                <w:iCs/>
                <w:color w:val="000000" w:themeColor="text1"/>
                <w:sz w:val="18"/>
                <w:szCs w:val="18"/>
                <w14:textFill>
                  <w14:solidFill>
                    <w14:schemeClr w14:val="tx1"/>
                  </w14:solidFill>
                </w14:textFill>
              </w:rPr>
              <w:t>Δ</w:t>
            </w:r>
            <w:r>
              <w:rPr>
                <w:rFonts w:hint="eastAsia" w:cs="Times New Roman"/>
                <w:i/>
                <w:iCs/>
                <w:color w:val="000000" w:themeColor="text1"/>
                <w:sz w:val="18"/>
                <w:szCs w:val="18"/>
                <w14:textFill>
                  <w14:solidFill>
                    <w14:schemeClr w14:val="tx1"/>
                  </w14:solidFill>
                </w14:textFill>
              </w:rPr>
              <w:t>remo</w:t>
            </w:r>
            <w:r>
              <w:rPr>
                <w:rFonts w:cs="Times New Roman"/>
                <w:i/>
                <w:iCs/>
                <w:color w:val="000000" w:themeColor="text1"/>
                <w:sz w:val="18"/>
                <w:szCs w:val="18"/>
                <w14:textFill>
                  <w14:solidFill>
                    <w14:schemeClr w14:val="tx1"/>
                  </w14:solidFill>
                </w14:textFill>
              </w:rPr>
              <w:t>te</w:t>
            </w:r>
            <w:r>
              <w:rPr>
                <w:rFonts w:hint="eastAsia" w:cs="Times New Roman"/>
                <w:i/>
                <w:iCs/>
                <w:color w:val="000000" w:themeColor="text1"/>
                <w:sz w:val="18"/>
                <w:szCs w:val="18"/>
                <w14:textFill>
                  <w14:solidFill>
                    <w14:schemeClr w14:val="tx1"/>
                  </w14:solidFill>
                </w14:textFill>
              </w:rPr>
              <w:t>ness</w:t>
            </w:r>
          </w:p>
        </w:tc>
        <w:tc>
          <w:tcPr>
            <w:tcW w:w="1626" w:type="dxa"/>
          </w:tcPr>
          <w:p>
            <w:pPr>
              <w:autoSpaceDE w:val="0"/>
              <w:autoSpaceDN w:val="0"/>
              <w:adjustRightInd w:val="0"/>
              <w:jc w:val="center"/>
              <w:rPr>
                <w:rFonts w:cs="Times New Roman"/>
                <w:color w:val="000000" w:themeColor="text1"/>
                <w:sz w:val="18"/>
                <w:szCs w:val="18"/>
                <w14:textFill>
                  <w14:solidFill>
                    <w14:schemeClr w14:val="tx1"/>
                  </w14:solidFill>
                </w14:textFill>
              </w:rPr>
            </w:pPr>
          </w:p>
        </w:tc>
        <w:tc>
          <w:tcPr>
            <w:tcW w:w="1623" w:type="dxa"/>
          </w:tcPr>
          <w:p>
            <w:pPr>
              <w:autoSpaceDE w:val="0"/>
              <w:autoSpaceDN w:val="0"/>
              <w:adjustRightInd w:val="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-0.2058**</w:t>
            </w:r>
          </w:p>
        </w:tc>
        <w:tc>
          <w:tcPr>
            <w:tcW w:w="1623" w:type="dxa"/>
          </w:tcPr>
          <w:p>
            <w:pPr>
              <w:autoSpaceDE w:val="0"/>
              <w:autoSpaceDN w:val="0"/>
              <w:adjustRightInd w:val="0"/>
              <w:jc w:val="center"/>
              <w:rPr>
                <w:rFonts w:cs="Times New Roman"/>
                <w:color w:val="000000" w:themeColor="text1"/>
                <w:sz w:val="18"/>
                <w:szCs w:val="18"/>
                <w14:textFill>
                  <w14:solidFill>
                    <w14:schemeClr w14:val="tx1"/>
                  </w14:solidFill>
                </w14:textFill>
              </w:rPr>
            </w:pPr>
          </w:p>
        </w:tc>
        <w:tc>
          <w:tcPr>
            <w:tcW w:w="1623" w:type="dxa"/>
          </w:tcPr>
          <w:p>
            <w:pPr>
              <w:autoSpaceDE w:val="0"/>
              <w:autoSpaceDN w:val="0"/>
              <w:adjustRightInd w:val="0"/>
              <w:jc w:val="center"/>
              <w:rPr>
                <w:rFonts w:cs="Times New Roman"/>
                <w:color w:val="000000" w:themeColor="text1"/>
                <w:sz w:val="18"/>
                <w:szCs w:val="18"/>
                <w14:textFill>
                  <w14:solidFill>
                    <w14:schemeClr w14:val="tx1"/>
                  </w14:solidFill>
                </w14:textFill>
              </w:rPr>
            </w:pPr>
          </w:p>
        </w:tc>
      </w:tr>
      <w:tr>
        <w:tblPrEx>
          <w:tblCellMar>
            <w:top w:w="0" w:type="dxa"/>
            <w:left w:w="75" w:type="dxa"/>
            <w:bottom w:w="0" w:type="dxa"/>
            <w:right w:w="75" w:type="dxa"/>
          </w:tblCellMar>
        </w:tblPrEx>
        <w:trPr>
          <w:jc w:val="center"/>
        </w:trPr>
        <w:tc>
          <w:tcPr>
            <w:tcW w:w="2577" w:type="dxa"/>
          </w:tcPr>
          <w:p>
            <w:pPr>
              <w:autoSpaceDE w:val="0"/>
              <w:autoSpaceDN w:val="0"/>
              <w:adjustRightInd w:val="0"/>
              <w:jc w:val="both"/>
              <w:rPr>
                <w:rFonts w:cs="Times New Roman"/>
                <w:color w:val="000000" w:themeColor="text1"/>
                <w:sz w:val="18"/>
                <w:szCs w:val="18"/>
                <w14:textFill>
                  <w14:solidFill>
                    <w14:schemeClr w14:val="tx1"/>
                  </w14:solidFill>
                </w14:textFill>
              </w:rPr>
            </w:pPr>
          </w:p>
        </w:tc>
        <w:tc>
          <w:tcPr>
            <w:tcW w:w="1626" w:type="dxa"/>
          </w:tcPr>
          <w:p>
            <w:pPr>
              <w:autoSpaceDE w:val="0"/>
              <w:autoSpaceDN w:val="0"/>
              <w:adjustRightInd w:val="0"/>
              <w:jc w:val="center"/>
              <w:rPr>
                <w:rFonts w:cs="Times New Roman"/>
                <w:color w:val="000000" w:themeColor="text1"/>
                <w:sz w:val="18"/>
                <w:szCs w:val="18"/>
                <w14:textFill>
                  <w14:solidFill>
                    <w14:schemeClr w14:val="tx1"/>
                  </w14:solidFill>
                </w14:textFill>
              </w:rPr>
            </w:pPr>
          </w:p>
        </w:tc>
        <w:tc>
          <w:tcPr>
            <w:tcW w:w="1623" w:type="dxa"/>
          </w:tcPr>
          <w:p>
            <w:pPr>
              <w:autoSpaceDE w:val="0"/>
              <w:autoSpaceDN w:val="0"/>
              <w:adjustRightInd w:val="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(0.0951)</w:t>
            </w:r>
          </w:p>
        </w:tc>
        <w:tc>
          <w:tcPr>
            <w:tcW w:w="1623" w:type="dxa"/>
          </w:tcPr>
          <w:p>
            <w:pPr>
              <w:autoSpaceDE w:val="0"/>
              <w:autoSpaceDN w:val="0"/>
              <w:adjustRightInd w:val="0"/>
              <w:jc w:val="center"/>
              <w:rPr>
                <w:rFonts w:cs="Times New Roman"/>
                <w:color w:val="000000" w:themeColor="text1"/>
                <w:sz w:val="18"/>
                <w:szCs w:val="18"/>
                <w14:textFill>
                  <w14:solidFill>
                    <w14:schemeClr w14:val="tx1"/>
                  </w14:solidFill>
                </w14:textFill>
              </w:rPr>
            </w:pPr>
          </w:p>
        </w:tc>
        <w:tc>
          <w:tcPr>
            <w:tcW w:w="1623" w:type="dxa"/>
          </w:tcPr>
          <w:p>
            <w:pPr>
              <w:autoSpaceDE w:val="0"/>
              <w:autoSpaceDN w:val="0"/>
              <w:adjustRightInd w:val="0"/>
              <w:jc w:val="center"/>
              <w:rPr>
                <w:rFonts w:cs="Times New Roman"/>
                <w:color w:val="000000" w:themeColor="text1"/>
                <w:sz w:val="18"/>
                <w:szCs w:val="18"/>
                <w14:textFill>
                  <w14:solidFill>
                    <w14:schemeClr w14:val="tx1"/>
                  </w14:solidFill>
                </w14:textFill>
              </w:rPr>
            </w:pPr>
          </w:p>
        </w:tc>
      </w:tr>
      <w:tr>
        <w:tblPrEx>
          <w:tblCellMar>
            <w:top w:w="0" w:type="dxa"/>
            <w:left w:w="75" w:type="dxa"/>
            <w:bottom w:w="0" w:type="dxa"/>
            <w:right w:w="75" w:type="dxa"/>
          </w:tblCellMar>
        </w:tblPrEx>
        <w:trPr>
          <w:jc w:val="center"/>
        </w:trPr>
        <w:tc>
          <w:tcPr>
            <w:tcW w:w="2577" w:type="dxa"/>
          </w:tcPr>
          <w:p>
            <w:pPr>
              <w:autoSpaceDE w:val="0"/>
              <w:autoSpaceDN w:val="0"/>
              <w:adjustRightInd w:val="0"/>
              <w:jc w:val="both"/>
              <w:rPr>
                <w:rFonts w:cs="Times New Roman"/>
                <w:color w:val="000000" w:themeColor="text1"/>
                <w:sz w:val="18"/>
                <w:szCs w:val="18"/>
                <w14:textFill>
                  <w14:solidFill>
                    <w14:schemeClr w14:val="tx1"/>
                  </w14:solidFill>
                </w14:textFill>
              </w:rPr>
            </w:pPr>
            <w:r>
              <w:rPr>
                <w:rFonts w:cs="Times New Roman"/>
                <w:i/>
                <w:iCs/>
                <w:color w:val="000000" w:themeColor="text1"/>
                <w:sz w:val="18"/>
                <w:szCs w:val="18"/>
                <w14:textFill>
                  <w14:solidFill>
                    <w14:schemeClr w14:val="tx1"/>
                  </w14:solidFill>
                </w14:textFill>
              </w:rPr>
              <w:t>Δrange</w:t>
            </w:r>
          </w:p>
        </w:tc>
        <w:tc>
          <w:tcPr>
            <w:tcW w:w="1626" w:type="dxa"/>
          </w:tcPr>
          <w:p>
            <w:pPr>
              <w:autoSpaceDE w:val="0"/>
              <w:autoSpaceDN w:val="0"/>
              <w:adjustRightInd w:val="0"/>
              <w:jc w:val="center"/>
              <w:rPr>
                <w:color w:val="000000" w:themeColor="text1"/>
                <w:sz w:val="18"/>
                <w:szCs w:val="18"/>
                <w14:textFill>
                  <w14:solidFill>
                    <w14:schemeClr w14:val="tx1"/>
                  </w14:solidFill>
                </w14:textFill>
              </w:rPr>
            </w:pPr>
          </w:p>
        </w:tc>
        <w:tc>
          <w:tcPr>
            <w:tcW w:w="1623" w:type="dxa"/>
          </w:tcPr>
          <w:p>
            <w:pPr>
              <w:autoSpaceDE w:val="0"/>
              <w:autoSpaceDN w:val="0"/>
              <w:adjustRightInd w:val="0"/>
              <w:jc w:val="center"/>
              <w:rPr>
                <w:color w:val="000000" w:themeColor="text1"/>
                <w:sz w:val="18"/>
                <w:szCs w:val="18"/>
                <w14:textFill>
                  <w14:solidFill>
                    <w14:schemeClr w14:val="tx1"/>
                  </w14:solidFill>
                </w14:textFill>
              </w:rPr>
            </w:pPr>
          </w:p>
        </w:tc>
        <w:tc>
          <w:tcPr>
            <w:tcW w:w="1623" w:type="dxa"/>
          </w:tcPr>
          <w:p>
            <w:pPr>
              <w:autoSpaceDE w:val="0"/>
              <w:autoSpaceDN w:val="0"/>
              <w:adjustRightInd w:val="0"/>
              <w:jc w:val="center"/>
              <w:rPr>
                <w:color w:val="000000" w:themeColor="text1"/>
                <w:sz w:val="18"/>
                <w:szCs w:val="18"/>
                <w14:textFill>
                  <w14:solidFill>
                    <w14:schemeClr w14:val="tx1"/>
                  </w14:solidFill>
                </w14:textFill>
              </w:rPr>
            </w:pPr>
          </w:p>
        </w:tc>
        <w:tc>
          <w:tcPr>
            <w:tcW w:w="1623" w:type="dxa"/>
          </w:tcPr>
          <w:p>
            <w:pPr>
              <w:autoSpaceDE w:val="0"/>
              <w:autoSpaceDN w:val="0"/>
              <w:adjustRightInd w:val="0"/>
              <w:jc w:val="center"/>
              <w:rPr>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-0.0445**</w:t>
            </w:r>
          </w:p>
        </w:tc>
      </w:tr>
      <w:tr>
        <w:tblPrEx>
          <w:tblCellMar>
            <w:top w:w="0" w:type="dxa"/>
            <w:left w:w="75" w:type="dxa"/>
            <w:bottom w:w="0" w:type="dxa"/>
            <w:right w:w="75" w:type="dxa"/>
          </w:tblCellMar>
        </w:tblPrEx>
        <w:trPr>
          <w:jc w:val="center"/>
        </w:trPr>
        <w:tc>
          <w:tcPr>
            <w:tcW w:w="2577" w:type="dxa"/>
          </w:tcPr>
          <w:p>
            <w:pPr>
              <w:autoSpaceDE w:val="0"/>
              <w:autoSpaceDN w:val="0"/>
              <w:adjustRightInd w:val="0"/>
              <w:jc w:val="both"/>
              <w:rPr>
                <w:rFonts w:cs="Times New Roman"/>
                <w:color w:val="000000" w:themeColor="text1"/>
                <w:sz w:val="18"/>
                <w:szCs w:val="18"/>
                <w14:textFill>
                  <w14:solidFill>
                    <w14:schemeClr w14:val="tx1"/>
                  </w14:solidFill>
                </w14:textFill>
              </w:rPr>
            </w:pPr>
          </w:p>
        </w:tc>
        <w:tc>
          <w:tcPr>
            <w:tcW w:w="1626" w:type="dxa"/>
          </w:tcPr>
          <w:p>
            <w:pPr>
              <w:autoSpaceDE w:val="0"/>
              <w:autoSpaceDN w:val="0"/>
              <w:adjustRightInd w:val="0"/>
              <w:jc w:val="center"/>
              <w:rPr>
                <w:color w:val="000000" w:themeColor="text1"/>
                <w:sz w:val="18"/>
                <w:szCs w:val="18"/>
                <w14:textFill>
                  <w14:solidFill>
                    <w14:schemeClr w14:val="tx1"/>
                  </w14:solidFill>
                </w14:textFill>
              </w:rPr>
            </w:pPr>
          </w:p>
        </w:tc>
        <w:tc>
          <w:tcPr>
            <w:tcW w:w="1623" w:type="dxa"/>
          </w:tcPr>
          <w:p>
            <w:pPr>
              <w:autoSpaceDE w:val="0"/>
              <w:autoSpaceDN w:val="0"/>
              <w:adjustRightInd w:val="0"/>
              <w:jc w:val="center"/>
              <w:rPr>
                <w:color w:val="000000" w:themeColor="text1"/>
                <w:sz w:val="18"/>
                <w:szCs w:val="18"/>
                <w14:textFill>
                  <w14:solidFill>
                    <w14:schemeClr w14:val="tx1"/>
                  </w14:solidFill>
                </w14:textFill>
              </w:rPr>
            </w:pPr>
          </w:p>
        </w:tc>
        <w:tc>
          <w:tcPr>
            <w:tcW w:w="1623" w:type="dxa"/>
          </w:tcPr>
          <w:p>
            <w:pPr>
              <w:autoSpaceDE w:val="0"/>
              <w:autoSpaceDN w:val="0"/>
              <w:adjustRightInd w:val="0"/>
              <w:jc w:val="center"/>
              <w:rPr>
                <w:color w:val="000000" w:themeColor="text1"/>
                <w:sz w:val="18"/>
                <w:szCs w:val="18"/>
                <w14:textFill>
                  <w14:solidFill>
                    <w14:schemeClr w14:val="tx1"/>
                  </w14:solidFill>
                </w14:textFill>
              </w:rPr>
            </w:pPr>
          </w:p>
        </w:tc>
        <w:tc>
          <w:tcPr>
            <w:tcW w:w="1623" w:type="dxa"/>
          </w:tcPr>
          <w:p>
            <w:pPr>
              <w:autoSpaceDE w:val="0"/>
              <w:autoSpaceDN w:val="0"/>
              <w:adjustRightInd w:val="0"/>
              <w:jc w:val="center"/>
              <w:rPr>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(0.0187)</w:t>
            </w:r>
          </w:p>
        </w:tc>
      </w:tr>
      <w:tr>
        <w:tblPrEx>
          <w:tblCellMar>
            <w:top w:w="0" w:type="dxa"/>
            <w:left w:w="75" w:type="dxa"/>
            <w:bottom w:w="0" w:type="dxa"/>
            <w:right w:w="75" w:type="dxa"/>
          </w:tblCellMar>
        </w:tblPrEx>
        <w:trPr>
          <w:jc w:val="center"/>
        </w:trPr>
        <w:tc>
          <w:tcPr>
            <w:tcW w:w="2577" w:type="dxa"/>
          </w:tcPr>
          <w:p>
            <w:pPr>
              <w:autoSpaceDE w:val="0"/>
              <w:autoSpaceDN w:val="0"/>
              <w:adjustRightInd w:val="0"/>
              <w:jc w:val="both"/>
              <w:rPr>
                <w:rFonts w:cs="Times New Roman"/>
                <w:color w:val="000000" w:themeColor="text1"/>
                <w:sz w:val="18"/>
                <w:szCs w:val="18"/>
                <w14:textFill>
                  <w14:solidFill>
                    <w14:schemeClr w14:val="tx1"/>
                  </w14:solidFill>
                </w14:textFill>
              </w:rPr>
            </w:pPr>
            <w:r>
              <w:rPr>
                <w:rFonts w:cs="Times New Roman"/>
                <w:i/>
                <w:iCs/>
                <w:color w:val="000000" w:themeColor="text1"/>
                <w:sz w:val="18"/>
                <w:szCs w:val="18"/>
                <w14:textFill>
                  <w14:solidFill>
                    <w14:schemeClr w14:val="tx1"/>
                  </w14:solidFill>
                </w14:textFill>
              </w:rPr>
              <w:t>Δ</w:t>
            </w:r>
            <w:r>
              <w:rPr>
                <w:rFonts w:hint="eastAsia" w:cs="Times New Roman"/>
                <w:i/>
                <w:iCs/>
                <w:color w:val="000000" w:themeColor="text1"/>
                <w:sz w:val="18"/>
                <w:szCs w:val="18"/>
                <w14:textFill>
                  <w14:solidFill>
                    <w14:schemeClr w14:val="tx1"/>
                  </w14:solidFill>
                </w14:textFill>
              </w:rPr>
              <w:t>remo</w:t>
            </w:r>
            <w:r>
              <w:rPr>
                <w:rFonts w:cs="Times New Roman"/>
                <w:i/>
                <w:iCs/>
                <w:color w:val="000000" w:themeColor="text1"/>
                <w:sz w:val="18"/>
                <w:szCs w:val="18"/>
                <w14:textFill>
                  <w14:solidFill>
                    <w14:schemeClr w14:val="tx1"/>
                  </w14:solidFill>
                </w14:textFill>
              </w:rPr>
              <w:t>te</w:t>
            </w:r>
            <w:r>
              <w:rPr>
                <w:rFonts w:hint="eastAsia" w:cs="Times New Roman"/>
                <w:i/>
                <w:iCs/>
                <w:color w:val="000000" w:themeColor="text1"/>
                <w:sz w:val="18"/>
                <w:szCs w:val="18"/>
                <w14:textFill>
                  <w14:solidFill>
                    <w14:schemeClr w14:val="tx1"/>
                  </w14:solidFill>
                </w14:textFill>
              </w:rPr>
              <w:t>nessiv</w:t>
            </w:r>
          </w:p>
        </w:tc>
        <w:tc>
          <w:tcPr>
            <w:tcW w:w="1626" w:type="dxa"/>
          </w:tcPr>
          <w:p>
            <w:pPr>
              <w:autoSpaceDE w:val="0"/>
              <w:autoSpaceDN w:val="0"/>
              <w:adjustRightInd w:val="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1.1821***</w:t>
            </w:r>
          </w:p>
        </w:tc>
        <w:tc>
          <w:tcPr>
            <w:tcW w:w="1623" w:type="dxa"/>
          </w:tcPr>
          <w:p>
            <w:pPr>
              <w:autoSpaceDE w:val="0"/>
              <w:autoSpaceDN w:val="0"/>
              <w:adjustRightInd w:val="0"/>
              <w:jc w:val="center"/>
              <w:rPr>
                <w:rFonts w:cs="Times New Roman"/>
                <w:color w:val="000000" w:themeColor="text1"/>
                <w:sz w:val="18"/>
                <w:szCs w:val="18"/>
                <w14:textFill>
                  <w14:solidFill>
                    <w14:schemeClr w14:val="tx1"/>
                  </w14:solidFill>
                </w14:textFill>
              </w:rPr>
            </w:pPr>
          </w:p>
        </w:tc>
        <w:tc>
          <w:tcPr>
            <w:tcW w:w="1623" w:type="dxa"/>
          </w:tcPr>
          <w:p>
            <w:pPr>
              <w:autoSpaceDE w:val="0"/>
              <w:autoSpaceDN w:val="0"/>
              <w:adjustRightInd w:val="0"/>
              <w:jc w:val="center"/>
              <w:rPr>
                <w:rFonts w:cs="Times New Roman"/>
                <w:color w:val="000000" w:themeColor="text1"/>
                <w:sz w:val="18"/>
                <w:szCs w:val="18"/>
                <w14:textFill>
                  <w14:solidFill>
                    <w14:schemeClr w14:val="tx1"/>
                  </w14:solidFill>
                </w14:textFill>
              </w:rPr>
            </w:pPr>
          </w:p>
        </w:tc>
        <w:tc>
          <w:tcPr>
            <w:tcW w:w="1623" w:type="dxa"/>
          </w:tcPr>
          <w:p>
            <w:pPr>
              <w:autoSpaceDE w:val="0"/>
              <w:autoSpaceDN w:val="0"/>
              <w:adjustRightInd w:val="0"/>
              <w:jc w:val="center"/>
              <w:rPr>
                <w:rFonts w:cs="Times New Roman"/>
                <w:color w:val="000000" w:themeColor="text1"/>
                <w:sz w:val="18"/>
                <w:szCs w:val="18"/>
                <w14:textFill>
                  <w14:solidFill>
                    <w14:schemeClr w14:val="tx1"/>
                  </w14:solidFill>
                </w14:textFill>
              </w:rPr>
            </w:pPr>
          </w:p>
        </w:tc>
      </w:tr>
      <w:tr>
        <w:tblPrEx>
          <w:tblCellMar>
            <w:top w:w="0" w:type="dxa"/>
            <w:left w:w="75" w:type="dxa"/>
            <w:bottom w:w="0" w:type="dxa"/>
            <w:right w:w="75" w:type="dxa"/>
          </w:tblCellMar>
        </w:tblPrEx>
        <w:trPr>
          <w:jc w:val="center"/>
        </w:trPr>
        <w:tc>
          <w:tcPr>
            <w:tcW w:w="2577" w:type="dxa"/>
          </w:tcPr>
          <w:p>
            <w:pPr>
              <w:autoSpaceDE w:val="0"/>
              <w:autoSpaceDN w:val="0"/>
              <w:adjustRightInd w:val="0"/>
              <w:jc w:val="both"/>
              <w:rPr>
                <w:rFonts w:cs="Times New Roman"/>
                <w:color w:val="000000" w:themeColor="text1"/>
                <w:sz w:val="18"/>
                <w:szCs w:val="18"/>
                <w14:textFill>
                  <w14:solidFill>
                    <w14:schemeClr w14:val="tx1"/>
                  </w14:solidFill>
                </w14:textFill>
              </w:rPr>
            </w:pPr>
          </w:p>
        </w:tc>
        <w:tc>
          <w:tcPr>
            <w:tcW w:w="1626" w:type="dxa"/>
          </w:tcPr>
          <w:p>
            <w:pPr>
              <w:autoSpaceDE w:val="0"/>
              <w:autoSpaceDN w:val="0"/>
              <w:adjustRightInd w:val="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(0.1882)</w:t>
            </w:r>
          </w:p>
        </w:tc>
        <w:tc>
          <w:tcPr>
            <w:tcW w:w="1623" w:type="dxa"/>
          </w:tcPr>
          <w:p>
            <w:pPr>
              <w:autoSpaceDE w:val="0"/>
              <w:autoSpaceDN w:val="0"/>
              <w:adjustRightInd w:val="0"/>
              <w:jc w:val="center"/>
              <w:rPr>
                <w:rFonts w:cs="Times New Roman"/>
                <w:color w:val="000000" w:themeColor="text1"/>
                <w:sz w:val="18"/>
                <w:szCs w:val="18"/>
                <w14:textFill>
                  <w14:solidFill>
                    <w14:schemeClr w14:val="tx1"/>
                  </w14:solidFill>
                </w14:textFill>
              </w:rPr>
            </w:pPr>
          </w:p>
        </w:tc>
        <w:tc>
          <w:tcPr>
            <w:tcW w:w="1623" w:type="dxa"/>
          </w:tcPr>
          <w:p>
            <w:pPr>
              <w:autoSpaceDE w:val="0"/>
              <w:autoSpaceDN w:val="0"/>
              <w:adjustRightInd w:val="0"/>
              <w:jc w:val="center"/>
              <w:rPr>
                <w:rFonts w:cs="Times New Roman"/>
                <w:color w:val="000000" w:themeColor="text1"/>
                <w:sz w:val="18"/>
                <w:szCs w:val="18"/>
                <w14:textFill>
                  <w14:solidFill>
                    <w14:schemeClr w14:val="tx1"/>
                  </w14:solidFill>
                </w14:textFill>
              </w:rPr>
            </w:pPr>
          </w:p>
        </w:tc>
        <w:tc>
          <w:tcPr>
            <w:tcW w:w="1623" w:type="dxa"/>
          </w:tcPr>
          <w:p>
            <w:pPr>
              <w:autoSpaceDE w:val="0"/>
              <w:autoSpaceDN w:val="0"/>
              <w:adjustRightInd w:val="0"/>
              <w:jc w:val="center"/>
              <w:rPr>
                <w:rFonts w:cs="Times New Roman"/>
                <w:color w:val="000000" w:themeColor="text1"/>
                <w:sz w:val="18"/>
                <w:szCs w:val="18"/>
                <w14:textFill>
                  <w14:solidFill>
                    <w14:schemeClr w14:val="tx1"/>
                  </w14:solidFill>
                </w14:textFill>
              </w:rPr>
            </w:pPr>
          </w:p>
        </w:tc>
      </w:tr>
      <w:tr>
        <w:tblPrEx>
          <w:tblCellMar>
            <w:top w:w="0" w:type="dxa"/>
            <w:left w:w="75" w:type="dxa"/>
            <w:bottom w:w="0" w:type="dxa"/>
            <w:right w:w="75" w:type="dxa"/>
          </w:tblCellMar>
        </w:tblPrEx>
        <w:trPr>
          <w:jc w:val="center"/>
        </w:trPr>
        <w:tc>
          <w:tcPr>
            <w:tcW w:w="2577" w:type="dxa"/>
          </w:tcPr>
          <w:p>
            <w:pPr>
              <w:autoSpaceDE w:val="0"/>
              <w:autoSpaceDN w:val="0"/>
              <w:adjustRightInd w:val="0"/>
              <w:jc w:val="both"/>
              <w:rPr>
                <w:rFonts w:cs="Times New Roman"/>
                <w:color w:val="000000" w:themeColor="text1"/>
                <w:sz w:val="18"/>
                <w:szCs w:val="18"/>
                <w14:textFill>
                  <w14:solidFill>
                    <w14:schemeClr w14:val="tx1"/>
                  </w14:solidFill>
                </w14:textFill>
              </w:rPr>
            </w:pPr>
            <w:r>
              <w:rPr>
                <w:rFonts w:cs="Times New Roman"/>
                <w:i/>
                <w:iCs/>
                <w:color w:val="000000" w:themeColor="text1"/>
                <w:sz w:val="18"/>
                <w:szCs w:val="18"/>
                <w14:textFill>
                  <w14:solidFill>
                    <w14:schemeClr w14:val="tx1"/>
                  </w14:solidFill>
                </w14:textFill>
              </w:rPr>
              <w:t>Δrangeiv</w:t>
            </w:r>
          </w:p>
        </w:tc>
        <w:tc>
          <w:tcPr>
            <w:tcW w:w="1626" w:type="dxa"/>
          </w:tcPr>
          <w:p>
            <w:pPr>
              <w:autoSpaceDE w:val="0"/>
              <w:autoSpaceDN w:val="0"/>
              <w:adjustRightInd w:val="0"/>
              <w:jc w:val="center"/>
              <w:rPr>
                <w:rFonts w:cs="Times New Roman"/>
                <w:color w:val="000000" w:themeColor="text1"/>
                <w:sz w:val="18"/>
                <w:szCs w:val="18"/>
                <w14:textFill>
                  <w14:solidFill>
                    <w14:schemeClr w14:val="tx1"/>
                  </w14:solidFill>
                </w14:textFill>
              </w:rPr>
            </w:pPr>
          </w:p>
        </w:tc>
        <w:tc>
          <w:tcPr>
            <w:tcW w:w="1623" w:type="dxa"/>
          </w:tcPr>
          <w:p>
            <w:pPr>
              <w:autoSpaceDE w:val="0"/>
              <w:autoSpaceDN w:val="0"/>
              <w:adjustRightInd w:val="0"/>
              <w:jc w:val="center"/>
              <w:rPr>
                <w:rFonts w:cs="Times New Roman"/>
                <w:color w:val="000000" w:themeColor="text1"/>
                <w:sz w:val="18"/>
                <w:szCs w:val="18"/>
                <w14:textFill>
                  <w14:solidFill>
                    <w14:schemeClr w14:val="tx1"/>
                  </w14:solidFill>
                </w14:textFill>
              </w:rPr>
            </w:pPr>
          </w:p>
        </w:tc>
        <w:tc>
          <w:tcPr>
            <w:tcW w:w="1623" w:type="dxa"/>
          </w:tcPr>
          <w:p>
            <w:pPr>
              <w:autoSpaceDE w:val="0"/>
              <w:autoSpaceDN w:val="0"/>
              <w:adjustRightInd w:val="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1.8109***</w:t>
            </w:r>
          </w:p>
        </w:tc>
        <w:tc>
          <w:tcPr>
            <w:tcW w:w="1623" w:type="dxa"/>
          </w:tcPr>
          <w:p>
            <w:pPr>
              <w:autoSpaceDE w:val="0"/>
              <w:autoSpaceDN w:val="0"/>
              <w:adjustRightInd w:val="0"/>
              <w:jc w:val="center"/>
              <w:rPr>
                <w:rFonts w:cs="Times New Roman"/>
                <w:color w:val="000000" w:themeColor="text1"/>
                <w:sz w:val="18"/>
                <w:szCs w:val="18"/>
                <w14:textFill>
                  <w14:solidFill>
                    <w14:schemeClr w14:val="tx1"/>
                  </w14:solidFill>
                </w14:textFill>
              </w:rPr>
            </w:pPr>
          </w:p>
        </w:tc>
      </w:tr>
      <w:tr>
        <w:tblPrEx>
          <w:tblCellMar>
            <w:top w:w="0" w:type="dxa"/>
            <w:left w:w="75" w:type="dxa"/>
            <w:bottom w:w="0" w:type="dxa"/>
            <w:right w:w="75" w:type="dxa"/>
          </w:tblCellMar>
        </w:tblPrEx>
        <w:trPr>
          <w:jc w:val="center"/>
        </w:trPr>
        <w:tc>
          <w:tcPr>
            <w:tcW w:w="2577" w:type="dxa"/>
          </w:tcPr>
          <w:p>
            <w:pPr>
              <w:autoSpaceDE w:val="0"/>
              <w:autoSpaceDN w:val="0"/>
              <w:adjustRightInd w:val="0"/>
              <w:jc w:val="both"/>
              <w:rPr>
                <w:rFonts w:cs="Times New Roman"/>
                <w:color w:val="000000" w:themeColor="text1"/>
                <w:sz w:val="18"/>
                <w:szCs w:val="18"/>
                <w14:textFill>
                  <w14:solidFill>
                    <w14:schemeClr w14:val="tx1"/>
                  </w14:solidFill>
                </w14:textFill>
              </w:rPr>
            </w:pPr>
          </w:p>
        </w:tc>
        <w:tc>
          <w:tcPr>
            <w:tcW w:w="1626" w:type="dxa"/>
          </w:tcPr>
          <w:p>
            <w:pPr>
              <w:autoSpaceDE w:val="0"/>
              <w:autoSpaceDN w:val="0"/>
              <w:adjustRightInd w:val="0"/>
              <w:jc w:val="center"/>
              <w:rPr>
                <w:rFonts w:cs="Times New Roman"/>
                <w:color w:val="000000" w:themeColor="text1"/>
                <w:sz w:val="18"/>
                <w:szCs w:val="18"/>
                <w14:textFill>
                  <w14:solidFill>
                    <w14:schemeClr w14:val="tx1"/>
                  </w14:solidFill>
                </w14:textFill>
              </w:rPr>
            </w:pPr>
          </w:p>
        </w:tc>
        <w:tc>
          <w:tcPr>
            <w:tcW w:w="1623" w:type="dxa"/>
          </w:tcPr>
          <w:p>
            <w:pPr>
              <w:autoSpaceDE w:val="0"/>
              <w:autoSpaceDN w:val="0"/>
              <w:adjustRightInd w:val="0"/>
              <w:jc w:val="center"/>
              <w:rPr>
                <w:rFonts w:cs="Times New Roman"/>
                <w:color w:val="000000" w:themeColor="text1"/>
                <w:sz w:val="18"/>
                <w:szCs w:val="18"/>
                <w14:textFill>
                  <w14:solidFill>
                    <w14:schemeClr w14:val="tx1"/>
                  </w14:solidFill>
                </w14:textFill>
              </w:rPr>
            </w:pPr>
          </w:p>
        </w:tc>
        <w:tc>
          <w:tcPr>
            <w:tcW w:w="1623" w:type="dxa"/>
          </w:tcPr>
          <w:p>
            <w:pPr>
              <w:autoSpaceDE w:val="0"/>
              <w:autoSpaceDN w:val="0"/>
              <w:adjustRightInd w:val="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(0.2549)</w:t>
            </w:r>
          </w:p>
        </w:tc>
        <w:tc>
          <w:tcPr>
            <w:tcW w:w="1623" w:type="dxa"/>
          </w:tcPr>
          <w:p>
            <w:pPr>
              <w:autoSpaceDE w:val="0"/>
              <w:autoSpaceDN w:val="0"/>
              <w:adjustRightInd w:val="0"/>
              <w:jc w:val="center"/>
              <w:rPr>
                <w:rFonts w:cs="Times New Roman"/>
                <w:color w:val="000000" w:themeColor="text1"/>
                <w:sz w:val="18"/>
                <w:szCs w:val="18"/>
                <w14:textFill>
                  <w14:solidFill>
                    <w14:schemeClr w14:val="tx1"/>
                  </w14:solidFill>
                </w14:textFill>
              </w:rPr>
            </w:pPr>
          </w:p>
        </w:tc>
      </w:tr>
      <w:tr>
        <w:tblPrEx>
          <w:tblCellMar>
            <w:top w:w="0" w:type="dxa"/>
            <w:left w:w="75" w:type="dxa"/>
            <w:bottom w:w="0" w:type="dxa"/>
            <w:right w:w="75" w:type="dxa"/>
          </w:tblCellMar>
        </w:tblPrEx>
        <w:trPr>
          <w:jc w:val="center"/>
        </w:trPr>
        <w:tc>
          <w:tcPr>
            <w:tcW w:w="2577" w:type="dxa"/>
          </w:tcPr>
          <w:p>
            <w:pPr>
              <w:autoSpaceDE w:val="0"/>
              <w:autoSpaceDN w:val="0"/>
              <w:adjustRightInd w:val="0"/>
              <w:jc w:val="both"/>
              <w:rPr>
                <w:rFonts w:cs="Times New Roman"/>
                <w:color w:val="000000" w:themeColor="text1"/>
                <w:sz w:val="18"/>
                <w:szCs w:val="18"/>
                <w14:textFill>
                  <w14:solidFill>
                    <w14:schemeClr w14:val="tx1"/>
                  </w14:solidFill>
                </w14:textFill>
              </w:rPr>
            </w:pPr>
            <w:r>
              <w:rPr>
                <w:rFonts w:cs="Times New Roman"/>
                <w:i/>
                <w:iCs/>
                <w:color w:val="000000" w:themeColor="text1"/>
                <w:sz w:val="18"/>
                <w:szCs w:val="18"/>
                <w14:textFill>
                  <w14:solidFill>
                    <w14:schemeClr w14:val="tx1"/>
                  </w14:solidFill>
                </w14:textFill>
              </w:rPr>
              <w:t>Δlnarea</w:t>
            </w:r>
          </w:p>
        </w:tc>
        <w:tc>
          <w:tcPr>
            <w:tcW w:w="1626" w:type="dxa"/>
          </w:tcPr>
          <w:p>
            <w:pPr>
              <w:autoSpaceDE w:val="0"/>
              <w:autoSpaceDN w:val="0"/>
              <w:adjustRightInd w:val="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1.8608***</w:t>
            </w:r>
          </w:p>
        </w:tc>
        <w:tc>
          <w:tcPr>
            <w:tcW w:w="1623" w:type="dxa"/>
          </w:tcPr>
          <w:p>
            <w:pPr>
              <w:autoSpaceDE w:val="0"/>
              <w:autoSpaceDN w:val="0"/>
              <w:adjustRightInd w:val="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1.5312***</w:t>
            </w:r>
          </w:p>
        </w:tc>
        <w:tc>
          <w:tcPr>
            <w:tcW w:w="1623" w:type="dxa"/>
          </w:tcPr>
          <w:p>
            <w:pPr>
              <w:autoSpaceDE w:val="0"/>
              <w:autoSpaceDN w:val="0"/>
              <w:adjustRightInd w:val="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7.6422***</w:t>
            </w:r>
          </w:p>
        </w:tc>
        <w:tc>
          <w:tcPr>
            <w:tcW w:w="1623" w:type="dxa"/>
          </w:tcPr>
          <w:p>
            <w:pPr>
              <w:autoSpaceDE w:val="0"/>
              <w:autoSpaceDN w:val="0"/>
              <w:adjustRightInd w:val="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1.4911***</w:t>
            </w:r>
          </w:p>
        </w:tc>
      </w:tr>
      <w:tr>
        <w:tblPrEx>
          <w:tblCellMar>
            <w:top w:w="0" w:type="dxa"/>
            <w:left w:w="75" w:type="dxa"/>
            <w:bottom w:w="0" w:type="dxa"/>
            <w:right w:w="75" w:type="dxa"/>
          </w:tblCellMar>
        </w:tblPrEx>
        <w:trPr>
          <w:jc w:val="center"/>
        </w:trPr>
        <w:tc>
          <w:tcPr>
            <w:tcW w:w="2577" w:type="dxa"/>
          </w:tcPr>
          <w:p>
            <w:pPr>
              <w:autoSpaceDE w:val="0"/>
              <w:autoSpaceDN w:val="0"/>
              <w:adjustRightInd w:val="0"/>
              <w:jc w:val="both"/>
              <w:rPr>
                <w:rFonts w:cs="Times New Roman"/>
                <w:color w:val="000000" w:themeColor="text1"/>
                <w:sz w:val="18"/>
                <w:szCs w:val="18"/>
                <w14:textFill>
                  <w14:solidFill>
                    <w14:schemeClr w14:val="tx1"/>
                  </w14:solidFill>
                </w14:textFill>
              </w:rPr>
            </w:pPr>
          </w:p>
        </w:tc>
        <w:tc>
          <w:tcPr>
            <w:tcW w:w="1626" w:type="dxa"/>
          </w:tcPr>
          <w:p>
            <w:pPr>
              <w:autoSpaceDE w:val="0"/>
              <w:autoSpaceDN w:val="0"/>
              <w:adjustRightInd w:val="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(0.2396)</w:t>
            </w:r>
          </w:p>
        </w:tc>
        <w:tc>
          <w:tcPr>
            <w:tcW w:w="1623" w:type="dxa"/>
          </w:tcPr>
          <w:p>
            <w:pPr>
              <w:autoSpaceDE w:val="0"/>
              <w:autoSpaceDN w:val="0"/>
              <w:adjustRightInd w:val="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(0.3055)</w:t>
            </w:r>
          </w:p>
        </w:tc>
        <w:tc>
          <w:tcPr>
            <w:tcW w:w="1623" w:type="dxa"/>
          </w:tcPr>
          <w:p>
            <w:pPr>
              <w:autoSpaceDE w:val="0"/>
              <w:autoSpaceDN w:val="0"/>
              <w:adjustRightInd w:val="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(1.0329)</w:t>
            </w:r>
          </w:p>
        </w:tc>
        <w:tc>
          <w:tcPr>
            <w:tcW w:w="1623" w:type="dxa"/>
          </w:tcPr>
          <w:p>
            <w:pPr>
              <w:autoSpaceDE w:val="0"/>
              <w:autoSpaceDN w:val="0"/>
              <w:adjustRightInd w:val="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(0.2756)</w:t>
            </w:r>
          </w:p>
        </w:tc>
      </w:tr>
      <w:tr>
        <w:tblPrEx>
          <w:tblCellMar>
            <w:top w:w="0" w:type="dxa"/>
            <w:left w:w="75" w:type="dxa"/>
            <w:bottom w:w="0" w:type="dxa"/>
            <w:right w:w="75" w:type="dxa"/>
          </w:tblCellMar>
        </w:tblPrEx>
        <w:trPr>
          <w:jc w:val="center"/>
        </w:trPr>
        <w:tc>
          <w:tcPr>
            <w:tcW w:w="2577" w:type="dxa"/>
          </w:tcPr>
          <w:p>
            <w:pPr>
              <w:autoSpaceDE w:val="0"/>
              <w:autoSpaceDN w:val="0"/>
              <w:adjustRightInd w:val="0"/>
              <w:jc w:val="both"/>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N</w:t>
            </w:r>
          </w:p>
        </w:tc>
        <w:tc>
          <w:tcPr>
            <w:tcW w:w="1626" w:type="dxa"/>
          </w:tcPr>
          <w:p>
            <w:pPr>
              <w:autoSpaceDE w:val="0"/>
              <w:autoSpaceDN w:val="0"/>
              <w:adjustRightInd w:val="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252</w:t>
            </w:r>
          </w:p>
        </w:tc>
        <w:tc>
          <w:tcPr>
            <w:tcW w:w="1623" w:type="dxa"/>
          </w:tcPr>
          <w:p>
            <w:pPr>
              <w:autoSpaceDE w:val="0"/>
              <w:autoSpaceDN w:val="0"/>
              <w:adjustRightInd w:val="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252</w:t>
            </w:r>
          </w:p>
        </w:tc>
        <w:tc>
          <w:tcPr>
            <w:tcW w:w="1623" w:type="dxa"/>
          </w:tcPr>
          <w:p>
            <w:pPr>
              <w:autoSpaceDE w:val="0"/>
              <w:autoSpaceDN w:val="0"/>
              <w:adjustRightInd w:val="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252</w:t>
            </w:r>
          </w:p>
        </w:tc>
        <w:tc>
          <w:tcPr>
            <w:tcW w:w="1623" w:type="dxa"/>
          </w:tcPr>
          <w:p>
            <w:pPr>
              <w:autoSpaceDE w:val="0"/>
              <w:autoSpaceDN w:val="0"/>
              <w:adjustRightInd w:val="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252</w:t>
            </w:r>
          </w:p>
        </w:tc>
      </w:tr>
      <w:tr>
        <w:tblPrEx>
          <w:tblCellMar>
            <w:top w:w="0" w:type="dxa"/>
            <w:left w:w="75" w:type="dxa"/>
            <w:bottom w:w="0" w:type="dxa"/>
            <w:right w:w="75" w:type="dxa"/>
          </w:tblCellMar>
        </w:tblPrEx>
        <w:trPr>
          <w:jc w:val="center"/>
        </w:trPr>
        <w:tc>
          <w:tcPr>
            <w:tcW w:w="2577" w:type="dxa"/>
          </w:tcPr>
          <w:p>
            <w:pPr>
              <w:autoSpaceDE w:val="0"/>
              <w:autoSpaceDN w:val="0"/>
              <w:adjustRightInd w:val="0"/>
              <w:jc w:val="both"/>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Adj R</w:t>
            </w:r>
            <w:r>
              <w:rPr>
                <w:rFonts w:cs="Times New Roman"/>
                <w:color w:val="000000" w:themeColor="text1"/>
                <w:sz w:val="18"/>
                <w:szCs w:val="18"/>
                <w:vertAlign w:val="superscript"/>
                <w14:textFill>
                  <w14:solidFill>
                    <w14:schemeClr w14:val="tx1"/>
                  </w14:solidFill>
                </w14:textFill>
              </w:rPr>
              <w:t>2</w:t>
            </w:r>
          </w:p>
        </w:tc>
        <w:tc>
          <w:tcPr>
            <w:tcW w:w="1626" w:type="dxa"/>
          </w:tcPr>
          <w:p>
            <w:pPr>
              <w:autoSpaceDE w:val="0"/>
              <w:autoSpaceDN w:val="0"/>
              <w:adjustRightInd w:val="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0.4310</w:t>
            </w:r>
          </w:p>
        </w:tc>
        <w:tc>
          <w:tcPr>
            <w:tcW w:w="1623" w:type="dxa"/>
          </w:tcPr>
          <w:p>
            <w:pPr>
              <w:autoSpaceDE w:val="0"/>
              <w:autoSpaceDN w:val="0"/>
              <w:adjustRightInd w:val="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w:t>
            </w:r>
          </w:p>
        </w:tc>
        <w:tc>
          <w:tcPr>
            <w:tcW w:w="1623" w:type="dxa"/>
          </w:tcPr>
          <w:p>
            <w:pPr>
              <w:autoSpaceDE w:val="0"/>
              <w:autoSpaceDN w:val="0"/>
              <w:adjustRightInd w:val="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0.4205</w:t>
            </w:r>
          </w:p>
        </w:tc>
        <w:tc>
          <w:tcPr>
            <w:tcW w:w="1623" w:type="dxa"/>
          </w:tcPr>
          <w:p>
            <w:pPr>
              <w:autoSpaceDE w:val="0"/>
              <w:autoSpaceDN w:val="0"/>
              <w:adjustRightInd w:val="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w:t>
            </w:r>
          </w:p>
        </w:tc>
      </w:tr>
      <w:tr>
        <w:tblPrEx>
          <w:tblCellMar>
            <w:top w:w="0" w:type="dxa"/>
            <w:left w:w="75" w:type="dxa"/>
            <w:bottom w:w="0" w:type="dxa"/>
            <w:right w:w="75" w:type="dxa"/>
          </w:tblCellMar>
        </w:tblPrEx>
        <w:trPr>
          <w:jc w:val="center"/>
        </w:trPr>
        <w:tc>
          <w:tcPr>
            <w:tcW w:w="2577" w:type="dxa"/>
            <w:tcBorders>
              <w:bottom w:val="single" w:color="auto" w:sz="4" w:space="0"/>
            </w:tcBorders>
          </w:tcPr>
          <w:p>
            <w:pPr>
              <w:autoSpaceDE w:val="0"/>
              <w:autoSpaceDN w:val="0"/>
              <w:adjustRightInd w:val="0"/>
              <w:jc w:val="both"/>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Controls</w:t>
            </w:r>
          </w:p>
        </w:tc>
        <w:tc>
          <w:tcPr>
            <w:tcW w:w="1626" w:type="dxa"/>
            <w:tcBorders>
              <w:bottom w:val="single" w:color="auto" w:sz="4" w:space="0"/>
            </w:tcBorders>
          </w:tcPr>
          <w:p>
            <w:pPr>
              <w:autoSpaceDE w:val="0"/>
              <w:autoSpaceDN w:val="0"/>
              <w:adjustRightInd w:val="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Y</w:t>
            </w:r>
          </w:p>
        </w:tc>
        <w:tc>
          <w:tcPr>
            <w:tcW w:w="1623" w:type="dxa"/>
            <w:tcBorders>
              <w:bottom w:val="single" w:color="auto" w:sz="4" w:space="0"/>
            </w:tcBorders>
          </w:tcPr>
          <w:p>
            <w:pPr>
              <w:autoSpaceDE w:val="0"/>
              <w:autoSpaceDN w:val="0"/>
              <w:adjustRightInd w:val="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Y</w:t>
            </w:r>
          </w:p>
        </w:tc>
        <w:tc>
          <w:tcPr>
            <w:tcW w:w="1623" w:type="dxa"/>
            <w:tcBorders>
              <w:bottom w:val="single" w:color="auto" w:sz="4" w:space="0"/>
            </w:tcBorders>
          </w:tcPr>
          <w:p>
            <w:pPr>
              <w:autoSpaceDE w:val="0"/>
              <w:autoSpaceDN w:val="0"/>
              <w:adjustRightInd w:val="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Y</w:t>
            </w:r>
          </w:p>
        </w:tc>
        <w:tc>
          <w:tcPr>
            <w:tcW w:w="1623" w:type="dxa"/>
            <w:tcBorders>
              <w:bottom w:val="single" w:color="auto" w:sz="4" w:space="0"/>
            </w:tcBorders>
          </w:tcPr>
          <w:p>
            <w:pPr>
              <w:autoSpaceDE w:val="0"/>
              <w:autoSpaceDN w:val="0"/>
              <w:adjustRightInd w:val="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Y</w:t>
            </w:r>
          </w:p>
        </w:tc>
      </w:tr>
    </w:tbl>
    <w:p>
      <w:pPr>
        <w:autoSpaceDE w:val="0"/>
        <w:autoSpaceDN w:val="0"/>
        <w:adjustRightInd w:val="0"/>
        <w:ind w:firstLine="180" w:firstLineChars="100"/>
        <w:jc w:val="both"/>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注：</w:t>
      </w:r>
      <w:r>
        <w:rPr>
          <w:rFonts w:hint="eastAsia" w:cs="Times New Roman"/>
          <w:color w:val="000000" w:themeColor="text1"/>
          <w:sz w:val="18"/>
          <w:szCs w:val="18"/>
          <w14:textFill>
            <w14:solidFill>
              <w14:schemeClr w14:val="tx1"/>
            </w14:solidFill>
          </w14:textFill>
        </w:rPr>
        <w:t>第（</w:t>
      </w:r>
      <w:r>
        <w:rPr>
          <w:rFonts w:cs="Times New Roman"/>
          <w:color w:val="000000" w:themeColor="text1"/>
          <w:sz w:val="18"/>
          <w:szCs w:val="18"/>
          <w14:textFill>
            <w14:solidFill>
              <w14:schemeClr w14:val="tx1"/>
            </w14:solidFill>
          </w14:textFill>
        </w:rPr>
        <w:t>1</w:t>
      </w:r>
      <w:r>
        <w:rPr>
          <w:rFonts w:hint="eastAsia" w:cs="Times New Roman"/>
          <w:color w:val="000000" w:themeColor="text1"/>
          <w:sz w:val="18"/>
          <w:szCs w:val="18"/>
          <w14:textFill>
            <w14:solidFill>
              <w14:schemeClr w14:val="tx1"/>
            </w14:solidFill>
          </w14:textFill>
        </w:rPr>
        <w:t>）-（</w:t>
      </w:r>
      <w:r>
        <w:rPr>
          <w:rFonts w:cs="Times New Roman"/>
          <w:color w:val="000000" w:themeColor="text1"/>
          <w:sz w:val="18"/>
          <w:szCs w:val="18"/>
          <w14:textFill>
            <w14:solidFill>
              <w14:schemeClr w14:val="tx1"/>
            </w14:solidFill>
          </w14:textFill>
        </w:rPr>
        <w:t>4</w:t>
      </w:r>
      <w:r>
        <w:rPr>
          <w:rFonts w:hint="eastAsia" w:cs="Times New Roman"/>
          <w:color w:val="000000" w:themeColor="text1"/>
          <w:sz w:val="18"/>
          <w:szCs w:val="18"/>
          <w14:textFill>
            <w14:solidFill>
              <w14:schemeClr w14:val="tx1"/>
            </w14:solidFill>
          </w14:textFill>
        </w:rPr>
        <w:t>）列均为长差分模型回归的结果，以及后文结果均为基于长差分模型的回归结果。</w:t>
      </w:r>
    </w:p>
    <w:p>
      <w:pPr>
        <w:autoSpaceDE w:val="0"/>
        <w:autoSpaceDN w:val="0"/>
        <w:adjustRightInd w:val="0"/>
        <w:jc w:val="both"/>
        <w:rPr>
          <w:rFonts w:cs="Times New Roman"/>
          <w:color w:val="000000" w:themeColor="text1"/>
          <w:sz w:val="18"/>
          <w:szCs w:val="18"/>
          <w14:textFill>
            <w14:solidFill>
              <w14:schemeClr w14:val="tx1"/>
            </w14:solidFill>
          </w14:textFill>
        </w:rPr>
      </w:pPr>
    </w:p>
    <w:p>
      <w:pPr>
        <w:pStyle w:val="5"/>
        <w:ind w:firstLine="420"/>
      </w:pPr>
      <w:r>
        <w:rPr>
          <w:rFonts w:hint="eastAsia"/>
        </w:rPr>
        <w:t>2</w:t>
      </w:r>
      <w:r>
        <w:t>.</w:t>
      </w:r>
      <w:r>
        <w:rPr>
          <w:rFonts w:hint="eastAsia"/>
        </w:rPr>
        <w:t>考察遗漏因素导致的识别偏误</w:t>
      </w:r>
    </w:p>
    <w:p>
      <w:pPr>
        <w:ind w:firstLine="420" w:firstLineChars="200"/>
        <w:jc w:val="both"/>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基准回归中，我们依靠自然地理约束以及城市历史人口因素构造了城市几何形态的工具变量。但基于工具变量的识别策略可能依然面临威胁，主要在于该工具变量可能捕捉了自然地理特征以及历史特征对城市增长的直接效应，例如不可开发用地面积更多，城市内部可能会拥有更多的绿地等，增加了舒适度提升内部的生产率优势，多山水的地理环境会直接对生产与生活造成一定的困难，进而影响人口增与收入等，亦或是历史上更快的人口增长率帮助城市累积了一定的人口优势与资源禀赋优势进行影响城市发展等。这些都可能导致工具变量存在不满足排他性约束的情况，但我们的识别假定要求这些相对外生的因素只能通过作用几何形态才能影响城市增长。我们在进行工具变量回归的过程中分别额外控制自然地理约束因素以及历史因素，我们收集并测算了城市层面的</w:t>
      </w:r>
      <w:r>
        <w:rPr>
          <w:rFonts w:hint="eastAsia"/>
          <w:color w:val="000000" w:themeColor="text1"/>
          <w14:textFill>
            <w14:solidFill>
              <w14:schemeClr w14:val="tx1"/>
            </w14:solidFill>
          </w14:textFill>
        </w:rPr>
        <w:t>抗震设防烈度</w:t>
      </w:r>
      <w:r>
        <w:rPr>
          <w:rFonts w:hint="eastAsia" w:cs="Times New Roman"/>
          <w:color w:val="000000" w:themeColor="text1"/>
          <w14:textFill>
            <w14:solidFill>
              <w14:schemeClr w14:val="tx1"/>
            </w14:solidFill>
          </w14:textFill>
        </w:rPr>
        <w:t>（</w:t>
      </w:r>
      <w:r>
        <w:rPr>
          <w:rFonts w:cs="Times New Roman"/>
          <w:i/>
          <w:color w:val="000000" w:themeColor="text1"/>
          <w14:textFill>
            <w14:solidFill>
              <w14:schemeClr w14:val="tx1"/>
            </w14:solidFill>
          </w14:textFill>
        </w:rPr>
        <w:t>intensity</w:t>
      </w:r>
      <w:r>
        <w:rPr>
          <w:rFonts w:hint="eastAsia" w:cs="Times New Roman"/>
          <w:color w:val="000000" w:themeColor="text1"/>
          <w14:textFill>
            <w14:solidFill>
              <w14:schemeClr w14:val="tx1"/>
            </w14:solidFill>
          </w14:textFill>
        </w:rPr>
        <w:t>）、</w:t>
      </w:r>
      <w:r>
        <w:rPr>
          <w:rFonts w:hint="eastAsia"/>
          <w:color w:val="000000" w:themeColor="text1"/>
          <w14:textFill>
            <w14:solidFill>
              <w14:schemeClr w14:val="tx1"/>
            </w14:solidFill>
          </w14:textFill>
        </w:rPr>
        <w:t>设计基本地震加速度</w:t>
      </w:r>
      <w:r>
        <w:rPr>
          <w:rFonts w:hint="eastAsia" w:cs="Times New Roman"/>
          <w:color w:val="000000" w:themeColor="text1"/>
          <w14:textFill>
            <w14:solidFill>
              <w14:schemeClr w14:val="tx1"/>
            </w14:solidFill>
          </w14:textFill>
        </w:rPr>
        <w:t>（</w:t>
      </w:r>
      <w:r>
        <w:rPr>
          <w:rFonts w:cs="Times New Roman"/>
          <w:i/>
          <w:color w:val="000000" w:themeColor="text1"/>
          <w14:textFill>
            <w14:solidFill>
              <w14:schemeClr w14:val="tx1"/>
            </w14:solidFill>
          </w14:textFill>
        </w:rPr>
        <w:t>acceleration</w:t>
      </w:r>
      <w:r>
        <w:rPr>
          <w:rFonts w:hint="eastAsia" w:cs="Times New Roman"/>
          <w:color w:val="000000" w:themeColor="text1"/>
          <w14:textFill>
            <w14:solidFill>
              <w14:schemeClr w14:val="tx1"/>
            </w14:solidFill>
          </w14:textFill>
        </w:rPr>
        <w:t>）、地表起伏度（</w:t>
      </w:r>
      <w:r>
        <w:rPr>
          <w:rFonts w:cs="Times New Roman"/>
          <w:i/>
          <w:color w:val="000000" w:themeColor="text1"/>
          <w14:textFill>
            <w14:solidFill>
              <w14:schemeClr w14:val="tx1"/>
            </w14:solidFill>
          </w14:textFill>
        </w:rPr>
        <w:t>ruggedness</w:t>
      </w:r>
      <w:r>
        <w:rPr>
          <w:rFonts w:hint="eastAsia" w:cs="Times New Roman"/>
          <w:color w:val="000000" w:themeColor="text1"/>
          <w14:textFill>
            <w14:solidFill>
              <w14:schemeClr w14:val="tx1"/>
            </w14:solidFill>
          </w14:textFill>
        </w:rPr>
        <w:t>）、不可开发用地比例（</w:t>
      </w:r>
      <w:r>
        <w:rPr>
          <w:rFonts w:cs="Times New Roman"/>
          <w:i/>
          <w:color w:val="000000" w:themeColor="text1"/>
          <w14:textFill>
            <w14:solidFill>
              <w14:schemeClr w14:val="tx1"/>
            </w14:solidFill>
          </w14:textFill>
        </w:rPr>
        <w:t>undeveloped</w:t>
      </w:r>
      <w:r>
        <w:rPr>
          <w:rFonts w:hint="eastAsia" w:cs="Times New Roman"/>
          <w:color w:val="000000" w:themeColor="text1"/>
          <w14:textFill>
            <w14:solidFill>
              <w14:schemeClr w14:val="tx1"/>
            </w14:solidFill>
          </w14:textFill>
        </w:rPr>
        <w:t>）、城市与主要海港地理距离（</w:t>
      </w:r>
      <w:r>
        <w:rPr>
          <w:rFonts w:cs="Times New Roman"/>
          <w:i/>
          <w:color w:val="000000" w:themeColor="text1"/>
          <w14:textFill>
            <w14:solidFill>
              <w14:schemeClr w14:val="tx1"/>
            </w14:solidFill>
          </w14:textFill>
        </w:rPr>
        <w:t>distancetocoast</w:t>
      </w:r>
      <w:r>
        <w:rPr>
          <w:rFonts w:hint="eastAsia" w:cs="Times New Roman"/>
          <w:color w:val="000000" w:themeColor="text1"/>
          <w14:textFill>
            <w14:solidFill>
              <w14:schemeClr w14:val="tx1"/>
            </w14:solidFill>
          </w14:textFill>
        </w:rPr>
        <w:t>）、1</w:t>
      </w:r>
      <w:r>
        <w:rPr>
          <w:rFonts w:cs="Times New Roman"/>
          <w:color w:val="000000" w:themeColor="text1"/>
          <w14:textFill>
            <w14:solidFill>
              <w14:schemeClr w14:val="tx1"/>
            </w14:solidFill>
          </w14:textFill>
        </w:rPr>
        <w:t>953-1990</w:t>
      </w:r>
      <w:r>
        <w:rPr>
          <w:rFonts w:hint="eastAsia" w:cs="Times New Roman"/>
          <w:color w:val="000000" w:themeColor="text1"/>
          <w14:textFill>
            <w14:solidFill>
              <w14:schemeClr w14:val="tx1"/>
            </w14:solidFill>
          </w14:textFill>
        </w:rPr>
        <w:t>年的人口长差分项（</w:t>
      </w:r>
      <w:r>
        <w:rPr>
          <w:rFonts w:cs="Times New Roman"/>
          <w:i/>
          <w:iCs/>
          <w:color w:val="000000" w:themeColor="text1"/>
          <w:szCs w:val="21"/>
          <w14:textFill>
            <w14:solidFill>
              <w14:schemeClr w14:val="tx1"/>
            </w14:solidFill>
          </w14:textFill>
        </w:rPr>
        <w:t>historicalgrowth</w:t>
      </w:r>
      <w:r>
        <w:rPr>
          <w:rFonts w:hint="eastAsia" w:cs="Times New Roman"/>
          <w:color w:val="000000" w:themeColor="text1"/>
          <w14:textFill>
            <w14:solidFill>
              <w14:schemeClr w14:val="tx1"/>
            </w14:solidFill>
          </w14:textFill>
        </w:rPr>
        <w:t>）以及根据历史人口预测的2</w:t>
      </w:r>
      <w:r>
        <w:rPr>
          <w:rFonts w:cs="Times New Roman"/>
          <w:color w:val="000000" w:themeColor="text1"/>
          <w14:textFill>
            <w14:solidFill>
              <w14:schemeClr w14:val="tx1"/>
            </w14:solidFill>
          </w14:textFill>
        </w:rPr>
        <w:t>000</w:t>
      </w:r>
      <w:r>
        <w:rPr>
          <w:rFonts w:hint="eastAsia" w:cs="Times New Roman"/>
          <w:color w:val="000000" w:themeColor="text1"/>
          <w14:textFill>
            <w14:solidFill>
              <w14:schemeClr w14:val="tx1"/>
            </w14:solidFill>
          </w14:textFill>
        </w:rPr>
        <w:t>—</w:t>
      </w:r>
      <w:r>
        <w:rPr>
          <w:rFonts w:cs="Times New Roman"/>
          <w:color w:val="000000" w:themeColor="text1"/>
          <w14:textFill>
            <w14:solidFill>
              <w14:schemeClr w14:val="tx1"/>
            </w14:solidFill>
          </w14:textFill>
        </w:rPr>
        <w:t>2015</w:t>
      </w:r>
      <w:r>
        <w:rPr>
          <w:rFonts w:hint="eastAsia" w:cs="Times New Roman"/>
          <w:color w:val="000000" w:themeColor="text1"/>
          <w14:textFill>
            <w14:solidFill>
              <w14:schemeClr w14:val="tx1"/>
            </w14:solidFill>
          </w14:textFill>
        </w:rPr>
        <w:t>年城市人口长差分项（</w:t>
      </w:r>
      <w:r>
        <w:rPr>
          <w:rFonts w:cs="Times New Roman"/>
          <w:i/>
          <w:iCs/>
          <w:color w:val="000000" w:themeColor="text1"/>
          <w:szCs w:val="21"/>
          <w14:textFill>
            <w14:solidFill>
              <w14:schemeClr w14:val="tx1"/>
            </w14:solidFill>
          </w14:textFill>
        </w:rPr>
        <w:t>projectedgro</w:t>
      </w:r>
      <w:r>
        <w:rPr>
          <w:rFonts w:hint="eastAsia" w:cs="Times New Roman"/>
          <w:i/>
          <w:iCs/>
          <w:color w:val="000000" w:themeColor="text1"/>
          <w:szCs w:val="21"/>
          <w14:textFill>
            <w14:solidFill>
              <w14:schemeClr w14:val="tx1"/>
            </w14:solidFill>
          </w14:textFill>
        </w:rPr>
        <w:t>w</w:t>
      </w:r>
      <w:r>
        <w:rPr>
          <w:rFonts w:cs="Times New Roman"/>
          <w:i/>
          <w:iCs/>
          <w:color w:val="000000" w:themeColor="text1"/>
          <w:szCs w:val="21"/>
          <w14:textFill>
            <w14:solidFill>
              <w14:schemeClr w14:val="tx1"/>
            </w14:solidFill>
          </w14:textFill>
        </w:rPr>
        <w:t>th</w:t>
      </w:r>
      <w:r>
        <w:rPr>
          <w:rFonts w:hint="eastAsia" w:cs="Times New Roman"/>
          <w:color w:val="000000" w:themeColor="text1"/>
          <w14:textFill>
            <w14:solidFill>
              <w14:schemeClr w14:val="tx1"/>
            </w14:solidFill>
          </w14:textFill>
        </w:rPr>
        <w:t>）等</w:t>
      </w:r>
      <w:r>
        <w:rPr>
          <w:rStyle w:val="15"/>
          <w:rFonts w:cs="Times New Roman"/>
          <w:color w:val="000000" w:themeColor="text1"/>
          <w14:textFill>
            <w14:solidFill>
              <w14:schemeClr w14:val="tx1"/>
            </w14:solidFill>
          </w14:textFill>
        </w:rPr>
        <w:footnoteReference w:id="10"/>
      </w:r>
      <w:r>
        <w:rPr>
          <w:rFonts w:hint="eastAsia" w:cs="Times New Roman"/>
          <w:color w:val="000000" w:themeColor="text1"/>
          <w14:textFill>
            <w14:solidFill>
              <w14:schemeClr w14:val="tx1"/>
            </w14:solidFill>
          </w14:textFill>
        </w:rPr>
        <w:t>，将这样因素依次控制进行回归，结果如表</w:t>
      </w:r>
      <w:r>
        <w:rPr>
          <w:rFonts w:hint="eastAsia" w:ascii="仿宋" w:hAnsi="仿宋" w:cs="仿宋"/>
          <w:color w:val="000000" w:themeColor="text1"/>
          <w14:textFill>
            <w14:solidFill>
              <w14:schemeClr w14:val="tx1"/>
            </w14:solidFill>
          </w14:textFill>
        </w:rPr>
        <w:t>Ⅱ</w:t>
      </w:r>
      <w:r>
        <w:rPr>
          <w:rFonts w:hint="eastAsia" w:cs="Times New Roman"/>
          <w:color w:val="000000" w:themeColor="text1"/>
          <w14:textFill>
            <w14:solidFill>
              <w14:schemeClr w14:val="tx1"/>
            </w14:solidFill>
          </w14:textFill>
        </w:rPr>
        <w:t>4第（1）列至第（7）列所示，在所有回归中城市几何形态系数均显著为负，且系数大小未出现较大波动，说明本文使用的工具变量较为稳健。</w:t>
      </w:r>
    </w:p>
    <w:p>
      <w:pPr>
        <w:ind w:firstLine="420" w:firstLineChars="200"/>
        <w:jc w:val="both"/>
        <w:rPr>
          <w:rFonts w:cs="Times New Roman"/>
          <w:color w:val="000000" w:themeColor="text1"/>
          <w14:textFill>
            <w14:solidFill>
              <w14:schemeClr w14:val="tx1"/>
            </w14:solidFill>
          </w14:textFill>
        </w:rPr>
      </w:pPr>
    </w:p>
    <w:p>
      <w:pPr>
        <w:ind w:firstLine="360" w:firstLineChars="200"/>
        <w:jc w:val="center"/>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表II4 控制额外的地理变量（工具变量回归第二阶段）</w:t>
      </w:r>
    </w:p>
    <w:tbl>
      <w:tblPr>
        <w:tblStyle w:val="12"/>
        <w:tblW w:w="9072" w:type="dxa"/>
        <w:jc w:val="center"/>
        <w:tblLayout w:type="fixed"/>
        <w:tblCellMar>
          <w:top w:w="0" w:type="dxa"/>
          <w:left w:w="75" w:type="dxa"/>
          <w:bottom w:w="0" w:type="dxa"/>
          <w:right w:w="75" w:type="dxa"/>
        </w:tblCellMar>
      </w:tblPr>
      <w:tblGrid>
        <w:gridCol w:w="1342"/>
        <w:gridCol w:w="967"/>
        <w:gridCol w:w="968"/>
        <w:gridCol w:w="968"/>
        <w:gridCol w:w="968"/>
        <w:gridCol w:w="968"/>
        <w:gridCol w:w="1043"/>
        <w:gridCol w:w="1043"/>
        <w:gridCol w:w="805"/>
      </w:tblGrid>
      <w:tr>
        <w:tblPrEx>
          <w:tblCellMar>
            <w:top w:w="0" w:type="dxa"/>
            <w:left w:w="75" w:type="dxa"/>
            <w:bottom w:w="0" w:type="dxa"/>
            <w:right w:w="75" w:type="dxa"/>
          </w:tblCellMar>
        </w:tblPrEx>
        <w:trPr>
          <w:jc w:val="center"/>
        </w:trPr>
        <w:tc>
          <w:tcPr>
            <w:tcW w:w="1342" w:type="dxa"/>
            <w:tcBorders>
              <w:top w:val="single" w:color="auto" w:sz="6" w:space="0"/>
              <w:left w:val="nil"/>
              <w:right w:val="nil"/>
            </w:tcBorders>
          </w:tcPr>
          <w:p>
            <w:pPr>
              <w:autoSpaceDE w:val="0"/>
              <w:autoSpaceDN w:val="0"/>
              <w:adjustRightInd w:val="0"/>
              <w:jc w:val="both"/>
              <w:rPr>
                <w:rFonts w:cs="Times New Roman"/>
                <w:color w:val="000000" w:themeColor="text1"/>
                <w:sz w:val="18"/>
                <w:szCs w:val="18"/>
                <w14:textFill>
                  <w14:solidFill>
                    <w14:schemeClr w14:val="tx1"/>
                  </w14:solidFill>
                </w14:textFill>
              </w:rPr>
            </w:pPr>
          </w:p>
        </w:tc>
        <w:tc>
          <w:tcPr>
            <w:tcW w:w="7730" w:type="dxa"/>
            <w:gridSpan w:val="8"/>
            <w:tcBorders>
              <w:top w:val="single" w:color="auto" w:sz="6" w:space="0"/>
              <w:left w:val="nil"/>
              <w:bottom w:val="single" w:color="auto" w:sz="6" w:space="0"/>
              <w:right w:val="nil"/>
            </w:tcBorders>
          </w:tcPr>
          <w:p>
            <w:pPr>
              <w:autoSpaceDE w:val="0"/>
              <w:autoSpaceDN w:val="0"/>
              <w:adjustRightInd w:val="0"/>
              <w:jc w:val="center"/>
              <w:rPr>
                <w:rFonts w:cs="Times New Roman"/>
                <w:color w:val="000000" w:themeColor="text1"/>
                <w:sz w:val="18"/>
                <w:szCs w:val="18"/>
                <w14:textFill>
                  <w14:solidFill>
                    <w14:schemeClr w14:val="tx1"/>
                  </w14:solidFill>
                </w14:textFill>
              </w:rPr>
            </w:pPr>
            <w:r>
              <w:rPr>
                <w:rFonts w:hint="eastAsia" w:cs="Times New Roman"/>
                <w:color w:val="000000" w:themeColor="text1"/>
                <w:sz w:val="18"/>
                <w:szCs w:val="18"/>
                <w14:textFill>
                  <w14:solidFill>
                    <w14:schemeClr w14:val="tx1"/>
                  </w14:solidFill>
                </w14:textFill>
              </w:rPr>
              <w:t>被解释变量：</w:t>
            </w:r>
            <w:r>
              <w:rPr>
                <w:rFonts w:cs="Times New Roman"/>
                <w:i/>
                <w:iCs/>
                <w:color w:val="000000" w:themeColor="text1"/>
                <w:sz w:val="18"/>
                <w:szCs w:val="18"/>
                <w14:textFill>
                  <w14:solidFill>
                    <w14:schemeClr w14:val="tx1"/>
                  </w14:solidFill>
                </w14:textFill>
              </w:rPr>
              <w:t>Δln</w:t>
            </w:r>
            <w:r>
              <w:rPr>
                <w:rFonts w:hint="eastAsia" w:cs="Times New Roman"/>
                <w:i/>
                <w:iCs/>
                <w:color w:val="000000" w:themeColor="text1"/>
                <w:sz w:val="18"/>
                <w:szCs w:val="18"/>
                <w14:textFill>
                  <w14:solidFill>
                    <w14:schemeClr w14:val="tx1"/>
                  </w14:solidFill>
                </w14:textFill>
              </w:rPr>
              <w:t>pop</w:t>
            </w:r>
            <w:r>
              <w:rPr>
                <w:rFonts w:cs="Times New Roman"/>
                <w:color w:val="000000" w:themeColor="text1"/>
                <w:sz w:val="18"/>
                <w:szCs w:val="18"/>
                <w14:textFill>
                  <w14:solidFill>
                    <w14:schemeClr w14:val="tx1"/>
                  </w14:solidFill>
                </w14:textFill>
              </w:rPr>
              <w:t>(2000-2015)</w:t>
            </w:r>
          </w:p>
        </w:tc>
      </w:tr>
      <w:tr>
        <w:tblPrEx>
          <w:tblCellMar>
            <w:top w:w="0" w:type="dxa"/>
            <w:left w:w="75" w:type="dxa"/>
            <w:bottom w:w="0" w:type="dxa"/>
            <w:right w:w="75" w:type="dxa"/>
          </w:tblCellMar>
        </w:tblPrEx>
        <w:trPr>
          <w:jc w:val="center"/>
        </w:trPr>
        <w:tc>
          <w:tcPr>
            <w:tcW w:w="1342" w:type="dxa"/>
            <w:tcBorders>
              <w:left w:val="nil"/>
              <w:bottom w:val="single" w:color="auto" w:sz="6" w:space="0"/>
              <w:right w:val="nil"/>
            </w:tcBorders>
          </w:tcPr>
          <w:p>
            <w:pPr>
              <w:autoSpaceDE w:val="0"/>
              <w:autoSpaceDN w:val="0"/>
              <w:adjustRightInd w:val="0"/>
              <w:jc w:val="both"/>
              <w:rPr>
                <w:rFonts w:cs="Times New Roman"/>
                <w:color w:val="000000" w:themeColor="text1"/>
                <w:sz w:val="18"/>
                <w:szCs w:val="18"/>
                <w14:textFill>
                  <w14:solidFill>
                    <w14:schemeClr w14:val="tx1"/>
                  </w14:solidFill>
                </w14:textFill>
              </w:rPr>
            </w:pPr>
            <w:r>
              <w:rPr>
                <w:rFonts w:hint="eastAsia" w:cs="Times New Roman"/>
                <w:color w:val="000000" w:themeColor="text1"/>
                <w:sz w:val="18"/>
                <w:szCs w:val="18"/>
                <w14:textFill>
                  <w14:solidFill>
                    <w14:schemeClr w14:val="tx1"/>
                  </w14:solidFill>
                </w14:textFill>
              </w:rPr>
              <w:t>解释变量</w:t>
            </w:r>
          </w:p>
        </w:tc>
        <w:tc>
          <w:tcPr>
            <w:tcW w:w="967" w:type="dxa"/>
            <w:tcBorders>
              <w:top w:val="single" w:color="auto" w:sz="6" w:space="0"/>
              <w:left w:val="nil"/>
              <w:bottom w:val="single" w:color="auto" w:sz="6" w:space="0"/>
              <w:right w:val="nil"/>
            </w:tcBorders>
          </w:tcPr>
          <w:p>
            <w:pPr>
              <w:autoSpaceDE w:val="0"/>
              <w:autoSpaceDN w:val="0"/>
              <w:adjustRightInd w:val="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(1)</w:t>
            </w:r>
          </w:p>
        </w:tc>
        <w:tc>
          <w:tcPr>
            <w:tcW w:w="968" w:type="dxa"/>
            <w:tcBorders>
              <w:top w:val="single" w:color="auto" w:sz="6" w:space="0"/>
              <w:left w:val="nil"/>
              <w:bottom w:val="single" w:color="auto" w:sz="6" w:space="0"/>
              <w:right w:val="nil"/>
            </w:tcBorders>
          </w:tcPr>
          <w:p>
            <w:pPr>
              <w:autoSpaceDE w:val="0"/>
              <w:autoSpaceDN w:val="0"/>
              <w:adjustRightInd w:val="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(2)</w:t>
            </w:r>
          </w:p>
        </w:tc>
        <w:tc>
          <w:tcPr>
            <w:tcW w:w="968" w:type="dxa"/>
            <w:tcBorders>
              <w:top w:val="single" w:color="auto" w:sz="6" w:space="0"/>
              <w:left w:val="nil"/>
              <w:bottom w:val="single" w:color="auto" w:sz="6" w:space="0"/>
              <w:right w:val="nil"/>
            </w:tcBorders>
          </w:tcPr>
          <w:p>
            <w:pPr>
              <w:autoSpaceDE w:val="0"/>
              <w:autoSpaceDN w:val="0"/>
              <w:adjustRightInd w:val="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(3)</w:t>
            </w:r>
          </w:p>
        </w:tc>
        <w:tc>
          <w:tcPr>
            <w:tcW w:w="968" w:type="dxa"/>
            <w:tcBorders>
              <w:top w:val="single" w:color="auto" w:sz="6" w:space="0"/>
              <w:left w:val="nil"/>
              <w:bottom w:val="single" w:color="auto" w:sz="6" w:space="0"/>
              <w:right w:val="nil"/>
            </w:tcBorders>
          </w:tcPr>
          <w:p>
            <w:pPr>
              <w:autoSpaceDE w:val="0"/>
              <w:autoSpaceDN w:val="0"/>
              <w:adjustRightInd w:val="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(4)</w:t>
            </w:r>
          </w:p>
        </w:tc>
        <w:tc>
          <w:tcPr>
            <w:tcW w:w="968" w:type="dxa"/>
            <w:tcBorders>
              <w:top w:val="single" w:color="auto" w:sz="6" w:space="0"/>
              <w:left w:val="nil"/>
              <w:bottom w:val="single" w:color="auto" w:sz="6" w:space="0"/>
              <w:right w:val="nil"/>
            </w:tcBorders>
          </w:tcPr>
          <w:p>
            <w:pPr>
              <w:autoSpaceDE w:val="0"/>
              <w:autoSpaceDN w:val="0"/>
              <w:adjustRightInd w:val="0"/>
              <w:jc w:val="center"/>
              <w:rPr>
                <w:rFonts w:cs="Times New Roman"/>
                <w:color w:val="000000" w:themeColor="text1"/>
                <w:sz w:val="18"/>
                <w:szCs w:val="18"/>
                <w14:textFill>
                  <w14:solidFill>
                    <w14:schemeClr w14:val="tx1"/>
                  </w14:solidFill>
                </w14:textFill>
              </w:rPr>
            </w:pPr>
            <w:r>
              <w:rPr>
                <w:rFonts w:hint="eastAsia" w:cs="Times New Roman"/>
                <w:color w:val="000000" w:themeColor="text1"/>
                <w:sz w:val="18"/>
                <w:szCs w:val="18"/>
                <w14:textFill>
                  <w14:solidFill>
                    <w14:schemeClr w14:val="tx1"/>
                  </w14:solidFill>
                </w14:textFill>
              </w:rPr>
              <w:t>(</w:t>
            </w:r>
            <w:r>
              <w:rPr>
                <w:rFonts w:cs="Times New Roman"/>
                <w:color w:val="000000" w:themeColor="text1"/>
                <w:sz w:val="18"/>
                <w:szCs w:val="18"/>
                <w14:textFill>
                  <w14:solidFill>
                    <w14:schemeClr w14:val="tx1"/>
                  </w14:solidFill>
                </w14:textFill>
              </w:rPr>
              <w:t>5)</w:t>
            </w:r>
          </w:p>
        </w:tc>
        <w:tc>
          <w:tcPr>
            <w:tcW w:w="1043" w:type="dxa"/>
            <w:tcBorders>
              <w:top w:val="single" w:color="auto" w:sz="6" w:space="0"/>
              <w:left w:val="nil"/>
              <w:bottom w:val="single" w:color="auto" w:sz="6" w:space="0"/>
              <w:right w:val="nil"/>
            </w:tcBorders>
          </w:tcPr>
          <w:p>
            <w:pPr>
              <w:autoSpaceDE w:val="0"/>
              <w:autoSpaceDN w:val="0"/>
              <w:adjustRightInd w:val="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(6)</w:t>
            </w:r>
          </w:p>
        </w:tc>
        <w:tc>
          <w:tcPr>
            <w:tcW w:w="1043" w:type="dxa"/>
            <w:tcBorders>
              <w:top w:val="single" w:color="auto" w:sz="6" w:space="0"/>
              <w:left w:val="nil"/>
              <w:bottom w:val="single" w:color="auto" w:sz="6" w:space="0"/>
              <w:right w:val="nil"/>
            </w:tcBorders>
          </w:tcPr>
          <w:p>
            <w:pPr>
              <w:autoSpaceDE w:val="0"/>
              <w:autoSpaceDN w:val="0"/>
              <w:adjustRightInd w:val="0"/>
              <w:jc w:val="center"/>
              <w:rPr>
                <w:rFonts w:cs="Times New Roman"/>
                <w:color w:val="000000" w:themeColor="text1"/>
                <w:sz w:val="18"/>
                <w:szCs w:val="18"/>
                <w14:textFill>
                  <w14:solidFill>
                    <w14:schemeClr w14:val="tx1"/>
                  </w14:solidFill>
                </w14:textFill>
              </w:rPr>
            </w:pPr>
            <w:r>
              <w:rPr>
                <w:rFonts w:hint="eastAsia" w:cs="Times New Roman"/>
                <w:color w:val="000000" w:themeColor="text1"/>
                <w:sz w:val="18"/>
                <w:szCs w:val="18"/>
                <w14:textFill>
                  <w14:solidFill>
                    <w14:schemeClr w14:val="tx1"/>
                  </w14:solidFill>
                </w14:textFill>
              </w:rPr>
              <w:t>(</w:t>
            </w:r>
            <w:r>
              <w:rPr>
                <w:rFonts w:cs="Times New Roman"/>
                <w:color w:val="000000" w:themeColor="text1"/>
                <w:sz w:val="18"/>
                <w:szCs w:val="18"/>
                <w14:textFill>
                  <w14:solidFill>
                    <w14:schemeClr w14:val="tx1"/>
                  </w14:solidFill>
                </w14:textFill>
              </w:rPr>
              <w:t>7)</w:t>
            </w:r>
          </w:p>
        </w:tc>
        <w:tc>
          <w:tcPr>
            <w:tcW w:w="805" w:type="dxa"/>
            <w:tcBorders>
              <w:top w:val="single" w:color="auto" w:sz="6" w:space="0"/>
              <w:left w:val="nil"/>
              <w:bottom w:val="single" w:color="auto" w:sz="6" w:space="0"/>
              <w:right w:val="nil"/>
            </w:tcBorders>
          </w:tcPr>
          <w:p>
            <w:pPr>
              <w:autoSpaceDE w:val="0"/>
              <w:autoSpaceDN w:val="0"/>
              <w:adjustRightInd w:val="0"/>
              <w:jc w:val="center"/>
              <w:rPr>
                <w:rFonts w:cs="Times New Roman"/>
                <w:color w:val="000000" w:themeColor="text1"/>
                <w:sz w:val="18"/>
                <w:szCs w:val="18"/>
                <w14:textFill>
                  <w14:solidFill>
                    <w14:schemeClr w14:val="tx1"/>
                  </w14:solidFill>
                </w14:textFill>
              </w:rPr>
            </w:pPr>
            <w:r>
              <w:rPr>
                <w:rFonts w:hint="eastAsia" w:cs="Times New Roman"/>
                <w:color w:val="000000" w:themeColor="text1"/>
                <w:sz w:val="18"/>
                <w:szCs w:val="18"/>
                <w14:textFill>
                  <w14:solidFill>
                    <w14:schemeClr w14:val="tx1"/>
                  </w14:solidFill>
                </w14:textFill>
              </w:rPr>
              <w:t>(</w:t>
            </w:r>
            <w:r>
              <w:rPr>
                <w:rFonts w:cs="Times New Roman"/>
                <w:color w:val="000000" w:themeColor="text1"/>
                <w:sz w:val="18"/>
                <w:szCs w:val="18"/>
                <w14:textFill>
                  <w14:solidFill>
                    <w14:schemeClr w14:val="tx1"/>
                  </w14:solidFill>
                </w14:textFill>
              </w:rPr>
              <w:t>8)</w:t>
            </w:r>
          </w:p>
        </w:tc>
      </w:tr>
      <w:tr>
        <w:tblPrEx>
          <w:tblCellMar>
            <w:top w:w="0" w:type="dxa"/>
            <w:left w:w="75" w:type="dxa"/>
            <w:bottom w:w="0" w:type="dxa"/>
            <w:right w:w="75" w:type="dxa"/>
          </w:tblCellMar>
        </w:tblPrEx>
        <w:trPr>
          <w:jc w:val="center"/>
        </w:trPr>
        <w:tc>
          <w:tcPr>
            <w:tcW w:w="1342" w:type="dxa"/>
          </w:tcPr>
          <w:p>
            <w:pPr>
              <w:autoSpaceDE w:val="0"/>
              <w:autoSpaceDN w:val="0"/>
              <w:adjustRightInd w:val="0"/>
              <w:jc w:val="both"/>
              <w:rPr>
                <w:rFonts w:cs="Times New Roman"/>
                <w:i/>
                <w:iCs/>
                <w:color w:val="000000" w:themeColor="text1"/>
                <w:sz w:val="18"/>
                <w:szCs w:val="18"/>
                <w14:textFill>
                  <w14:solidFill>
                    <w14:schemeClr w14:val="tx1"/>
                  </w14:solidFill>
                </w14:textFill>
              </w:rPr>
            </w:pPr>
            <w:r>
              <w:rPr>
                <w:rFonts w:cs="Times New Roman"/>
                <w:i/>
                <w:iCs/>
                <w:color w:val="000000" w:themeColor="text1"/>
                <w:sz w:val="18"/>
                <w:szCs w:val="18"/>
                <w14:textFill>
                  <w14:solidFill>
                    <w14:schemeClr w14:val="tx1"/>
                  </w14:solidFill>
                </w14:textFill>
              </w:rPr>
              <w:t>Δurbanshape</w:t>
            </w:r>
          </w:p>
        </w:tc>
        <w:tc>
          <w:tcPr>
            <w:tcW w:w="967" w:type="dxa"/>
          </w:tcPr>
          <w:p>
            <w:pPr>
              <w:autoSpaceDE w:val="0"/>
              <w:autoSpaceDN w:val="0"/>
              <w:adjustRightInd w:val="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-0.1548**</w:t>
            </w:r>
          </w:p>
        </w:tc>
        <w:tc>
          <w:tcPr>
            <w:tcW w:w="968" w:type="dxa"/>
          </w:tcPr>
          <w:p>
            <w:pPr>
              <w:autoSpaceDE w:val="0"/>
              <w:autoSpaceDN w:val="0"/>
              <w:adjustRightInd w:val="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-0.1504**</w:t>
            </w:r>
          </w:p>
        </w:tc>
        <w:tc>
          <w:tcPr>
            <w:tcW w:w="968" w:type="dxa"/>
          </w:tcPr>
          <w:p>
            <w:pPr>
              <w:autoSpaceDE w:val="0"/>
              <w:autoSpaceDN w:val="0"/>
              <w:adjustRightInd w:val="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-0.1245**</w:t>
            </w:r>
          </w:p>
        </w:tc>
        <w:tc>
          <w:tcPr>
            <w:tcW w:w="968" w:type="dxa"/>
          </w:tcPr>
          <w:p>
            <w:pPr>
              <w:autoSpaceDE w:val="0"/>
              <w:autoSpaceDN w:val="0"/>
              <w:adjustRightInd w:val="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-0.1116*</w:t>
            </w:r>
          </w:p>
        </w:tc>
        <w:tc>
          <w:tcPr>
            <w:tcW w:w="968" w:type="dxa"/>
          </w:tcPr>
          <w:p>
            <w:pPr>
              <w:autoSpaceDE w:val="0"/>
              <w:autoSpaceDN w:val="0"/>
              <w:adjustRightInd w:val="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-0.1508**</w:t>
            </w:r>
          </w:p>
        </w:tc>
        <w:tc>
          <w:tcPr>
            <w:tcW w:w="1043" w:type="dxa"/>
          </w:tcPr>
          <w:p>
            <w:pPr>
              <w:autoSpaceDE w:val="0"/>
              <w:autoSpaceDN w:val="0"/>
              <w:adjustRightInd w:val="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-0.1223*</w:t>
            </w:r>
          </w:p>
        </w:tc>
        <w:tc>
          <w:tcPr>
            <w:tcW w:w="1043" w:type="dxa"/>
          </w:tcPr>
          <w:p>
            <w:pPr>
              <w:autoSpaceDE w:val="0"/>
              <w:autoSpaceDN w:val="0"/>
              <w:adjustRightInd w:val="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-0.1313*</w:t>
            </w:r>
          </w:p>
        </w:tc>
        <w:tc>
          <w:tcPr>
            <w:tcW w:w="805" w:type="dxa"/>
          </w:tcPr>
          <w:p>
            <w:pPr>
              <w:autoSpaceDE w:val="0"/>
              <w:autoSpaceDN w:val="0"/>
              <w:adjustRightInd w:val="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-0.1867**</w:t>
            </w:r>
          </w:p>
        </w:tc>
      </w:tr>
      <w:tr>
        <w:tblPrEx>
          <w:tblCellMar>
            <w:top w:w="0" w:type="dxa"/>
            <w:left w:w="75" w:type="dxa"/>
            <w:bottom w:w="0" w:type="dxa"/>
            <w:right w:w="75" w:type="dxa"/>
          </w:tblCellMar>
        </w:tblPrEx>
        <w:trPr>
          <w:jc w:val="center"/>
        </w:trPr>
        <w:tc>
          <w:tcPr>
            <w:tcW w:w="1342" w:type="dxa"/>
          </w:tcPr>
          <w:p>
            <w:pPr>
              <w:autoSpaceDE w:val="0"/>
              <w:autoSpaceDN w:val="0"/>
              <w:adjustRightInd w:val="0"/>
              <w:jc w:val="both"/>
              <w:rPr>
                <w:rFonts w:cs="Times New Roman"/>
                <w:color w:val="000000" w:themeColor="text1"/>
                <w:sz w:val="18"/>
                <w:szCs w:val="18"/>
                <w14:textFill>
                  <w14:solidFill>
                    <w14:schemeClr w14:val="tx1"/>
                  </w14:solidFill>
                </w14:textFill>
              </w:rPr>
            </w:pPr>
          </w:p>
        </w:tc>
        <w:tc>
          <w:tcPr>
            <w:tcW w:w="967" w:type="dxa"/>
          </w:tcPr>
          <w:p>
            <w:pPr>
              <w:autoSpaceDE w:val="0"/>
              <w:autoSpaceDN w:val="0"/>
              <w:adjustRightInd w:val="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(0.0673)</w:t>
            </w:r>
          </w:p>
        </w:tc>
        <w:tc>
          <w:tcPr>
            <w:tcW w:w="968" w:type="dxa"/>
          </w:tcPr>
          <w:p>
            <w:pPr>
              <w:autoSpaceDE w:val="0"/>
              <w:autoSpaceDN w:val="0"/>
              <w:adjustRightInd w:val="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(0.0662)</w:t>
            </w:r>
          </w:p>
        </w:tc>
        <w:tc>
          <w:tcPr>
            <w:tcW w:w="968" w:type="dxa"/>
          </w:tcPr>
          <w:p>
            <w:pPr>
              <w:autoSpaceDE w:val="0"/>
              <w:autoSpaceDN w:val="0"/>
              <w:adjustRightInd w:val="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(0.0635)</w:t>
            </w:r>
          </w:p>
        </w:tc>
        <w:tc>
          <w:tcPr>
            <w:tcW w:w="968" w:type="dxa"/>
          </w:tcPr>
          <w:p>
            <w:pPr>
              <w:autoSpaceDE w:val="0"/>
              <w:autoSpaceDN w:val="0"/>
              <w:adjustRightInd w:val="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(0.0645)</w:t>
            </w:r>
          </w:p>
        </w:tc>
        <w:tc>
          <w:tcPr>
            <w:tcW w:w="968" w:type="dxa"/>
          </w:tcPr>
          <w:p>
            <w:pPr>
              <w:autoSpaceDE w:val="0"/>
              <w:autoSpaceDN w:val="0"/>
              <w:adjustRightInd w:val="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(0.0706)</w:t>
            </w:r>
          </w:p>
        </w:tc>
        <w:tc>
          <w:tcPr>
            <w:tcW w:w="1043" w:type="dxa"/>
          </w:tcPr>
          <w:p>
            <w:pPr>
              <w:autoSpaceDE w:val="0"/>
              <w:autoSpaceDN w:val="0"/>
              <w:adjustRightInd w:val="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(0.0667)</w:t>
            </w:r>
          </w:p>
        </w:tc>
        <w:tc>
          <w:tcPr>
            <w:tcW w:w="1043" w:type="dxa"/>
          </w:tcPr>
          <w:p>
            <w:pPr>
              <w:autoSpaceDE w:val="0"/>
              <w:autoSpaceDN w:val="0"/>
              <w:adjustRightInd w:val="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(0.0670)</w:t>
            </w:r>
          </w:p>
        </w:tc>
        <w:tc>
          <w:tcPr>
            <w:tcW w:w="805" w:type="dxa"/>
          </w:tcPr>
          <w:p>
            <w:pPr>
              <w:autoSpaceDE w:val="0"/>
              <w:autoSpaceDN w:val="0"/>
              <w:adjustRightInd w:val="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(0.0823)</w:t>
            </w:r>
          </w:p>
        </w:tc>
      </w:tr>
      <w:tr>
        <w:tblPrEx>
          <w:tblCellMar>
            <w:top w:w="0" w:type="dxa"/>
            <w:left w:w="75" w:type="dxa"/>
            <w:bottom w:w="0" w:type="dxa"/>
            <w:right w:w="75" w:type="dxa"/>
          </w:tblCellMar>
        </w:tblPrEx>
        <w:trPr>
          <w:jc w:val="center"/>
        </w:trPr>
        <w:tc>
          <w:tcPr>
            <w:tcW w:w="1342" w:type="dxa"/>
          </w:tcPr>
          <w:p>
            <w:pPr>
              <w:autoSpaceDE w:val="0"/>
              <w:autoSpaceDN w:val="0"/>
              <w:adjustRightInd w:val="0"/>
              <w:jc w:val="both"/>
              <w:rPr>
                <w:rFonts w:cs="Times New Roman"/>
                <w:color w:val="000000" w:themeColor="text1"/>
                <w:sz w:val="18"/>
                <w:szCs w:val="18"/>
                <w14:textFill>
                  <w14:solidFill>
                    <w14:schemeClr w14:val="tx1"/>
                  </w14:solidFill>
                </w14:textFill>
              </w:rPr>
            </w:pPr>
            <w:r>
              <w:rPr>
                <w:rFonts w:cs="Times New Roman"/>
                <w:i/>
                <w:iCs/>
                <w:color w:val="000000" w:themeColor="text1"/>
                <w:sz w:val="18"/>
                <w:szCs w:val="18"/>
                <w14:textFill>
                  <w14:solidFill>
                    <w14:schemeClr w14:val="tx1"/>
                  </w14:solidFill>
                </w14:textFill>
              </w:rPr>
              <w:t>Δlnarea</w:t>
            </w:r>
          </w:p>
        </w:tc>
        <w:tc>
          <w:tcPr>
            <w:tcW w:w="967" w:type="dxa"/>
          </w:tcPr>
          <w:p>
            <w:pPr>
              <w:autoSpaceDE w:val="0"/>
              <w:autoSpaceDN w:val="0"/>
              <w:adjustRightInd w:val="0"/>
              <w:jc w:val="center"/>
              <w:rPr>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1.4344***</w:t>
            </w:r>
          </w:p>
        </w:tc>
        <w:tc>
          <w:tcPr>
            <w:tcW w:w="968" w:type="dxa"/>
          </w:tcPr>
          <w:p>
            <w:pPr>
              <w:autoSpaceDE w:val="0"/>
              <w:autoSpaceDN w:val="0"/>
              <w:adjustRightInd w:val="0"/>
              <w:jc w:val="center"/>
              <w:rPr>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1.4283***</w:t>
            </w:r>
          </w:p>
        </w:tc>
        <w:tc>
          <w:tcPr>
            <w:tcW w:w="968" w:type="dxa"/>
          </w:tcPr>
          <w:p>
            <w:pPr>
              <w:autoSpaceDE w:val="0"/>
              <w:autoSpaceDN w:val="0"/>
              <w:adjustRightInd w:val="0"/>
              <w:jc w:val="center"/>
              <w:rPr>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1.4090***</w:t>
            </w:r>
          </w:p>
        </w:tc>
        <w:tc>
          <w:tcPr>
            <w:tcW w:w="968" w:type="dxa"/>
          </w:tcPr>
          <w:p>
            <w:pPr>
              <w:autoSpaceDE w:val="0"/>
              <w:autoSpaceDN w:val="0"/>
              <w:adjustRightInd w:val="0"/>
              <w:jc w:val="center"/>
              <w:rPr>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1.3495***</w:t>
            </w:r>
          </w:p>
        </w:tc>
        <w:tc>
          <w:tcPr>
            <w:tcW w:w="968" w:type="dxa"/>
          </w:tcPr>
          <w:p>
            <w:pPr>
              <w:autoSpaceDE w:val="0"/>
              <w:autoSpaceDN w:val="0"/>
              <w:adjustRightInd w:val="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1.4518***</w:t>
            </w:r>
          </w:p>
        </w:tc>
        <w:tc>
          <w:tcPr>
            <w:tcW w:w="1043" w:type="dxa"/>
          </w:tcPr>
          <w:p>
            <w:pPr>
              <w:autoSpaceDE w:val="0"/>
              <w:autoSpaceDN w:val="0"/>
              <w:adjustRightInd w:val="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1.3714***</w:t>
            </w:r>
          </w:p>
        </w:tc>
        <w:tc>
          <w:tcPr>
            <w:tcW w:w="1043" w:type="dxa"/>
          </w:tcPr>
          <w:p>
            <w:pPr>
              <w:autoSpaceDE w:val="0"/>
              <w:autoSpaceDN w:val="0"/>
              <w:adjustRightInd w:val="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1.3966***</w:t>
            </w:r>
          </w:p>
        </w:tc>
        <w:tc>
          <w:tcPr>
            <w:tcW w:w="805" w:type="dxa"/>
          </w:tcPr>
          <w:p>
            <w:pPr>
              <w:autoSpaceDE w:val="0"/>
              <w:autoSpaceDN w:val="0"/>
              <w:adjustRightInd w:val="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1.5755***</w:t>
            </w:r>
          </w:p>
        </w:tc>
      </w:tr>
      <w:tr>
        <w:tblPrEx>
          <w:tblCellMar>
            <w:top w:w="0" w:type="dxa"/>
            <w:left w:w="75" w:type="dxa"/>
            <w:bottom w:w="0" w:type="dxa"/>
            <w:right w:w="75" w:type="dxa"/>
          </w:tblCellMar>
        </w:tblPrEx>
        <w:trPr>
          <w:jc w:val="center"/>
        </w:trPr>
        <w:tc>
          <w:tcPr>
            <w:tcW w:w="1342" w:type="dxa"/>
          </w:tcPr>
          <w:p>
            <w:pPr>
              <w:autoSpaceDE w:val="0"/>
              <w:autoSpaceDN w:val="0"/>
              <w:adjustRightInd w:val="0"/>
              <w:jc w:val="both"/>
              <w:rPr>
                <w:rFonts w:cs="Times New Roman"/>
                <w:color w:val="000000" w:themeColor="text1"/>
                <w:sz w:val="18"/>
                <w:szCs w:val="18"/>
                <w14:textFill>
                  <w14:solidFill>
                    <w14:schemeClr w14:val="tx1"/>
                  </w14:solidFill>
                </w14:textFill>
              </w:rPr>
            </w:pPr>
          </w:p>
        </w:tc>
        <w:tc>
          <w:tcPr>
            <w:tcW w:w="967" w:type="dxa"/>
          </w:tcPr>
          <w:p>
            <w:pPr>
              <w:autoSpaceDE w:val="0"/>
              <w:autoSpaceDN w:val="0"/>
              <w:adjustRightInd w:val="0"/>
              <w:jc w:val="center"/>
              <w:rPr>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(0.3059)</w:t>
            </w:r>
          </w:p>
        </w:tc>
        <w:tc>
          <w:tcPr>
            <w:tcW w:w="968" w:type="dxa"/>
          </w:tcPr>
          <w:p>
            <w:pPr>
              <w:autoSpaceDE w:val="0"/>
              <w:autoSpaceDN w:val="0"/>
              <w:adjustRightInd w:val="0"/>
              <w:jc w:val="center"/>
              <w:rPr>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(0.3079)</w:t>
            </w:r>
          </w:p>
        </w:tc>
        <w:tc>
          <w:tcPr>
            <w:tcW w:w="968" w:type="dxa"/>
          </w:tcPr>
          <w:p>
            <w:pPr>
              <w:autoSpaceDE w:val="0"/>
              <w:autoSpaceDN w:val="0"/>
              <w:adjustRightInd w:val="0"/>
              <w:jc w:val="center"/>
              <w:rPr>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(0.3032)</w:t>
            </w:r>
          </w:p>
        </w:tc>
        <w:tc>
          <w:tcPr>
            <w:tcW w:w="968" w:type="dxa"/>
          </w:tcPr>
          <w:p>
            <w:pPr>
              <w:autoSpaceDE w:val="0"/>
              <w:autoSpaceDN w:val="0"/>
              <w:adjustRightInd w:val="0"/>
              <w:jc w:val="center"/>
              <w:rPr>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(0.2891)</w:t>
            </w:r>
          </w:p>
        </w:tc>
        <w:tc>
          <w:tcPr>
            <w:tcW w:w="968" w:type="dxa"/>
          </w:tcPr>
          <w:p>
            <w:pPr>
              <w:autoSpaceDE w:val="0"/>
              <w:autoSpaceDN w:val="0"/>
              <w:adjustRightInd w:val="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(0.3094)</w:t>
            </w:r>
          </w:p>
        </w:tc>
        <w:tc>
          <w:tcPr>
            <w:tcW w:w="1043" w:type="dxa"/>
          </w:tcPr>
          <w:p>
            <w:pPr>
              <w:autoSpaceDE w:val="0"/>
              <w:autoSpaceDN w:val="0"/>
              <w:adjustRightInd w:val="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(0.3004)</w:t>
            </w:r>
          </w:p>
        </w:tc>
        <w:tc>
          <w:tcPr>
            <w:tcW w:w="1043" w:type="dxa"/>
          </w:tcPr>
          <w:p>
            <w:pPr>
              <w:autoSpaceDE w:val="0"/>
              <w:autoSpaceDN w:val="0"/>
              <w:adjustRightInd w:val="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(0.3117)</w:t>
            </w:r>
          </w:p>
        </w:tc>
        <w:tc>
          <w:tcPr>
            <w:tcW w:w="805" w:type="dxa"/>
          </w:tcPr>
          <w:p>
            <w:pPr>
              <w:autoSpaceDE w:val="0"/>
              <w:autoSpaceDN w:val="0"/>
              <w:adjustRightInd w:val="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(0.3126)</w:t>
            </w:r>
          </w:p>
        </w:tc>
      </w:tr>
      <w:tr>
        <w:tblPrEx>
          <w:tblCellMar>
            <w:top w:w="0" w:type="dxa"/>
            <w:left w:w="75" w:type="dxa"/>
            <w:bottom w:w="0" w:type="dxa"/>
            <w:right w:w="75" w:type="dxa"/>
          </w:tblCellMar>
        </w:tblPrEx>
        <w:trPr>
          <w:jc w:val="center"/>
        </w:trPr>
        <w:tc>
          <w:tcPr>
            <w:tcW w:w="1342" w:type="dxa"/>
          </w:tcPr>
          <w:p>
            <w:pPr>
              <w:autoSpaceDE w:val="0"/>
              <w:autoSpaceDN w:val="0"/>
              <w:adjustRightInd w:val="0"/>
              <w:jc w:val="both"/>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N</w:t>
            </w:r>
          </w:p>
        </w:tc>
        <w:tc>
          <w:tcPr>
            <w:tcW w:w="967" w:type="dxa"/>
          </w:tcPr>
          <w:p>
            <w:pPr>
              <w:autoSpaceDE w:val="0"/>
              <w:autoSpaceDN w:val="0"/>
              <w:adjustRightInd w:val="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250</w:t>
            </w:r>
          </w:p>
        </w:tc>
        <w:tc>
          <w:tcPr>
            <w:tcW w:w="968" w:type="dxa"/>
          </w:tcPr>
          <w:p>
            <w:pPr>
              <w:autoSpaceDE w:val="0"/>
              <w:autoSpaceDN w:val="0"/>
              <w:adjustRightInd w:val="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250</w:t>
            </w:r>
          </w:p>
        </w:tc>
        <w:tc>
          <w:tcPr>
            <w:tcW w:w="968" w:type="dxa"/>
          </w:tcPr>
          <w:p>
            <w:pPr>
              <w:autoSpaceDE w:val="0"/>
              <w:autoSpaceDN w:val="0"/>
              <w:adjustRightInd w:val="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249</w:t>
            </w:r>
          </w:p>
        </w:tc>
        <w:tc>
          <w:tcPr>
            <w:tcW w:w="968" w:type="dxa"/>
          </w:tcPr>
          <w:p>
            <w:pPr>
              <w:autoSpaceDE w:val="0"/>
              <w:autoSpaceDN w:val="0"/>
              <w:adjustRightInd w:val="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25</w:t>
            </w:r>
            <w:r>
              <w:rPr>
                <w:rFonts w:hint="eastAsia" w:cs="Times New Roman"/>
                <w:color w:val="000000" w:themeColor="text1"/>
                <w:sz w:val="18"/>
                <w:szCs w:val="18"/>
                <w14:textFill>
                  <w14:solidFill>
                    <w14:schemeClr w14:val="tx1"/>
                  </w14:solidFill>
                </w14:textFill>
              </w:rPr>
              <w:t>2</w:t>
            </w:r>
          </w:p>
        </w:tc>
        <w:tc>
          <w:tcPr>
            <w:tcW w:w="968" w:type="dxa"/>
          </w:tcPr>
          <w:p>
            <w:pPr>
              <w:autoSpaceDE w:val="0"/>
              <w:autoSpaceDN w:val="0"/>
              <w:adjustRightInd w:val="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2</w:t>
            </w:r>
            <w:r>
              <w:rPr>
                <w:rFonts w:hint="eastAsia" w:cs="Times New Roman"/>
                <w:color w:val="000000" w:themeColor="text1"/>
                <w:sz w:val="18"/>
                <w:szCs w:val="18"/>
                <w14:textFill>
                  <w14:solidFill>
                    <w14:schemeClr w14:val="tx1"/>
                  </w14:solidFill>
                </w14:textFill>
              </w:rPr>
              <w:t>52</w:t>
            </w:r>
          </w:p>
        </w:tc>
        <w:tc>
          <w:tcPr>
            <w:tcW w:w="1043" w:type="dxa"/>
          </w:tcPr>
          <w:p>
            <w:pPr>
              <w:autoSpaceDE w:val="0"/>
              <w:autoSpaceDN w:val="0"/>
              <w:adjustRightInd w:val="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25</w:t>
            </w:r>
            <w:r>
              <w:rPr>
                <w:rFonts w:hint="eastAsia" w:cs="Times New Roman"/>
                <w:color w:val="000000" w:themeColor="text1"/>
                <w:sz w:val="18"/>
                <w:szCs w:val="18"/>
                <w14:textFill>
                  <w14:solidFill>
                    <w14:schemeClr w14:val="tx1"/>
                  </w14:solidFill>
                </w14:textFill>
              </w:rPr>
              <w:t>2</w:t>
            </w:r>
          </w:p>
        </w:tc>
        <w:tc>
          <w:tcPr>
            <w:tcW w:w="1043" w:type="dxa"/>
          </w:tcPr>
          <w:p>
            <w:pPr>
              <w:autoSpaceDE w:val="0"/>
              <w:autoSpaceDN w:val="0"/>
              <w:adjustRightInd w:val="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25</w:t>
            </w:r>
            <w:r>
              <w:rPr>
                <w:rFonts w:hint="eastAsia" w:cs="Times New Roman"/>
                <w:color w:val="000000" w:themeColor="text1"/>
                <w:sz w:val="18"/>
                <w:szCs w:val="18"/>
                <w14:textFill>
                  <w14:solidFill>
                    <w14:schemeClr w14:val="tx1"/>
                  </w14:solidFill>
                </w14:textFill>
              </w:rPr>
              <w:t>2</w:t>
            </w:r>
          </w:p>
        </w:tc>
        <w:tc>
          <w:tcPr>
            <w:tcW w:w="805" w:type="dxa"/>
          </w:tcPr>
          <w:p>
            <w:pPr>
              <w:autoSpaceDE w:val="0"/>
              <w:autoSpaceDN w:val="0"/>
              <w:adjustRightInd w:val="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25</w:t>
            </w:r>
            <w:r>
              <w:rPr>
                <w:rFonts w:hint="eastAsia" w:cs="Times New Roman"/>
                <w:color w:val="000000" w:themeColor="text1"/>
                <w:sz w:val="18"/>
                <w:szCs w:val="18"/>
                <w14:textFill>
                  <w14:solidFill>
                    <w14:schemeClr w14:val="tx1"/>
                  </w14:solidFill>
                </w14:textFill>
              </w:rPr>
              <w:t>2</w:t>
            </w:r>
          </w:p>
        </w:tc>
      </w:tr>
      <w:tr>
        <w:tblPrEx>
          <w:tblCellMar>
            <w:top w:w="0" w:type="dxa"/>
            <w:left w:w="75" w:type="dxa"/>
            <w:bottom w:w="0" w:type="dxa"/>
            <w:right w:w="75" w:type="dxa"/>
          </w:tblCellMar>
        </w:tblPrEx>
        <w:trPr>
          <w:jc w:val="center"/>
        </w:trPr>
        <w:tc>
          <w:tcPr>
            <w:tcW w:w="1342" w:type="dxa"/>
            <w:tcBorders>
              <w:bottom w:val="single" w:color="auto" w:sz="4" w:space="0"/>
            </w:tcBorders>
          </w:tcPr>
          <w:p>
            <w:pPr>
              <w:autoSpaceDE w:val="0"/>
              <w:autoSpaceDN w:val="0"/>
              <w:adjustRightInd w:val="0"/>
              <w:jc w:val="both"/>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Controls</w:t>
            </w:r>
          </w:p>
        </w:tc>
        <w:tc>
          <w:tcPr>
            <w:tcW w:w="967" w:type="dxa"/>
            <w:tcBorders>
              <w:bottom w:val="single" w:color="auto" w:sz="4" w:space="0"/>
            </w:tcBorders>
          </w:tcPr>
          <w:p>
            <w:pPr>
              <w:autoSpaceDE w:val="0"/>
              <w:autoSpaceDN w:val="0"/>
              <w:adjustRightInd w:val="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Y</w:t>
            </w:r>
          </w:p>
        </w:tc>
        <w:tc>
          <w:tcPr>
            <w:tcW w:w="968" w:type="dxa"/>
            <w:tcBorders>
              <w:bottom w:val="single" w:color="auto" w:sz="4" w:space="0"/>
            </w:tcBorders>
          </w:tcPr>
          <w:p>
            <w:pPr>
              <w:autoSpaceDE w:val="0"/>
              <w:autoSpaceDN w:val="0"/>
              <w:adjustRightInd w:val="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Y</w:t>
            </w:r>
          </w:p>
        </w:tc>
        <w:tc>
          <w:tcPr>
            <w:tcW w:w="968" w:type="dxa"/>
            <w:tcBorders>
              <w:bottom w:val="single" w:color="auto" w:sz="4" w:space="0"/>
            </w:tcBorders>
          </w:tcPr>
          <w:p>
            <w:pPr>
              <w:autoSpaceDE w:val="0"/>
              <w:autoSpaceDN w:val="0"/>
              <w:adjustRightInd w:val="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Y</w:t>
            </w:r>
          </w:p>
        </w:tc>
        <w:tc>
          <w:tcPr>
            <w:tcW w:w="968" w:type="dxa"/>
            <w:tcBorders>
              <w:bottom w:val="single" w:color="auto" w:sz="4" w:space="0"/>
            </w:tcBorders>
          </w:tcPr>
          <w:p>
            <w:pPr>
              <w:autoSpaceDE w:val="0"/>
              <w:autoSpaceDN w:val="0"/>
              <w:adjustRightInd w:val="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Y</w:t>
            </w:r>
          </w:p>
        </w:tc>
        <w:tc>
          <w:tcPr>
            <w:tcW w:w="968" w:type="dxa"/>
            <w:tcBorders>
              <w:bottom w:val="single" w:color="auto" w:sz="4" w:space="0"/>
            </w:tcBorders>
          </w:tcPr>
          <w:p>
            <w:pPr>
              <w:autoSpaceDE w:val="0"/>
              <w:autoSpaceDN w:val="0"/>
              <w:adjustRightInd w:val="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Y</w:t>
            </w:r>
          </w:p>
        </w:tc>
        <w:tc>
          <w:tcPr>
            <w:tcW w:w="1043" w:type="dxa"/>
            <w:tcBorders>
              <w:bottom w:val="single" w:color="auto" w:sz="4" w:space="0"/>
            </w:tcBorders>
          </w:tcPr>
          <w:p>
            <w:pPr>
              <w:autoSpaceDE w:val="0"/>
              <w:autoSpaceDN w:val="0"/>
              <w:adjustRightInd w:val="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Y</w:t>
            </w:r>
          </w:p>
        </w:tc>
        <w:tc>
          <w:tcPr>
            <w:tcW w:w="1043" w:type="dxa"/>
            <w:tcBorders>
              <w:bottom w:val="single" w:color="auto" w:sz="4" w:space="0"/>
            </w:tcBorders>
          </w:tcPr>
          <w:p>
            <w:pPr>
              <w:autoSpaceDE w:val="0"/>
              <w:autoSpaceDN w:val="0"/>
              <w:adjustRightInd w:val="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Y</w:t>
            </w:r>
          </w:p>
        </w:tc>
        <w:tc>
          <w:tcPr>
            <w:tcW w:w="805" w:type="dxa"/>
            <w:tcBorders>
              <w:bottom w:val="single" w:color="auto" w:sz="4" w:space="0"/>
            </w:tcBorders>
          </w:tcPr>
          <w:p>
            <w:pPr>
              <w:autoSpaceDE w:val="0"/>
              <w:autoSpaceDN w:val="0"/>
              <w:adjustRightInd w:val="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Y</w:t>
            </w:r>
          </w:p>
        </w:tc>
      </w:tr>
    </w:tbl>
    <w:p>
      <w:pPr>
        <w:jc w:val="center"/>
        <w:rPr>
          <w:color w:val="000000" w:themeColor="text1"/>
          <w:sz w:val="15"/>
          <w:szCs w:val="15"/>
          <w14:textFill>
            <w14:solidFill>
              <w14:schemeClr w14:val="tx1"/>
            </w14:solidFill>
          </w14:textFill>
        </w:rPr>
      </w:pPr>
    </w:p>
    <w:p>
      <w:pPr>
        <w:ind w:firstLine="420" w:firstLineChars="200"/>
        <w:jc w:val="both"/>
        <w:rPr>
          <w:rFonts w:cs="Times New Roman"/>
        </w:rPr>
      </w:pPr>
      <w:r>
        <w:rPr>
          <w:rFonts w:cs="Times New Roman"/>
        </w:rPr>
        <w:t>3.剔除部分特殊样本</w:t>
      </w:r>
    </w:p>
    <w:p>
      <w:pPr>
        <w:ind w:firstLine="420" w:firstLineChars="200"/>
        <w:jc w:val="both"/>
        <w:rPr>
          <w:rFonts w:cs="Times New Roman"/>
        </w:rPr>
      </w:pPr>
      <w:r>
        <w:rPr>
          <w:rFonts w:cs="Times New Roman"/>
        </w:rPr>
        <w:t>第一，中国</w:t>
      </w:r>
      <w:r>
        <w:rPr>
          <w:rFonts w:hint="eastAsia" w:cs="Times New Roman"/>
        </w:rPr>
        <w:t>的</w:t>
      </w:r>
      <w:r>
        <w:rPr>
          <w:rFonts w:cs="Times New Roman"/>
        </w:rPr>
        <w:t>直辖市与普通的地级市不同，</w:t>
      </w:r>
      <w:r>
        <w:rPr>
          <w:rFonts w:hint="eastAsia" w:cs="Times New Roman"/>
        </w:rPr>
        <w:t>是</w:t>
      </w:r>
      <w:r>
        <w:rPr>
          <w:rFonts w:cs="Times New Roman"/>
        </w:rPr>
        <w:t>直接由中央人民政府所管辖的建制市。因此在样本期内，直辖市受到的政策支持或是规划干预与普通地级市不同，甚至直辖市会接受更多的</w:t>
      </w:r>
      <w:r>
        <w:rPr>
          <w:rFonts w:hint="eastAsia" w:cs="Times New Roman"/>
        </w:rPr>
        <w:t>人才引进或是特殊的落户政策</w:t>
      </w:r>
      <w:r>
        <w:rPr>
          <w:rFonts w:cs="Times New Roman"/>
        </w:rPr>
        <w:t>等，这些因素会对回归结果产生较大的干预，</w:t>
      </w:r>
      <w:r>
        <w:rPr>
          <w:rFonts w:hint="eastAsia" w:cs="Times New Roman"/>
        </w:rPr>
        <w:t>同样特殊的还有中国的深圳经济特区，因</w:t>
      </w:r>
      <w:r>
        <w:rPr>
          <w:rFonts w:cs="Times New Roman"/>
        </w:rPr>
        <w:t>此，我们将样本中直辖市</w:t>
      </w:r>
      <w:r>
        <w:rPr>
          <w:rFonts w:hint="eastAsia" w:cs="Times New Roman"/>
        </w:rPr>
        <w:t>以及深圳市</w:t>
      </w:r>
      <w:r>
        <w:rPr>
          <w:rFonts w:cs="Times New Roman"/>
        </w:rPr>
        <w:t>样本进行剔除并进行稳健性检验。回归结果如</w:t>
      </w:r>
      <w:r>
        <w:rPr>
          <w:rFonts w:hint="eastAsia" w:cs="Times New Roman"/>
        </w:rPr>
        <w:t>表</w:t>
      </w:r>
      <w:r>
        <w:rPr>
          <w:rFonts w:hint="eastAsia" w:ascii="仿宋" w:hAnsi="仿宋" w:cs="仿宋"/>
        </w:rPr>
        <w:t>Ⅱ</w:t>
      </w:r>
      <w:r>
        <w:rPr>
          <w:rFonts w:hint="eastAsia" w:cs="Times New Roman"/>
        </w:rPr>
        <w:t>5</w:t>
      </w:r>
      <w:r>
        <w:rPr>
          <w:rFonts w:cs="Times New Roman"/>
        </w:rPr>
        <w:t>第（1）列所示，可以发现城市形态</w:t>
      </w:r>
      <w:r>
        <w:rPr>
          <w:rFonts w:hint="eastAsia"/>
        </w:rPr>
        <w:t>松散化</w:t>
      </w:r>
      <w:r>
        <w:rPr>
          <w:rFonts w:cs="Times New Roman"/>
        </w:rPr>
        <w:t>对城市</w:t>
      </w:r>
      <w:r>
        <w:rPr>
          <w:rFonts w:hint="eastAsia" w:cs="Times New Roman"/>
        </w:rPr>
        <w:t>人口增长</w:t>
      </w:r>
      <w:r>
        <w:rPr>
          <w:rFonts w:cs="Times New Roman"/>
        </w:rPr>
        <w:t>水平</w:t>
      </w:r>
      <w:r>
        <w:rPr>
          <w:rFonts w:hint="eastAsia" w:cs="Times New Roman"/>
        </w:rPr>
        <w:t>的</w:t>
      </w:r>
      <w:r>
        <w:rPr>
          <w:rFonts w:cs="Times New Roman"/>
        </w:rPr>
        <w:t>效应并未受到影响，效应也没有出现较大程度的浮动。</w:t>
      </w:r>
    </w:p>
    <w:p>
      <w:pPr>
        <w:ind w:firstLine="420" w:firstLineChars="200"/>
        <w:jc w:val="both"/>
        <w:rPr>
          <w:rFonts w:cs="Times New Roman"/>
        </w:rPr>
      </w:pPr>
      <w:r>
        <w:rPr>
          <w:rFonts w:cs="Times New Roman"/>
        </w:rPr>
        <w:t>第</w:t>
      </w:r>
      <w:r>
        <w:rPr>
          <w:rFonts w:hint="eastAsia" w:cs="Times New Roman"/>
        </w:rPr>
        <w:t>二</w:t>
      </w:r>
      <w:r>
        <w:rPr>
          <w:rFonts w:cs="Times New Roman"/>
        </w:rPr>
        <w:t>，依然是针对城市发展情况，中国国务院于2014年下发的《关于调整城市规模划分标准的通知》其中将城市按照规模划分为小型城市、中型城市、大型城市、特大型城市、超大型城市等</w:t>
      </w:r>
      <w:r>
        <w:rPr>
          <w:rStyle w:val="15"/>
          <w:rFonts w:cs="Times New Roman"/>
        </w:rPr>
        <w:footnoteReference w:id="11"/>
      </w:r>
      <w:r>
        <w:rPr>
          <w:rFonts w:cs="Times New Roman"/>
        </w:rPr>
        <w:t>。而中国近年来针对特大城市与超大城市等群体颁布了一系列的特殊性政策，这些政策或是调整城市规模或是改善城市规划，为了避免特殊性因素对城市形态的影响产生干扰，我们剔除了超大型城市与特大型城市。回归结果如</w:t>
      </w:r>
      <w:r>
        <w:rPr>
          <w:rFonts w:hint="eastAsia" w:cs="Times New Roman"/>
        </w:rPr>
        <w:t>表</w:t>
      </w:r>
      <w:r>
        <w:rPr>
          <w:rFonts w:hint="eastAsia" w:ascii="仿宋" w:hAnsi="仿宋" w:cs="仿宋"/>
        </w:rPr>
        <w:t>Ⅱ</w:t>
      </w:r>
      <w:r>
        <w:rPr>
          <w:rFonts w:hint="eastAsia" w:cs="Times New Roman"/>
        </w:rPr>
        <w:t>5</w:t>
      </w:r>
      <w:r>
        <w:rPr>
          <w:rFonts w:cs="Times New Roman"/>
        </w:rPr>
        <w:t>的第（2）列，城市形态指数系数显著为负。</w:t>
      </w:r>
    </w:p>
    <w:p>
      <w:pPr>
        <w:ind w:firstLine="420" w:firstLineChars="200"/>
        <w:jc w:val="both"/>
        <w:rPr>
          <w:rFonts w:cs="Times New Roman"/>
        </w:rPr>
      </w:pPr>
      <w:bookmarkStart w:id="9" w:name="OLE_LINK13"/>
      <w:bookmarkStart w:id="10" w:name="OLE_LINK4"/>
      <w:bookmarkStart w:id="11" w:name="OLE_LINK3"/>
      <w:r>
        <w:rPr>
          <w:rFonts w:cs="Times New Roman"/>
        </w:rPr>
        <w:t>第</w:t>
      </w:r>
      <w:r>
        <w:rPr>
          <w:rFonts w:hint="eastAsia" w:cs="Times New Roman"/>
        </w:rPr>
        <w:t>三</w:t>
      </w:r>
      <w:r>
        <w:rPr>
          <w:rFonts w:cs="Times New Roman"/>
        </w:rPr>
        <w:t>，在中国的省级行政区划内，也有省会城市与非省会城市之分，省会城市相比非省会城市往往也可能享受更多的经济建设与政策倾斜，甚至部分针对城市内部规划的政策措施也会在这些城市率先开展，我们需要将这些可能的干扰因素</w:t>
      </w:r>
      <w:r>
        <w:rPr>
          <w:rFonts w:hint="eastAsia" w:cs="Times New Roman"/>
        </w:rPr>
        <w:t>清除</w:t>
      </w:r>
      <w:r>
        <w:rPr>
          <w:rFonts w:cs="Times New Roman"/>
        </w:rPr>
        <w:t>。因此，我们</w:t>
      </w:r>
      <w:r>
        <w:rPr>
          <w:rFonts w:hint="eastAsia" w:cs="Times New Roman"/>
        </w:rPr>
        <w:t>将</w:t>
      </w:r>
      <w:r>
        <w:rPr>
          <w:rFonts w:cs="Times New Roman"/>
        </w:rPr>
        <w:t>这些城市样本进行剔除从而进行稳健性检验。</w:t>
      </w:r>
      <w:r>
        <w:rPr>
          <w:rFonts w:hint="eastAsia" w:cs="Times New Roman"/>
        </w:rPr>
        <w:t>表</w:t>
      </w:r>
      <w:r>
        <w:rPr>
          <w:rFonts w:hint="eastAsia" w:ascii="仿宋" w:hAnsi="仿宋" w:cs="仿宋"/>
        </w:rPr>
        <w:t>Ⅱ</w:t>
      </w:r>
      <w:r>
        <w:rPr>
          <w:rFonts w:hint="eastAsia" w:cs="Times New Roman"/>
        </w:rPr>
        <w:t>5</w:t>
      </w:r>
      <w:r>
        <w:rPr>
          <w:rFonts w:cs="Times New Roman"/>
        </w:rPr>
        <w:t>的第（3）列报告了回归结果，其中城市</w:t>
      </w:r>
      <w:r>
        <w:rPr>
          <w:rFonts w:hint="eastAsia" w:cs="Times New Roman"/>
        </w:rPr>
        <w:t>几何</w:t>
      </w:r>
      <w:r>
        <w:rPr>
          <w:rFonts w:cs="Times New Roman"/>
        </w:rPr>
        <w:t>形态指数系数没有出现较大程度</w:t>
      </w:r>
      <w:r>
        <w:rPr>
          <w:rFonts w:hint="eastAsia" w:cs="Times New Roman"/>
        </w:rPr>
        <w:t>的变动，</w:t>
      </w:r>
      <w:r>
        <w:rPr>
          <w:rFonts w:cs="Times New Roman"/>
        </w:rPr>
        <w:t>依然显著为负。</w:t>
      </w:r>
    </w:p>
    <w:p>
      <w:pPr>
        <w:ind w:firstLine="420" w:firstLineChars="200"/>
        <w:jc w:val="both"/>
        <w:rPr>
          <w:rFonts w:cs="Times New Roman"/>
        </w:rPr>
      </w:pPr>
      <w:r>
        <w:rPr>
          <w:rFonts w:cs="Times New Roman"/>
        </w:rPr>
        <w:t>第</w:t>
      </w:r>
      <w:r>
        <w:rPr>
          <w:rFonts w:hint="eastAsia" w:cs="Times New Roman"/>
        </w:rPr>
        <w:t>四</w:t>
      </w:r>
      <w:r>
        <w:rPr>
          <w:rFonts w:cs="Times New Roman"/>
        </w:rPr>
        <w:t>，通过对城市用地类型数据的分析发现，有部分城市形态存在异常情况——由于城市规划与开发的变动导致</w:t>
      </w:r>
      <w:r>
        <w:rPr>
          <w:rFonts w:hint="eastAsia"/>
        </w:rPr>
        <w:t>多边形</w:t>
      </w:r>
      <w:r>
        <w:rPr>
          <w:rFonts w:cs="Times New Roman"/>
        </w:rPr>
        <w:t>划定范围在样本期内出现地理位置的较大变动或是由于主要河流穿过城市导致原本属于一体的</w:t>
      </w:r>
      <w:r>
        <w:rPr>
          <w:rFonts w:hint="eastAsia"/>
        </w:rPr>
        <w:t>多边形</w:t>
      </w:r>
      <w:r>
        <w:rPr>
          <w:rFonts w:cs="Times New Roman"/>
        </w:rPr>
        <w:t>被切割为多个区域，而我们最终选取的</w:t>
      </w:r>
      <w:r>
        <w:rPr>
          <w:rFonts w:hint="eastAsia"/>
        </w:rPr>
        <w:t>多边形</w:t>
      </w:r>
      <w:r>
        <w:rPr>
          <w:rFonts w:cs="Times New Roman"/>
        </w:rPr>
        <w:t>可能是这些部分中面积最大的，这样的情况可能使得计算的城市形态指数存在测量误差</w:t>
      </w:r>
      <w:r>
        <w:rPr>
          <w:rFonts w:hint="eastAsia" w:cs="Times New Roman"/>
        </w:rPr>
        <w:t>。</w:t>
      </w:r>
      <w:r>
        <w:rPr>
          <w:rFonts w:cs="Times New Roman"/>
        </w:rPr>
        <w:t>因此</w:t>
      </w:r>
      <w:r>
        <w:rPr>
          <w:rFonts w:hint="eastAsia" w:cs="Times New Roman"/>
        </w:rPr>
        <w:t>，</w:t>
      </w:r>
      <w:r>
        <w:rPr>
          <w:rFonts w:cs="Times New Roman"/>
        </w:rPr>
        <w:t>我们将这些城市进行剔除并重新回归</w:t>
      </w:r>
      <w:r>
        <w:rPr>
          <w:rStyle w:val="15"/>
          <w:rFonts w:cs="Times New Roman"/>
        </w:rPr>
        <w:footnoteReference w:id="12"/>
      </w:r>
      <w:r>
        <w:rPr>
          <w:rFonts w:cs="Times New Roman"/>
        </w:rPr>
        <w:t>，回归结果如</w:t>
      </w:r>
      <w:r>
        <w:rPr>
          <w:rFonts w:hint="eastAsia" w:cs="Times New Roman"/>
        </w:rPr>
        <w:t>表</w:t>
      </w:r>
      <w:r>
        <w:rPr>
          <w:rFonts w:hint="eastAsia" w:ascii="仿宋" w:hAnsi="仿宋" w:cs="仿宋"/>
        </w:rPr>
        <w:t>Ⅱ</w:t>
      </w:r>
      <w:r>
        <w:rPr>
          <w:rFonts w:hint="eastAsia" w:cs="Times New Roman"/>
        </w:rPr>
        <w:t>5</w:t>
      </w:r>
      <w:r>
        <w:rPr>
          <w:rFonts w:cs="Times New Roman"/>
        </w:rPr>
        <w:t>第（4）列所示，城市形态的系数依然显著为负</w:t>
      </w:r>
      <w:r>
        <w:rPr>
          <w:rFonts w:hint="eastAsia" w:cs="Times New Roman"/>
        </w:rPr>
        <w:t>。</w:t>
      </w:r>
    </w:p>
    <w:bookmarkEnd w:id="9"/>
    <w:bookmarkEnd w:id="10"/>
    <w:bookmarkEnd w:id="11"/>
    <w:p>
      <w:pPr>
        <w:ind w:firstLine="420" w:firstLineChars="200"/>
        <w:jc w:val="both"/>
        <w:rPr>
          <w:rFonts w:cs="Times New Roman"/>
        </w:rPr>
      </w:pPr>
      <w:r>
        <w:rPr>
          <w:rFonts w:cs="Times New Roman"/>
        </w:rPr>
        <w:t>第</w:t>
      </w:r>
      <w:r>
        <w:rPr>
          <w:rFonts w:hint="eastAsia" w:cs="Times New Roman"/>
        </w:rPr>
        <w:t>五</w:t>
      </w:r>
      <w:r>
        <w:rPr>
          <w:rFonts w:cs="Times New Roman"/>
        </w:rPr>
        <w:t>，我们在测算城市形态的过程中发现，中国部分城市是主要</w:t>
      </w:r>
      <w:r>
        <w:rPr>
          <w:rFonts w:hint="eastAsia" w:cs="Times New Roman"/>
        </w:rPr>
        <w:t>港口</w:t>
      </w:r>
      <w:r>
        <w:rPr>
          <w:rFonts w:cs="Times New Roman"/>
        </w:rPr>
        <w:t>城市，这些城市存在以下特殊性：第一，少数大型海港其实也是城市建成区，而这些建成区并非实际的</w:t>
      </w:r>
      <w:r>
        <w:rPr>
          <w:rFonts w:hint="eastAsia"/>
        </w:rPr>
        <w:t>城市范围</w:t>
      </w:r>
      <w:r>
        <w:rPr>
          <w:rFonts w:cs="Times New Roman"/>
        </w:rPr>
        <w:t>，而使用</w:t>
      </w:r>
      <w:r>
        <w:rPr>
          <w:rFonts w:hint="eastAsia" w:cs="Times New Roman"/>
        </w:rPr>
        <w:t>陆地覆盖</w:t>
      </w:r>
      <w:r>
        <w:rPr>
          <w:rFonts w:cs="Times New Roman"/>
        </w:rPr>
        <w:t>数据可能无法准确</w:t>
      </w:r>
      <w:r>
        <w:rPr>
          <w:rFonts w:hint="eastAsia" w:cs="Times New Roman"/>
        </w:rPr>
        <w:t>区分</w:t>
      </w:r>
      <w:r>
        <w:rPr>
          <w:rFonts w:cs="Times New Roman"/>
        </w:rPr>
        <w:t>出这些建成区，因此可能存在识别</w:t>
      </w:r>
      <w:r>
        <w:rPr>
          <w:rFonts w:hint="eastAsia" w:cs="Times New Roman"/>
        </w:rPr>
        <w:t>通勤城市</w:t>
      </w:r>
      <w:r>
        <w:rPr>
          <w:rFonts w:cs="Times New Roman"/>
        </w:rPr>
        <w:t>时将港口也计算在内导致城市形态指数出现高估；第二，部分特殊</w:t>
      </w:r>
      <w:r>
        <w:rPr>
          <w:rFonts w:hint="eastAsia" w:cs="Times New Roman"/>
        </w:rPr>
        <w:t>港口</w:t>
      </w:r>
      <w:r>
        <w:rPr>
          <w:rFonts w:cs="Times New Roman"/>
        </w:rPr>
        <w:t>城市由于地理位置特殊也可能会享受到政府的政策特殊倾向，对我们所需估计的效应产生干扰。因此</w:t>
      </w:r>
      <w:r>
        <w:rPr>
          <w:rFonts w:hint="eastAsia" w:cs="Times New Roman"/>
        </w:rPr>
        <w:t>，</w:t>
      </w:r>
      <w:r>
        <w:rPr>
          <w:rFonts w:cs="Times New Roman"/>
        </w:rPr>
        <w:t>我们将中国23座主要港口城市</w:t>
      </w:r>
      <w:r>
        <w:rPr>
          <w:rStyle w:val="15"/>
          <w:rFonts w:cs="Times New Roman"/>
        </w:rPr>
        <w:footnoteReference w:id="13"/>
      </w:r>
      <w:r>
        <w:rPr>
          <w:rFonts w:cs="Times New Roman"/>
        </w:rPr>
        <w:t>样本全部剔除重新回归。</w:t>
      </w:r>
      <w:r>
        <w:rPr>
          <w:rFonts w:hint="eastAsia" w:cs="Times New Roman"/>
        </w:rPr>
        <w:t>表</w:t>
      </w:r>
      <w:r>
        <w:rPr>
          <w:rFonts w:hint="eastAsia" w:ascii="仿宋" w:hAnsi="仿宋" w:cs="仿宋"/>
        </w:rPr>
        <w:t>Ⅱ</w:t>
      </w:r>
      <w:r>
        <w:rPr>
          <w:rFonts w:hint="eastAsia" w:cs="Times New Roman"/>
        </w:rPr>
        <w:t>5</w:t>
      </w:r>
      <w:r>
        <w:rPr>
          <w:rFonts w:cs="Times New Roman"/>
        </w:rPr>
        <w:t>的第（5）列展示了回归结果，可以发现效应依然显著为负。综合来看</w:t>
      </w:r>
      <w:r>
        <w:rPr>
          <w:rFonts w:hint="eastAsia" w:cs="Times New Roman"/>
        </w:rPr>
        <w:t>，</w:t>
      </w:r>
      <w:r>
        <w:rPr>
          <w:rFonts w:cs="Times New Roman"/>
        </w:rPr>
        <w:t>我们对样本进行了诸多</w:t>
      </w:r>
      <w:r>
        <w:rPr>
          <w:rFonts w:hint="eastAsia" w:cs="Times New Roman"/>
        </w:rPr>
        <w:t>筛选</w:t>
      </w:r>
      <w:r>
        <w:rPr>
          <w:rFonts w:cs="Times New Roman"/>
        </w:rPr>
        <w:t>，都没有对所估计的效应产生较大</w:t>
      </w:r>
      <w:r>
        <w:rPr>
          <w:rFonts w:hint="eastAsia" w:cs="Times New Roman"/>
        </w:rPr>
        <w:t>影响</w:t>
      </w:r>
      <w:r>
        <w:rPr>
          <w:rFonts w:cs="Times New Roman"/>
        </w:rPr>
        <w:t>。</w:t>
      </w:r>
    </w:p>
    <w:p>
      <w:pPr>
        <w:ind w:firstLine="360" w:firstLineChars="200"/>
        <w:jc w:val="center"/>
        <w:rPr>
          <w:rFonts w:ascii="黑体" w:hAnsi="黑体" w:eastAsia="黑体" w:cs="黑体"/>
          <w:sz w:val="18"/>
          <w:szCs w:val="18"/>
        </w:rPr>
      </w:pPr>
      <w:r>
        <w:rPr>
          <w:rFonts w:hint="eastAsia" w:ascii="黑体" w:hAnsi="黑体" w:eastAsia="黑体" w:cs="黑体"/>
          <w:sz w:val="18"/>
          <w:szCs w:val="18"/>
        </w:rPr>
        <w:t>表</w:t>
      </w:r>
      <w:r>
        <w:rPr>
          <w:rFonts w:hint="eastAsia" w:ascii="黑体" w:hAnsi="黑体" w:eastAsia="黑体" w:cs="黑体"/>
          <w:color w:val="000000" w:themeColor="text1"/>
          <w:sz w:val="18"/>
          <w:szCs w:val="18"/>
          <w14:textFill>
            <w14:solidFill>
              <w14:schemeClr w14:val="tx1"/>
            </w14:solidFill>
          </w14:textFill>
        </w:rPr>
        <w:t>II</w:t>
      </w:r>
      <w:r>
        <w:rPr>
          <w:rFonts w:hint="eastAsia" w:ascii="黑体" w:hAnsi="黑体" w:eastAsia="黑体" w:cs="黑体"/>
          <w:sz w:val="18"/>
          <w:szCs w:val="18"/>
        </w:rPr>
        <w:t>5 剔除可能存在异常政策作用的城市样本（工具变量回归第二阶段）</w:t>
      </w:r>
    </w:p>
    <w:tbl>
      <w:tblPr>
        <w:tblStyle w:val="12"/>
        <w:tblW w:w="9072" w:type="dxa"/>
        <w:jc w:val="center"/>
        <w:tblLayout w:type="fixed"/>
        <w:tblCellMar>
          <w:top w:w="0" w:type="dxa"/>
          <w:left w:w="75" w:type="dxa"/>
          <w:bottom w:w="0" w:type="dxa"/>
          <w:right w:w="75" w:type="dxa"/>
        </w:tblCellMar>
      </w:tblPr>
      <w:tblGrid>
        <w:gridCol w:w="2185"/>
        <w:gridCol w:w="1379"/>
        <w:gridCol w:w="1377"/>
        <w:gridCol w:w="1377"/>
        <w:gridCol w:w="1377"/>
        <w:gridCol w:w="1377"/>
      </w:tblGrid>
      <w:tr>
        <w:trPr>
          <w:jc w:val="center"/>
        </w:trPr>
        <w:tc>
          <w:tcPr>
            <w:tcW w:w="2185" w:type="dxa"/>
            <w:tcBorders>
              <w:top w:val="single" w:color="auto" w:sz="6" w:space="0"/>
              <w:left w:val="nil"/>
              <w:bottom w:val="nil"/>
              <w:right w:val="nil"/>
            </w:tcBorders>
          </w:tcPr>
          <w:p>
            <w:pPr>
              <w:autoSpaceDE w:val="0"/>
              <w:autoSpaceDN w:val="0"/>
              <w:adjustRightInd w:val="0"/>
              <w:jc w:val="both"/>
              <w:rPr>
                <w:rFonts w:cs="Times New Roman"/>
                <w:sz w:val="18"/>
                <w:szCs w:val="18"/>
              </w:rPr>
            </w:pPr>
          </w:p>
        </w:tc>
        <w:tc>
          <w:tcPr>
            <w:tcW w:w="6887" w:type="dxa"/>
            <w:gridSpan w:val="5"/>
            <w:tcBorders>
              <w:top w:val="single" w:color="auto" w:sz="6" w:space="0"/>
              <w:left w:val="nil"/>
              <w:bottom w:val="single" w:color="auto" w:sz="6" w:space="0"/>
              <w:right w:val="nil"/>
            </w:tcBorders>
          </w:tcPr>
          <w:p>
            <w:pPr>
              <w:autoSpaceDE w:val="0"/>
              <w:autoSpaceDN w:val="0"/>
              <w:adjustRightInd w:val="0"/>
              <w:jc w:val="center"/>
              <w:rPr>
                <w:rFonts w:cs="Times New Roman"/>
                <w:sz w:val="18"/>
                <w:szCs w:val="18"/>
              </w:rPr>
            </w:pPr>
            <w:r>
              <w:rPr>
                <w:rFonts w:hint="eastAsia" w:cs="Times New Roman"/>
                <w:sz w:val="18"/>
                <w:szCs w:val="18"/>
              </w:rPr>
              <w:t>被解释变量：</w:t>
            </w:r>
            <w:r>
              <w:rPr>
                <w:rFonts w:cs="Times New Roman"/>
                <w:i/>
                <w:iCs/>
                <w:sz w:val="18"/>
                <w:szCs w:val="18"/>
              </w:rPr>
              <w:t>Δlnpop</w:t>
            </w:r>
            <w:r>
              <w:rPr>
                <w:rFonts w:hint="eastAsia" w:cs="Times New Roman"/>
                <w:sz w:val="18"/>
                <w:szCs w:val="18"/>
              </w:rPr>
              <w:t>(</w:t>
            </w:r>
            <w:r>
              <w:rPr>
                <w:rFonts w:cs="Times New Roman"/>
                <w:sz w:val="18"/>
                <w:szCs w:val="18"/>
              </w:rPr>
              <w:t>2000-2015)</w:t>
            </w:r>
          </w:p>
        </w:tc>
      </w:tr>
      <w:tr>
        <w:tblPrEx>
          <w:tblCellMar>
            <w:top w:w="0" w:type="dxa"/>
            <w:left w:w="75" w:type="dxa"/>
            <w:bottom w:w="0" w:type="dxa"/>
            <w:right w:w="75" w:type="dxa"/>
          </w:tblCellMar>
        </w:tblPrEx>
        <w:trPr>
          <w:jc w:val="center"/>
        </w:trPr>
        <w:tc>
          <w:tcPr>
            <w:tcW w:w="2185" w:type="dxa"/>
            <w:tcBorders>
              <w:top w:val="nil"/>
              <w:left w:val="nil"/>
              <w:bottom w:val="single" w:color="auto" w:sz="6" w:space="0"/>
              <w:right w:val="nil"/>
            </w:tcBorders>
          </w:tcPr>
          <w:p>
            <w:pPr>
              <w:autoSpaceDE w:val="0"/>
              <w:autoSpaceDN w:val="0"/>
              <w:adjustRightInd w:val="0"/>
              <w:jc w:val="both"/>
              <w:rPr>
                <w:rFonts w:cs="Times New Roman"/>
                <w:sz w:val="18"/>
                <w:szCs w:val="18"/>
              </w:rPr>
            </w:pPr>
            <w:r>
              <w:rPr>
                <w:rFonts w:hint="eastAsia" w:cs="Times New Roman"/>
                <w:sz w:val="18"/>
                <w:szCs w:val="18"/>
              </w:rPr>
              <w:t>解释变量</w:t>
            </w:r>
          </w:p>
        </w:tc>
        <w:tc>
          <w:tcPr>
            <w:tcW w:w="1379" w:type="dxa"/>
            <w:tcBorders>
              <w:top w:val="single" w:color="auto" w:sz="6" w:space="0"/>
              <w:left w:val="nil"/>
              <w:bottom w:val="single" w:color="auto" w:sz="6" w:space="0"/>
              <w:right w:val="nil"/>
            </w:tcBorders>
          </w:tcPr>
          <w:p>
            <w:pPr>
              <w:autoSpaceDE w:val="0"/>
              <w:autoSpaceDN w:val="0"/>
              <w:adjustRightInd w:val="0"/>
              <w:jc w:val="center"/>
              <w:rPr>
                <w:rFonts w:cs="Times New Roman"/>
                <w:i/>
                <w:iCs/>
                <w:sz w:val="18"/>
                <w:szCs w:val="18"/>
              </w:rPr>
            </w:pPr>
            <w:r>
              <w:rPr>
                <w:rFonts w:cs="Times New Roman"/>
                <w:sz w:val="18"/>
                <w:szCs w:val="18"/>
              </w:rPr>
              <w:t>(1)</w:t>
            </w:r>
          </w:p>
        </w:tc>
        <w:tc>
          <w:tcPr>
            <w:tcW w:w="1377" w:type="dxa"/>
            <w:tcBorders>
              <w:top w:val="single" w:color="auto" w:sz="6" w:space="0"/>
              <w:left w:val="nil"/>
              <w:bottom w:val="single" w:color="auto" w:sz="6" w:space="0"/>
              <w:right w:val="nil"/>
            </w:tcBorders>
          </w:tcPr>
          <w:p>
            <w:pPr>
              <w:autoSpaceDE w:val="0"/>
              <w:autoSpaceDN w:val="0"/>
              <w:adjustRightInd w:val="0"/>
              <w:jc w:val="center"/>
              <w:rPr>
                <w:rFonts w:cs="Times New Roman"/>
                <w:i/>
                <w:iCs/>
                <w:sz w:val="18"/>
                <w:szCs w:val="18"/>
              </w:rPr>
            </w:pPr>
            <w:r>
              <w:rPr>
                <w:rFonts w:cs="Times New Roman"/>
                <w:sz w:val="18"/>
                <w:szCs w:val="18"/>
              </w:rPr>
              <w:t>(2)</w:t>
            </w:r>
          </w:p>
        </w:tc>
        <w:tc>
          <w:tcPr>
            <w:tcW w:w="1377" w:type="dxa"/>
            <w:tcBorders>
              <w:top w:val="single" w:color="auto" w:sz="6" w:space="0"/>
              <w:left w:val="nil"/>
              <w:bottom w:val="single" w:color="auto" w:sz="6" w:space="0"/>
              <w:right w:val="nil"/>
            </w:tcBorders>
          </w:tcPr>
          <w:p>
            <w:pPr>
              <w:autoSpaceDE w:val="0"/>
              <w:autoSpaceDN w:val="0"/>
              <w:adjustRightInd w:val="0"/>
              <w:jc w:val="center"/>
              <w:rPr>
                <w:rFonts w:cs="Times New Roman"/>
                <w:i/>
                <w:iCs/>
                <w:sz w:val="18"/>
                <w:szCs w:val="18"/>
              </w:rPr>
            </w:pPr>
            <w:r>
              <w:rPr>
                <w:rFonts w:cs="Times New Roman"/>
                <w:sz w:val="18"/>
                <w:szCs w:val="18"/>
              </w:rPr>
              <w:t>(3)</w:t>
            </w:r>
          </w:p>
        </w:tc>
        <w:tc>
          <w:tcPr>
            <w:tcW w:w="1377" w:type="dxa"/>
            <w:tcBorders>
              <w:top w:val="single" w:color="auto" w:sz="6" w:space="0"/>
              <w:left w:val="nil"/>
              <w:bottom w:val="single" w:color="auto" w:sz="6" w:space="0"/>
              <w:right w:val="nil"/>
            </w:tcBorders>
          </w:tcPr>
          <w:p>
            <w:pPr>
              <w:autoSpaceDE w:val="0"/>
              <w:autoSpaceDN w:val="0"/>
              <w:adjustRightInd w:val="0"/>
              <w:jc w:val="center"/>
              <w:rPr>
                <w:rFonts w:cs="Times New Roman"/>
                <w:sz w:val="18"/>
                <w:szCs w:val="18"/>
              </w:rPr>
            </w:pPr>
            <w:r>
              <w:rPr>
                <w:rFonts w:cs="Times New Roman"/>
                <w:sz w:val="18"/>
                <w:szCs w:val="18"/>
              </w:rPr>
              <w:t>(4)</w:t>
            </w:r>
          </w:p>
        </w:tc>
        <w:tc>
          <w:tcPr>
            <w:tcW w:w="1377" w:type="dxa"/>
            <w:tcBorders>
              <w:top w:val="single" w:color="auto" w:sz="6" w:space="0"/>
              <w:left w:val="nil"/>
              <w:bottom w:val="single" w:color="auto" w:sz="6" w:space="0"/>
              <w:right w:val="nil"/>
            </w:tcBorders>
          </w:tcPr>
          <w:p>
            <w:pPr>
              <w:autoSpaceDE w:val="0"/>
              <w:autoSpaceDN w:val="0"/>
              <w:adjustRightInd w:val="0"/>
              <w:jc w:val="center"/>
              <w:rPr>
                <w:rFonts w:cs="Times New Roman"/>
                <w:sz w:val="18"/>
                <w:szCs w:val="18"/>
              </w:rPr>
            </w:pPr>
            <w:r>
              <w:rPr>
                <w:rFonts w:cs="Times New Roman"/>
                <w:sz w:val="18"/>
                <w:szCs w:val="18"/>
              </w:rPr>
              <w:t>(5)</w:t>
            </w:r>
          </w:p>
        </w:tc>
      </w:tr>
      <w:tr>
        <w:tblPrEx>
          <w:tblCellMar>
            <w:top w:w="0" w:type="dxa"/>
            <w:left w:w="75" w:type="dxa"/>
            <w:bottom w:w="0" w:type="dxa"/>
            <w:right w:w="75" w:type="dxa"/>
          </w:tblCellMar>
        </w:tblPrEx>
        <w:trPr>
          <w:jc w:val="center"/>
        </w:trPr>
        <w:tc>
          <w:tcPr>
            <w:tcW w:w="2185" w:type="dxa"/>
          </w:tcPr>
          <w:p>
            <w:pPr>
              <w:autoSpaceDE w:val="0"/>
              <w:autoSpaceDN w:val="0"/>
              <w:adjustRightInd w:val="0"/>
              <w:jc w:val="both"/>
              <w:rPr>
                <w:rFonts w:cs="Times New Roman"/>
                <w:i/>
                <w:iCs/>
                <w:sz w:val="18"/>
                <w:szCs w:val="18"/>
              </w:rPr>
            </w:pPr>
            <w:r>
              <w:rPr>
                <w:rFonts w:cs="Times New Roman"/>
                <w:i/>
                <w:iCs/>
                <w:sz w:val="18"/>
                <w:szCs w:val="18"/>
              </w:rPr>
              <w:t>Δurbanshape</w:t>
            </w:r>
          </w:p>
        </w:tc>
        <w:tc>
          <w:tcPr>
            <w:tcW w:w="1379" w:type="dxa"/>
          </w:tcPr>
          <w:p>
            <w:pPr>
              <w:autoSpaceDE w:val="0"/>
              <w:autoSpaceDN w:val="0"/>
              <w:adjustRightInd w:val="0"/>
              <w:jc w:val="center"/>
              <w:rPr>
                <w:rFonts w:cs="Times New Roman"/>
                <w:sz w:val="18"/>
                <w:szCs w:val="18"/>
              </w:rPr>
            </w:pPr>
            <w:r>
              <w:rPr>
                <w:rFonts w:cs="Times New Roman"/>
                <w:sz w:val="18"/>
                <w:szCs w:val="18"/>
              </w:rPr>
              <w:t>-0.1617**</w:t>
            </w:r>
          </w:p>
        </w:tc>
        <w:tc>
          <w:tcPr>
            <w:tcW w:w="1377" w:type="dxa"/>
          </w:tcPr>
          <w:p>
            <w:pPr>
              <w:autoSpaceDE w:val="0"/>
              <w:autoSpaceDN w:val="0"/>
              <w:adjustRightInd w:val="0"/>
              <w:jc w:val="center"/>
              <w:rPr>
                <w:rFonts w:cs="Times New Roman"/>
                <w:sz w:val="18"/>
                <w:szCs w:val="18"/>
              </w:rPr>
            </w:pPr>
            <w:r>
              <w:rPr>
                <w:rFonts w:cs="Times New Roman"/>
                <w:sz w:val="18"/>
                <w:szCs w:val="18"/>
              </w:rPr>
              <w:t>-0.1830**</w:t>
            </w:r>
          </w:p>
        </w:tc>
        <w:tc>
          <w:tcPr>
            <w:tcW w:w="1377" w:type="dxa"/>
          </w:tcPr>
          <w:p>
            <w:pPr>
              <w:autoSpaceDE w:val="0"/>
              <w:autoSpaceDN w:val="0"/>
              <w:adjustRightInd w:val="0"/>
              <w:jc w:val="center"/>
              <w:rPr>
                <w:rFonts w:cs="Times New Roman"/>
                <w:sz w:val="18"/>
                <w:szCs w:val="18"/>
              </w:rPr>
            </w:pPr>
            <w:r>
              <w:rPr>
                <w:rFonts w:cs="Times New Roman"/>
                <w:sz w:val="18"/>
                <w:szCs w:val="18"/>
              </w:rPr>
              <w:t>-0.2284**</w:t>
            </w:r>
          </w:p>
        </w:tc>
        <w:tc>
          <w:tcPr>
            <w:tcW w:w="1377" w:type="dxa"/>
          </w:tcPr>
          <w:p>
            <w:pPr>
              <w:autoSpaceDE w:val="0"/>
              <w:autoSpaceDN w:val="0"/>
              <w:adjustRightInd w:val="0"/>
              <w:jc w:val="center"/>
              <w:rPr>
                <w:rFonts w:cs="Times New Roman"/>
                <w:sz w:val="18"/>
                <w:szCs w:val="18"/>
              </w:rPr>
            </w:pPr>
            <w:r>
              <w:rPr>
                <w:rFonts w:cs="Times New Roman"/>
                <w:sz w:val="18"/>
                <w:szCs w:val="18"/>
              </w:rPr>
              <w:t>-0.1549**</w:t>
            </w:r>
          </w:p>
        </w:tc>
        <w:tc>
          <w:tcPr>
            <w:tcW w:w="1377" w:type="dxa"/>
          </w:tcPr>
          <w:p>
            <w:pPr>
              <w:autoSpaceDE w:val="0"/>
              <w:autoSpaceDN w:val="0"/>
              <w:adjustRightInd w:val="0"/>
              <w:jc w:val="center"/>
              <w:rPr>
                <w:rFonts w:cs="Times New Roman"/>
                <w:sz w:val="18"/>
                <w:szCs w:val="18"/>
              </w:rPr>
            </w:pPr>
            <w:r>
              <w:rPr>
                <w:rFonts w:cs="Times New Roman"/>
                <w:sz w:val="18"/>
                <w:szCs w:val="18"/>
              </w:rPr>
              <w:t>-0.1883**</w:t>
            </w:r>
          </w:p>
        </w:tc>
      </w:tr>
      <w:tr>
        <w:tblPrEx>
          <w:tblCellMar>
            <w:top w:w="0" w:type="dxa"/>
            <w:left w:w="75" w:type="dxa"/>
            <w:bottom w:w="0" w:type="dxa"/>
            <w:right w:w="75" w:type="dxa"/>
          </w:tblCellMar>
        </w:tblPrEx>
        <w:trPr>
          <w:jc w:val="center"/>
        </w:trPr>
        <w:tc>
          <w:tcPr>
            <w:tcW w:w="2185" w:type="dxa"/>
          </w:tcPr>
          <w:p>
            <w:pPr>
              <w:autoSpaceDE w:val="0"/>
              <w:autoSpaceDN w:val="0"/>
              <w:adjustRightInd w:val="0"/>
              <w:jc w:val="both"/>
              <w:rPr>
                <w:rFonts w:cs="Times New Roman"/>
                <w:sz w:val="18"/>
                <w:szCs w:val="18"/>
              </w:rPr>
            </w:pPr>
          </w:p>
        </w:tc>
        <w:tc>
          <w:tcPr>
            <w:tcW w:w="1379" w:type="dxa"/>
          </w:tcPr>
          <w:p>
            <w:pPr>
              <w:autoSpaceDE w:val="0"/>
              <w:autoSpaceDN w:val="0"/>
              <w:adjustRightInd w:val="0"/>
              <w:jc w:val="center"/>
              <w:rPr>
                <w:rFonts w:cs="Times New Roman"/>
                <w:sz w:val="18"/>
                <w:szCs w:val="18"/>
              </w:rPr>
            </w:pPr>
            <w:r>
              <w:rPr>
                <w:rFonts w:cs="Times New Roman"/>
                <w:sz w:val="18"/>
                <w:szCs w:val="18"/>
              </w:rPr>
              <w:t>(0.0752)</w:t>
            </w:r>
          </w:p>
        </w:tc>
        <w:tc>
          <w:tcPr>
            <w:tcW w:w="1377" w:type="dxa"/>
          </w:tcPr>
          <w:p>
            <w:pPr>
              <w:autoSpaceDE w:val="0"/>
              <w:autoSpaceDN w:val="0"/>
              <w:adjustRightInd w:val="0"/>
              <w:jc w:val="center"/>
              <w:rPr>
                <w:rFonts w:cs="Times New Roman"/>
                <w:sz w:val="18"/>
                <w:szCs w:val="18"/>
              </w:rPr>
            </w:pPr>
            <w:r>
              <w:rPr>
                <w:rFonts w:cs="Times New Roman"/>
                <w:sz w:val="18"/>
                <w:szCs w:val="18"/>
              </w:rPr>
              <w:t>(0.0812)</w:t>
            </w:r>
          </w:p>
        </w:tc>
        <w:tc>
          <w:tcPr>
            <w:tcW w:w="1377" w:type="dxa"/>
          </w:tcPr>
          <w:p>
            <w:pPr>
              <w:autoSpaceDE w:val="0"/>
              <w:autoSpaceDN w:val="0"/>
              <w:adjustRightInd w:val="0"/>
              <w:jc w:val="center"/>
              <w:rPr>
                <w:rFonts w:cs="Times New Roman"/>
                <w:sz w:val="18"/>
                <w:szCs w:val="18"/>
              </w:rPr>
            </w:pPr>
            <w:r>
              <w:rPr>
                <w:rFonts w:cs="Times New Roman"/>
                <w:sz w:val="18"/>
                <w:szCs w:val="18"/>
              </w:rPr>
              <w:t>(0.0938)</w:t>
            </w:r>
          </w:p>
        </w:tc>
        <w:tc>
          <w:tcPr>
            <w:tcW w:w="1377" w:type="dxa"/>
          </w:tcPr>
          <w:p>
            <w:pPr>
              <w:autoSpaceDE w:val="0"/>
              <w:autoSpaceDN w:val="0"/>
              <w:adjustRightInd w:val="0"/>
              <w:jc w:val="center"/>
              <w:rPr>
                <w:rFonts w:cs="Times New Roman"/>
                <w:sz w:val="18"/>
                <w:szCs w:val="18"/>
              </w:rPr>
            </w:pPr>
            <w:r>
              <w:rPr>
                <w:rFonts w:cs="Times New Roman"/>
                <w:sz w:val="18"/>
                <w:szCs w:val="18"/>
              </w:rPr>
              <w:t>(0.0706)</w:t>
            </w:r>
          </w:p>
        </w:tc>
        <w:tc>
          <w:tcPr>
            <w:tcW w:w="1377" w:type="dxa"/>
          </w:tcPr>
          <w:p>
            <w:pPr>
              <w:autoSpaceDE w:val="0"/>
              <w:autoSpaceDN w:val="0"/>
              <w:adjustRightInd w:val="0"/>
              <w:jc w:val="center"/>
              <w:rPr>
                <w:rFonts w:cs="Times New Roman"/>
                <w:sz w:val="18"/>
                <w:szCs w:val="18"/>
              </w:rPr>
            </w:pPr>
            <w:r>
              <w:rPr>
                <w:rFonts w:cs="Times New Roman"/>
                <w:sz w:val="18"/>
                <w:szCs w:val="18"/>
              </w:rPr>
              <w:t>(0.0887)</w:t>
            </w:r>
          </w:p>
        </w:tc>
      </w:tr>
      <w:tr>
        <w:tblPrEx>
          <w:tblCellMar>
            <w:top w:w="0" w:type="dxa"/>
            <w:left w:w="75" w:type="dxa"/>
            <w:bottom w:w="0" w:type="dxa"/>
            <w:right w:w="75" w:type="dxa"/>
          </w:tblCellMar>
        </w:tblPrEx>
        <w:trPr>
          <w:jc w:val="center"/>
        </w:trPr>
        <w:tc>
          <w:tcPr>
            <w:tcW w:w="2185" w:type="dxa"/>
          </w:tcPr>
          <w:p>
            <w:pPr>
              <w:autoSpaceDE w:val="0"/>
              <w:autoSpaceDN w:val="0"/>
              <w:adjustRightInd w:val="0"/>
              <w:jc w:val="both"/>
              <w:rPr>
                <w:rFonts w:cs="Times New Roman"/>
                <w:sz w:val="18"/>
                <w:szCs w:val="18"/>
              </w:rPr>
            </w:pPr>
            <w:r>
              <w:rPr>
                <w:rFonts w:cs="Times New Roman"/>
                <w:i/>
                <w:iCs/>
                <w:sz w:val="18"/>
                <w:szCs w:val="18"/>
              </w:rPr>
              <w:t>Δlnarea</w:t>
            </w:r>
          </w:p>
        </w:tc>
        <w:tc>
          <w:tcPr>
            <w:tcW w:w="1379" w:type="dxa"/>
          </w:tcPr>
          <w:p>
            <w:pPr>
              <w:autoSpaceDE w:val="0"/>
              <w:autoSpaceDN w:val="0"/>
              <w:adjustRightInd w:val="0"/>
              <w:jc w:val="center"/>
              <w:rPr>
                <w:sz w:val="18"/>
                <w:szCs w:val="18"/>
              </w:rPr>
            </w:pPr>
            <w:r>
              <w:rPr>
                <w:rFonts w:cs="Times New Roman"/>
                <w:sz w:val="18"/>
                <w:szCs w:val="18"/>
              </w:rPr>
              <w:t>1.4486***</w:t>
            </w:r>
          </w:p>
        </w:tc>
        <w:tc>
          <w:tcPr>
            <w:tcW w:w="1377" w:type="dxa"/>
          </w:tcPr>
          <w:p>
            <w:pPr>
              <w:autoSpaceDE w:val="0"/>
              <w:autoSpaceDN w:val="0"/>
              <w:adjustRightInd w:val="0"/>
              <w:jc w:val="center"/>
              <w:rPr>
                <w:sz w:val="18"/>
                <w:szCs w:val="18"/>
              </w:rPr>
            </w:pPr>
            <w:r>
              <w:rPr>
                <w:rFonts w:cs="Times New Roman"/>
                <w:sz w:val="18"/>
                <w:szCs w:val="18"/>
              </w:rPr>
              <w:t>1.5387***</w:t>
            </w:r>
          </w:p>
        </w:tc>
        <w:tc>
          <w:tcPr>
            <w:tcW w:w="1377" w:type="dxa"/>
          </w:tcPr>
          <w:p>
            <w:pPr>
              <w:autoSpaceDE w:val="0"/>
              <w:autoSpaceDN w:val="0"/>
              <w:adjustRightInd w:val="0"/>
              <w:jc w:val="center"/>
              <w:rPr>
                <w:sz w:val="18"/>
                <w:szCs w:val="18"/>
              </w:rPr>
            </w:pPr>
            <w:r>
              <w:rPr>
                <w:rFonts w:cs="Times New Roman"/>
                <w:sz w:val="18"/>
                <w:szCs w:val="18"/>
              </w:rPr>
              <w:t>1.7131***</w:t>
            </w:r>
          </w:p>
        </w:tc>
        <w:tc>
          <w:tcPr>
            <w:tcW w:w="1377" w:type="dxa"/>
          </w:tcPr>
          <w:p>
            <w:pPr>
              <w:autoSpaceDE w:val="0"/>
              <w:autoSpaceDN w:val="0"/>
              <w:adjustRightInd w:val="0"/>
              <w:jc w:val="center"/>
              <w:rPr>
                <w:rFonts w:cs="Times New Roman"/>
                <w:sz w:val="18"/>
                <w:szCs w:val="18"/>
              </w:rPr>
            </w:pPr>
            <w:r>
              <w:rPr>
                <w:rFonts w:cs="Times New Roman"/>
                <w:sz w:val="18"/>
                <w:szCs w:val="18"/>
              </w:rPr>
              <w:t>1.4125***</w:t>
            </w:r>
          </w:p>
        </w:tc>
        <w:tc>
          <w:tcPr>
            <w:tcW w:w="1377" w:type="dxa"/>
          </w:tcPr>
          <w:p>
            <w:pPr>
              <w:autoSpaceDE w:val="0"/>
              <w:autoSpaceDN w:val="0"/>
              <w:adjustRightInd w:val="0"/>
              <w:jc w:val="center"/>
              <w:rPr>
                <w:rFonts w:cs="Times New Roman"/>
                <w:sz w:val="18"/>
                <w:szCs w:val="18"/>
              </w:rPr>
            </w:pPr>
            <w:r>
              <w:rPr>
                <w:rFonts w:cs="Times New Roman"/>
                <w:sz w:val="18"/>
                <w:szCs w:val="18"/>
              </w:rPr>
              <w:t>1.5024***</w:t>
            </w:r>
          </w:p>
        </w:tc>
      </w:tr>
      <w:tr>
        <w:tblPrEx>
          <w:tblCellMar>
            <w:top w:w="0" w:type="dxa"/>
            <w:left w:w="75" w:type="dxa"/>
            <w:bottom w:w="0" w:type="dxa"/>
            <w:right w:w="75" w:type="dxa"/>
          </w:tblCellMar>
        </w:tblPrEx>
        <w:trPr>
          <w:jc w:val="center"/>
        </w:trPr>
        <w:tc>
          <w:tcPr>
            <w:tcW w:w="2185" w:type="dxa"/>
          </w:tcPr>
          <w:p>
            <w:pPr>
              <w:autoSpaceDE w:val="0"/>
              <w:autoSpaceDN w:val="0"/>
              <w:adjustRightInd w:val="0"/>
              <w:jc w:val="both"/>
              <w:rPr>
                <w:rFonts w:cs="Times New Roman"/>
                <w:sz w:val="18"/>
                <w:szCs w:val="18"/>
              </w:rPr>
            </w:pPr>
          </w:p>
        </w:tc>
        <w:tc>
          <w:tcPr>
            <w:tcW w:w="1379" w:type="dxa"/>
          </w:tcPr>
          <w:p>
            <w:pPr>
              <w:autoSpaceDE w:val="0"/>
              <w:autoSpaceDN w:val="0"/>
              <w:adjustRightInd w:val="0"/>
              <w:jc w:val="center"/>
              <w:rPr>
                <w:sz w:val="18"/>
                <w:szCs w:val="18"/>
              </w:rPr>
            </w:pPr>
            <w:r>
              <w:rPr>
                <w:rFonts w:cs="Times New Roman"/>
                <w:sz w:val="18"/>
                <w:szCs w:val="18"/>
              </w:rPr>
              <w:t>(0.3179)</w:t>
            </w:r>
          </w:p>
        </w:tc>
        <w:tc>
          <w:tcPr>
            <w:tcW w:w="1377" w:type="dxa"/>
          </w:tcPr>
          <w:p>
            <w:pPr>
              <w:autoSpaceDE w:val="0"/>
              <w:autoSpaceDN w:val="0"/>
              <w:adjustRightInd w:val="0"/>
              <w:jc w:val="center"/>
              <w:rPr>
                <w:sz w:val="18"/>
                <w:szCs w:val="18"/>
              </w:rPr>
            </w:pPr>
            <w:r>
              <w:rPr>
                <w:rFonts w:cs="Times New Roman"/>
                <w:sz w:val="18"/>
                <w:szCs w:val="18"/>
              </w:rPr>
              <w:t>(0.3362)</w:t>
            </w:r>
          </w:p>
        </w:tc>
        <w:tc>
          <w:tcPr>
            <w:tcW w:w="1377" w:type="dxa"/>
          </w:tcPr>
          <w:p>
            <w:pPr>
              <w:autoSpaceDE w:val="0"/>
              <w:autoSpaceDN w:val="0"/>
              <w:adjustRightInd w:val="0"/>
              <w:jc w:val="center"/>
              <w:rPr>
                <w:sz w:val="18"/>
                <w:szCs w:val="18"/>
              </w:rPr>
            </w:pPr>
            <w:r>
              <w:rPr>
                <w:rFonts w:cs="Times New Roman"/>
                <w:sz w:val="18"/>
                <w:szCs w:val="18"/>
              </w:rPr>
              <w:t>(0.3668)</w:t>
            </w:r>
          </w:p>
        </w:tc>
        <w:tc>
          <w:tcPr>
            <w:tcW w:w="1377" w:type="dxa"/>
          </w:tcPr>
          <w:p>
            <w:pPr>
              <w:autoSpaceDE w:val="0"/>
              <w:autoSpaceDN w:val="0"/>
              <w:adjustRightInd w:val="0"/>
              <w:jc w:val="center"/>
              <w:rPr>
                <w:rFonts w:cs="Times New Roman"/>
                <w:sz w:val="18"/>
                <w:szCs w:val="18"/>
              </w:rPr>
            </w:pPr>
            <w:r>
              <w:rPr>
                <w:rFonts w:cs="Times New Roman"/>
                <w:sz w:val="18"/>
                <w:szCs w:val="18"/>
              </w:rPr>
              <w:t>(0.3326)</w:t>
            </w:r>
          </w:p>
        </w:tc>
        <w:tc>
          <w:tcPr>
            <w:tcW w:w="1377" w:type="dxa"/>
          </w:tcPr>
          <w:p>
            <w:pPr>
              <w:autoSpaceDE w:val="0"/>
              <w:autoSpaceDN w:val="0"/>
              <w:adjustRightInd w:val="0"/>
              <w:jc w:val="center"/>
              <w:rPr>
                <w:rFonts w:cs="Times New Roman"/>
                <w:sz w:val="18"/>
                <w:szCs w:val="18"/>
              </w:rPr>
            </w:pPr>
            <w:r>
              <w:rPr>
                <w:rFonts w:cs="Times New Roman"/>
                <w:sz w:val="18"/>
                <w:szCs w:val="18"/>
              </w:rPr>
              <w:t>(0.3353)</w:t>
            </w:r>
          </w:p>
        </w:tc>
      </w:tr>
      <w:tr>
        <w:tblPrEx>
          <w:tblCellMar>
            <w:top w:w="0" w:type="dxa"/>
            <w:left w:w="75" w:type="dxa"/>
            <w:bottom w:w="0" w:type="dxa"/>
            <w:right w:w="75" w:type="dxa"/>
          </w:tblCellMar>
        </w:tblPrEx>
        <w:trPr>
          <w:jc w:val="center"/>
        </w:trPr>
        <w:tc>
          <w:tcPr>
            <w:tcW w:w="2185" w:type="dxa"/>
          </w:tcPr>
          <w:p>
            <w:pPr>
              <w:autoSpaceDE w:val="0"/>
              <w:autoSpaceDN w:val="0"/>
              <w:adjustRightInd w:val="0"/>
              <w:jc w:val="both"/>
              <w:rPr>
                <w:rFonts w:cs="Times New Roman"/>
                <w:sz w:val="18"/>
                <w:szCs w:val="18"/>
              </w:rPr>
            </w:pPr>
            <w:r>
              <w:rPr>
                <w:rFonts w:cs="Times New Roman"/>
                <w:sz w:val="18"/>
                <w:szCs w:val="18"/>
              </w:rPr>
              <w:t>N</w:t>
            </w:r>
          </w:p>
        </w:tc>
        <w:tc>
          <w:tcPr>
            <w:tcW w:w="1379" w:type="dxa"/>
          </w:tcPr>
          <w:p>
            <w:pPr>
              <w:autoSpaceDE w:val="0"/>
              <w:autoSpaceDN w:val="0"/>
              <w:adjustRightInd w:val="0"/>
              <w:jc w:val="center"/>
              <w:rPr>
                <w:rFonts w:cs="Times New Roman"/>
                <w:sz w:val="18"/>
                <w:szCs w:val="18"/>
              </w:rPr>
            </w:pPr>
            <w:r>
              <w:rPr>
                <w:rFonts w:cs="Times New Roman"/>
                <w:sz w:val="18"/>
                <w:szCs w:val="18"/>
              </w:rPr>
              <w:t>246</w:t>
            </w:r>
          </w:p>
        </w:tc>
        <w:tc>
          <w:tcPr>
            <w:tcW w:w="1377" w:type="dxa"/>
          </w:tcPr>
          <w:p>
            <w:pPr>
              <w:autoSpaceDE w:val="0"/>
              <w:autoSpaceDN w:val="0"/>
              <w:adjustRightInd w:val="0"/>
              <w:jc w:val="center"/>
              <w:rPr>
                <w:rFonts w:cs="Times New Roman"/>
                <w:sz w:val="18"/>
                <w:szCs w:val="18"/>
              </w:rPr>
            </w:pPr>
            <w:r>
              <w:rPr>
                <w:rFonts w:cs="Times New Roman"/>
                <w:sz w:val="18"/>
                <w:szCs w:val="18"/>
              </w:rPr>
              <w:t>245</w:t>
            </w:r>
          </w:p>
        </w:tc>
        <w:tc>
          <w:tcPr>
            <w:tcW w:w="1377" w:type="dxa"/>
          </w:tcPr>
          <w:p>
            <w:pPr>
              <w:autoSpaceDE w:val="0"/>
              <w:autoSpaceDN w:val="0"/>
              <w:adjustRightInd w:val="0"/>
              <w:jc w:val="center"/>
              <w:rPr>
                <w:rFonts w:cs="Times New Roman"/>
                <w:sz w:val="18"/>
                <w:szCs w:val="18"/>
              </w:rPr>
            </w:pPr>
            <w:r>
              <w:rPr>
                <w:rFonts w:cs="Times New Roman"/>
                <w:sz w:val="18"/>
                <w:szCs w:val="18"/>
              </w:rPr>
              <w:t>227</w:t>
            </w:r>
          </w:p>
        </w:tc>
        <w:tc>
          <w:tcPr>
            <w:tcW w:w="1377" w:type="dxa"/>
          </w:tcPr>
          <w:p>
            <w:pPr>
              <w:autoSpaceDE w:val="0"/>
              <w:autoSpaceDN w:val="0"/>
              <w:adjustRightInd w:val="0"/>
              <w:jc w:val="center"/>
              <w:rPr>
                <w:rFonts w:cs="Times New Roman"/>
                <w:sz w:val="18"/>
                <w:szCs w:val="18"/>
              </w:rPr>
            </w:pPr>
            <w:r>
              <w:rPr>
                <w:rFonts w:cs="Times New Roman"/>
                <w:sz w:val="18"/>
                <w:szCs w:val="18"/>
              </w:rPr>
              <w:t>235</w:t>
            </w:r>
          </w:p>
        </w:tc>
        <w:tc>
          <w:tcPr>
            <w:tcW w:w="1377" w:type="dxa"/>
          </w:tcPr>
          <w:p>
            <w:pPr>
              <w:autoSpaceDE w:val="0"/>
              <w:autoSpaceDN w:val="0"/>
              <w:adjustRightInd w:val="0"/>
              <w:jc w:val="center"/>
              <w:rPr>
                <w:rFonts w:cs="Times New Roman"/>
                <w:sz w:val="18"/>
                <w:szCs w:val="18"/>
              </w:rPr>
            </w:pPr>
            <w:r>
              <w:rPr>
                <w:rFonts w:cs="Times New Roman"/>
                <w:sz w:val="18"/>
                <w:szCs w:val="18"/>
              </w:rPr>
              <w:t>228</w:t>
            </w:r>
          </w:p>
        </w:tc>
      </w:tr>
      <w:tr>
        <w:tblPrEx>
          <w:tblCellMar>
            <w:top w:w="0" w:type="dxa"/>
            <w:left w:w="75" w:type="dxa"/>
            <w:bottom w:w="0" w:type="dxa"/>
            <w:right w:w="75" w:type="dxa"/>
          </w:tblCellMar>
        </w:tblPrEx>
        <w:trPr>
          <w:jc w:val="center"/>
        </w:trPr>
        <w:tc>
          <w:tcPr>
            <w:tcW w:w="2185" w:type="dxa"/>
            <w:tcBorders>
              <w:bottom w:val="single" w:color="auto" w:sz="4" w:space="0"/>
            </w:tcBorders>
          </w:tcPr>
          <w:p>
            <w:pPr>
              <w:autoSpaceDE w:val="0"/>
              <w:autoSpaceDN w:val="0"/>
              <w:adjustRightInd w:val="0"/>
              <w:jc w:val="both"/>
              <w:rPr>
                <w:rFonts w:cs="Times New Roman"/>
                <w:sz w:val="18"/>
                <w:szCs w:val="18"/>
              </w:rPr>
            </w:pPr>
            <w:r>
              <w:rPr>
                <w:rFonts w:cs="Times New Roman"/>
                <w:sz w:val="18"/>
                <w:szCs w:val="18"/>
              </w:rPr>
              <w:t>Controls</w:t>
            </w:r>
          </w:p>
        </w:tc>
        <w:tc>
          <w:tcPr>
            <w:tcW w:w="1379" w:type="dxa"/>
            <w:tcBorders>
              <w:bottom w:val="single" w:color="auto" w:sz="4" w:space="0"/>
            </w:tcBorders>
          </w:tcPr>
          <w:p>
            <w:pPr>
              <w:autoSpaceDE w:val="0"/>
              <w:autoSpaceDN w:val="0"/>
              <w:adjustRightInd w:val="0"/>
              <w:jc w:val="center"/>
              <w:rPr>
                <w:rFonts w:cs="Times New Roman"/>
                <w:sz w:val="18"/>
                <w:szCs w:val="18"/>
              </w:rPr>
            </w:pPr>
            <w:r>
              <w:rPr>
                <w:rFonts w:cs="Times New Roman"/>
                <w:sz w:val="18"/>
                <w:szCs w:val="18"/>
              </w:rPr>
              <w:t>Y</w:t>
            </w:r>
          </w:p>
        </w:tc>
        <w:tc>
          <w:tcPr>
            <w:tcW w:w="1377" w:type="dxa"/>
            <w:tcBorders>
              <w:bottom w:val="single" w:color="auto" w:sz="4" w:space="0"/>
            </w:tcBorders>
          </w:tcPr>
          <w:p>
            <w:pPr>
              <w:autoSpaceDE w:val="0"/>
              <w:autoSpaceDN w:val="0"/>
              <w:adjustRightInd w:val="0"/>
              <w:jc w:val="center"/>
              <w:rPr>
                <w:rFonts w:cs="Times New Roman"/>
                <w:sz w:val="18"/>
                <w:szCs w:val="18"/>
              </w:rPr>
            </w:pPr>
            <w:r>
              <w:rPr>
                <w:rFonts w:cs="Times New Roman"/>
                <w:sz w:val="18"/>
                <w:szCs w:val="18"/>
              </w:rPr>
              <w:t>Y</w:t>
            </w:r>
          </w:p>
        </w:tc>
        <w:tc>
          <w:tcPr>
            <w:tcW w:w="1377" w:type="dxa"/>
            <w:tcBorders>
              <w:bottom w:val="single" w:color="auto" w:sz="4" w:space="0"/>
            </w:tcBorders>
          </w:tcPr>
          <w:p>
            <w:pPr>
              <w:autoSpaceDE w:val="0"/>
              <w:autoSpaceDN w:val="0"/>
              <w:adjustRightInd w:val="0"/>
              <w:jc w:val="center"/>
              <w:rPr>
                <w:rFonts w:cs="Times New Roman"/>
                <w:sz w:val="18"/>
                <w:szCs w:val="18"/>
              </w:rPr>
            </w:pPr>
            <w:r>
              <w:rPr>
                <w:rFonts w:cs="Times New Roman"/>
                <w:sz w:val="18"/>
                <w:szCs w:val="18"/>
              </w:rPr>
              <w:t>Y</w:t>
            </w:r>
          </w:p>
        </w:tc>
        <w:tc>
          <w:tcPr>
            <w:tcW w:w="1377" w:type="dxa"/>
            <w:tcBorders>
              <w:bottom w:val="single" w:color="auto" w:sz="4" w:space="0"/>
            </w:tcBorders>
          </w:tcPr>
          <w:p>
            <w:pPr>
              <w:autoSpaceDE w:val="0"/>
              <w:autoSpaceDN w:val="0"/>
              <w:adjustRightInd w:val="0"/>
              <w:jc w:val="center"/>
              <w:rPr>
                <w:rFonts w:cs="Times New Roman"/>
                <w:sz w:val="18"/>
                <w:szCs w:val="18"/>
              </w:rPr>
            </w:pPr>
            <w:r>
              <w:rPr>
                <w:rFonts w:cs="Times New Roman"/>
                <w:sz w:val="18"/>
                <w:szCs w:val="18"/>
              </w:rPr>
              <w:t>Y</w:t>
            </w:r>
          </w:p>
        </w:tc>
        <w:tc>
          <w:tcPr>
            <w:tcW w:w="1377" w:type="dxa"/>
            <w:tcBorders>
              <w:bottom w:val="single" w:color="auto" w:sz="4" w:space="0"/>
            </w:tcBorders>
          </w:tcPr>
          <w:p>
            <w:pPr>
              <w:autoSpaceDE w:val="0"/>
              <w:autoSpaceDN w:val="0"/>
              <w:adjustRightInd w:val="0"/>
              <w:jc w:val="center"/>
              <w:rPr>
                <w:rFonts w:cs="Times New Roman"/>
                <w:sz w:val="18"/>
                <w:szCs w:val="18"/>
              </w:rPr>
            </w:pPr>
            <w:r>
              <w:rPr>
                <w:rFonts w:cs="Times New Roman"/>
                <w:sz w:val="18"/>
                <w:szCs w:val="18"/>
              </w:rPr>
              <w:t>Y</w:t>
            </w:r>
          </w:p>
        </w:tc>
      </w:tr>
    </w:tbl>
    <w:p>
      <w:pPr>
        <w:autoSpaceDE w:val="0"/>
        <w:autoSpaceDN w:val="0"/>
        <w:adjustRightInd w:val="0"/>
        <w:ind w:firstLine="180" w:firstLineChars="100"/>
        <w:jc w:val="both"/>
        <w:rPr>
          <w:rFonts w:cs="Times New Roman"/>
          <w:sz w:val="18"/>
          <w:szCs w:val="18"/>
        </w:rPr>
      </w:pPr>
      <w:r>
        <w:rPr>
          <w:rFonts w:hint="eastAsia" w:cs="Times New Roman"/>
          <w:sz w:val="18"/>
          <w:szCs w:val="18"/>
        </w:rPr>
        <w:t>注：第（</w:t>
      </w:r>
      <w:r>
        <w:rPr>
          <w:rFonts w:cs="Times New Roman"/>
          <w:sz w:val="18"/>
          <w:szCs w:val="18"/>
        </w:rPr>
        <w:t>1</w:t>
      </w:r>
      <w:r>
        <w:rPr>
          <w:rFonts w:hint="eastAsia" w:cs="Times New Roman"/>
          <w:sz w:val="18"/>
          <w:szCs w:val="18"/>
        </w:rPr>
        <w:t>）列剔除北京、天津、上海、重庆以及深圳的样本，第（</w:t>
      </w:r>
      <w:r>
        <w:rPr>
          <w:rFonts w:cs="Times New Roman"/>
          <w:sz w:val="18"/>
          <w:szCs w:val="18"/>
        </w:rPr>
        <w:t>2</w:t>
      </w:r>
      <w:r>
        <w:rPr>
          <w:rFonts w:hint="eastAsia" w:cs="Times New Roman"/>
          <w:sz w:val="18"/>
          <w:szCs w:val="18"/>
        </w:rPr>
        <w:t>）列剔除中国所有人口超过</w:t>
      </w:r>
      <w:r>
        <w:rPr>
          <w:rFonts w:cs="Times New Roman"/>
          <w:sz w:val="18"/>
          <w:szCs w:val="18"/>
        </w:rPr>
        <w:t>500</w:t>
      </w:r>
      <w:r>
        <w:rPr>
          <w:rFonts w:hint="eastAsia" w:cs="Times New Roman"/>
          <w:sz w:val="18"/>
          <w:szCs w:val="18"/>
        </w:rPr>
        <w:t>万的特大与超大型城市样本，第（</w:t>
      </w:r>
      <w:r>
        <w:rPr>
          <w:rFonts w:cs="Times New Roman"/>
          <w:sz w:val="18"/>
          <w:szCs w:val="18"/>
        </w:rPr>
        <w:t>3</w:t>
      </w:r>
      <w:r>
        <w:rPr>
          <w:rFonts w:hint="eastAsia" w:cs="Times New Roman"/>
          <w:sz w:val="18"/>
          <w:szCs w:val="18"/>
        </w:rPr>
        <w:t>）列剔除中国所有省会城市样本，第（</w:t>
      </w:r>
      <w:r>
        <w:rPr>
          <w:rFonts w:cs="Times New Roman"/>
          <w:sz w:val="18"/>
          <w:szCs w:val="18"/>
        </w:rPr>
        <w:t>4</w:t>
      </w:r>
      <w:r>
        <w:rPr>
          <w:rFonts w:hint="eastAsia" w:cs="Times New Roman"/>
          <w:sz w:val="18"/>
          <w:szCs w:val="18"/>
        </w:rPr>
        <w:t>）列剔除中国多边形可能发生异常变异的城市，第（</w:t>
      </w:r>
      <w:r>
        <w:rPr>
          <w:rFonts w:cs="Times New Roman"/>
          <w:sz w:val="18"/>
          <w:szCs w:val="18"/>
        </w:rPr>
        <w:t>5</w:t>
      </w:r>
      <w:r>
        <w:rPr>
          <w:rFonts w:hint="eastAsia" w:cs="Times New Roman"/>
          <w:sz w:val="18"/>
          <w:szCs w:val="18"/>
        </w:rPr>
        <w:t>）列剔除中国所有主要港口城市样本。</w:t>
      </w:r>
    </w:p>
    <w:p>
      <w:pPr>
        <w:autoSpaceDE w:val="0"/>
        <w:autoSpaceDN w:val="0"/>
        <w:adjustRightInd w:val="0"/>
        <w:ind w:firstLine="420" w:firstLineChars="200"/>
        <w:jc w:val="both"/>
        <w:rPr>
          <w:rFonts w:cs="Times New Roman"/>
          <w:szCs w:val="21"/>
        </w:rPr>
      </w:pPr>
      <w:r>
        <w:rPr>
          <w:rFonts w:hint="eastAsia" w:cs="Times New Roman"/>
          <w:szCs w:val="21"/>
        </w:rPr>
        <w:t>5</w:t>
      </w:r>
      <w:r>
        <w:rPr>
          <w:rFonts w:cs="Times New Roman"/>
          <w:szCs w:val="21"/>
        </w:rPr>
        <w:t>.</w:t>
      </w:r>
      <w:r>
        <w:rPr>
          <w:rFonts w:hint="eastAsia" w:cs="Times New Roman"/>
          <w:szCs w:val="21"/>
        </w:rPr>
        <w:t>替换主要数据进行检验</w:t>
      </w:r>
    </w:p>
    <w:p>
      <w:pPr>
        <w:ind w:firstLine="420" w:firstLineChars="200"/>
        <w:jc w:val="both"/>
        <w:rPr>
          <w:rFonts w:cs="Times New Roman"/>
        </w:rPr>
      </w:pPr>
      <w:r>
        <w:rPr>
          <w:rFonts w:hint="eastAsia" w:cs="Times New Roman"/>
        </w:rPr>
        <w:t>基准回归中使用了</w:t>
      </w:r>
      <w:r>
        <w:rPr>
          <w:rFonts w:hint="eastAsia"/>
        </w:rPr>
        <w:t>陆地覆盖数据</w:t>
      </w:r>
      <w:r>
        <w:rPr>
          <w:rFonts w:hint="eastAsia" w:cs="Times New Roman"/>
        </w:rPr>
        <w:t>来识别城市范围，既有研究也常使用夜间灯光数据或人口分布数据结合阈值识别城市（Harari，2</w:t>
      </w:r>
      <w:r>
        <w:rPr>
          <w:rFonts w:cs="Times New Roman"/>
        </w:rPr>
        <w:t>020</w:t>
      </w:r>
      <w:r>
        <w:rPr>
          <w:rFonts w:hint="eastAsia" w:cs="Times New Roman"/>
        </w:rPr>
        <w:t>；Henderson et al</w:t>
      </w:r>
      <w:r>
        <w:rPr>
          <w:rFonts w:cs="Times New Roman"/>
        </w:rPr>
        <w:t>.</w:t>
      </w:r>
      <w:r>
        <w:rPr>
          <w:rFonts w:hint="eastAsia" w:cs="Times New Roman"/>
        </w:rPr>
        <w:t>，2</w:t>
      </w:r>
      <w:r>
        <w:rPr>
          <w:rFonts w:cs="Times New Roman"/>
        </w:rPr>
        <w:t>0</w:t>
      </w:r>
      <w:r>
        <w:rPr>
          <w:rFonts w:hint="eastAsia" w:cs="Times New Roman"/>
        </w:rPr>
        <w:t>21）。这一节考虑到数据使用的稳健性，我们使用Worldpop人口分布数据识别城市的范围并测算</w:t>
      </w:r>
      <w:r>
        <w:rPr>
          <w:rFonts w:hint="eastAsia"/>
        </w:rPr>
        <w:t>城市几何形态</w:t>
      </w:r>
      <w:r>
        <w:rPr>
          <w:rFonts w:hint="eastAsia" w:cs="Times New Roman"/>
        </w:rPr>
        <w:t>，识别的策略为首先参照Henderson et al</w:t>
      </w:r>
      <w:r>
        <w:rPr>
          <w:rFonts w:cs="Times New Roman"/>
        </w:rPr>
        <w:t>.</w:t>
      </w:r>
      <w:r>
        <w:rPr>
          <w:rFonts w:hint="eastAsia" w:cs="Times New Roman"/>
        </w:rPr>
        <w:t>（2</w:t>
      </w:r>
      <w:r>
        <w:rPr>
          <w:rFonts w:cs="Times New Roman"/>
        </w:rPr>
        <w:t>0</w:t>
      </w:r>
      <w:r>
        <w:rPr>
          <w:rFonts w:hint="eastAsia" w:cs="Times New Roman"/>
        </w:rPr>
        <w:t>21）的做法将原分辨率为1</w:t>
      </w:r>
      <w:r>
        <w:rPr>
          <w:rFonts w:cs="Times New Roman"/>
        </w:rPr>
        <w:t>00</w:t>
      </w:r>
      <w:r>
        <w:rPr>
          <w:rFonts w:hint="eastAsia" w:cs="Times New Roman"/>
        </w:rPr>
        <w:t>m</w:t>
      </w:r>
      <w:r>
        <w:rPr>
          <w:rFonts w:cs="Times New Roman"/>
          <w:szCs w:val="21"/>
        </w:rPr>
        <w:t>×100</w:t>
      </w:r>
      <w:r>
        <w:rPr>
          <w:rFonts w:hint="eastAsia" w:cs="Times New Roman"/>
          <w:szCs w:val="21"/>
        </w:rPr>
        <w:t>m的</w:t>
      </w:r>
      <w:r>
        <w:rPr>
          <w:rFonts w:hint="eastAsia" w:cs="Times New Roman"/>
        </w:rPr>
        <w:t>人口分布数据先按照1km</w:t>
      </w:r>
      <w:r>
        <w:rPr>
          <w:rFonts w:cs="Times New Roman"/>
          <w:szCs w:val="21"/>
        </w:rPr>
        <w:t>×1</w:t>
      </w:r>
      <w:r>
        <w:rPr>
          <w:rFonts w:hint="eastAsia" w:cs="Times New Roman"/>
          <w:szCs w:val="21"/>
        </w:rPr>
        <w:t>km</w:t>
      </w:r>
      <w:r>
        <w:rPr>
          <w:rFonts w:hint="eastAsia" w:cs="Times New Roman"/>
        </w:rPr>
        <w:t>的尺度进行加总，然后进行平滑性处理，以每个栅格为中心计算其周围7km</w:t>
      </w:r>
      <w:r>
        <w:rPr>
          <w:rFonts w:cs="Times New Roman"/>
          <w:szCs w:val="21"/>
        </w:rPr>
        <w:t>×</w:t>
      </w:r>
      <w:r>
        <w:rPr>
          <w:rFonts w:hint="eastAsia" w:cs="Times New Roman"/>
          <w:szCs w:val="21"/>
        </w:rPr>
        <w:t>7km尺度正方形内的均值作为该栅格的像元值</w:t>
      </w:r>
      <w:r>
        <w:rPr>
          <w:rFonts w:hint="eastAsia" w:cs="Times New Roman"/>
        </w:rPr>
        <w:t>，然后以每平方公里1</w:t>
      </w:r>
      <w:r>
        <w:rPr>
          <w:rFonts w:cs="Times New Roman"/>
        </w:rPr>
        <w:t>500</w:t>
      </w:r>
      <w:r>
        <w:rPr>
          <w:rFonts w:hint="eastAsia" w:cs="Times New Roman"/>
        </w:rPr>
        <w:t>人的阈值提取最大面积的连续多边形以及内部的人口，根据多边形计算城市面积、城市几何形态指数，并且按照基准回归的方法重新计算了相应的工具变量进行重新回归，结果如</w:t>
      </w:r>
      <w:bookmarkStart w:id="12" w:name="_Hlk155564187"/>
      <w:r>
        <w:rPr>
          <w:rFonts w:hint="eastAsia" w:cs="Times New Roman"/>
        </w:rPr>
        <w:t>表</w:t>
      </w:r>
      <w:bookmarkEnd w:id="12"/>
      <w:r>
        <w:rPr>
          <w:rFonts w:hint="eastAsia" w:ascii="仿宋" w:hAnsi="仿宋" w:cs="仿宋"/>
        </w:rPr>
        <w:t>Ⅱ</w:t>
      </w:r>
      <w:r>
        <w:rPr>
          <w:rFonts w:hint="eastAsia" w:cs="Times New Roman"/>
        </w:rPr>
        <w:t>6第（1）列所示，几何形态系数均显著为负，说明我们替换数据后依然能够得到较为显著的结果。</w:t>
      </w:r>
    </w:p>
    <w:p>
      <w:pPr>
        <w:ind w:firstLine="420" w:firstLineChars="200"/>
        <w:jc w:val="both"/>
        <w:rPr>
          <w:rFonts w:cs="Times New Roman"/>
        </w:rPr>
      </w:pPr>
      <w:r>
        <w:rPr>
          <w:rFonts w:hint="eastAsia" w:cs="Times New Roman"/>
        </w:rPr>
        <w:t>4</w:t>
      </w:r>
      <w:r>
        <w:rPr>
          <w:rFonts w:cs="Times New Roman"/>
        </w:rPr>
        <w:t>.</w:t>
      </w:r>
      <w:r>
        <w:rPr>
          <w:rFonts w:hint="eastAsia" w:cs="Times New Roman"/>
        </w:rPr>
        <w:t>安慰剂检验</w:t>
      </w:r>
    </w:p>
    <w:p>
      <w:pPr>
        <w:ind w:firstLine="420" w:firstLineChars="200"/>
        <w:jc w:val="both"/>
        <w:rPr>
          <w:rFonts w:cs="Times New Roman"/>
        </w:rPr>
      </w:pPr>
      <w:r>
        <w:rPr>
          <w:rFonts w:hint="eastAsia" w:cs="Times New Roman"/>
        </w:rPr>
        <w:t>考虑到识别的稳健性，依然可能存在无法观测的因素影响城市人口增长，而造成识别出“安慰剂”效应。对此，我们根据Worldpop人口分布数据计算了2</w:t>
      </w:r>
      <w:r>
        <w:rPr>
          <w:rFonts w:cs="Times New Roman"/>
        </w:rPr>
        <w:t>016</w:t>
      </w:r>
      <w:r>
        <w:rPr>
          <w:rFonts w:hint="eastAsia" w:cs="Times New Roman"/>
        </w:rPr>
        <w:t>—</w:t>
      </w:r>
      <w:r>
        <w:rPr>
          <w:rFonts w:cs="Times New Roman"/>
        </w:rPr>
        <w:t>20</w:t>
      </w:r>
      <w:r>
        <w:rPr>
          <w:rFonts w:hint="eastAsia" w:cs="Times New Roman"/>
        </w:rPr>
        <w:t>20年的人口数据、城市几何形态指数、城市面积以及工具变量并从《中国城市统计年鉴》中提取了2</w:t>
      </w:r>
      <w:r>
        <w:rPr>
          <w:rFonts w:cs="Times New Roman"/>
        </w:rPr>
        <w:t>016</w:t>
      </w:r>
      <w:r>
        <w:rPr>
          <w:rFonts w:hint="eastAsia" w:cs="Times New Roman"/>
        </w:rPr>
        <w:t>—</w:t>
      </w:r>
      <w:r>
        <w:rPr>
          <w:rFonts w:cs="Times New Roman"/>
        </w:rPr>
        <w:t>20</w:t>
      </w:r>
      <w:r>
        <w:rPr>
          <w:rFonts w:hint="eastAsia" w:cs="Times New Roman"/>
        </w:rPr>
        <w:t>20年的城市特征数据，然后依然以2</w:t>
      </w:r>
      <w:r>
        <w:rPr>
          <w:rFonts w:cs="Times New Roman"/>
        </w:rPr>
        <w:t>000</w:t>
      </w:r>
      <w:r>
        <w:rPr>
          <w:rFonts w:hint="eastAsia" w:cs="Times New Roman"/>
        </w:rPr>
        <w:t>—</w:t>
      </w:r>
      <w:r>
        <w:rPr>
          <w:rFonts w:cs="Times New Roman"/>
        </w:rPr>
        <w:t>2015</w:t>
      </w:r>
      <w:r>
        <w:rPr>
          <w:rFonts w:hint="eastAsia" w:cs="Times New Roman"/>
        </w:rPr>
        <w:t>年的人口增长数据作为被解释变量进行回归，核心的思路是考察未来的变异是否会对过去的人口增长产生影响，如果出现显著的效应说明存在安慰剂效应，如果不存在效应则通过检验，回归结果如表</w:t>
      </w:r>
      <w:r>
        <w:rPr>
          <w:rFonts w:hint="eastAsia" w:ascii="仿宋" w:hAnsi="仿宋" w:cs="仿宋"/>
        </w:rPr>
        <w:t>Ⅱ</w:t>
      </w:r>
      <w:r>
        <w:rPr>
          <w:rFonts w:hint="eastAsia" w:cs="Times New Roman"/>
        </w:rPr>
        <w:t>6所示，第（</w:t>
      </w:r>
      <w:r>
        <w:rPr>
          <w:rFonts w:cs="Times New Roman"/>
        </w:rPr>
        <w:t>2</w:t>
      </w:r>
      <w:r>
        <w:rPr>
          <w:rFonts w:hint="eastAsia" w:cs="Times New Roman"/>
        </w:rPr>
        <w:t>）列中我们使用2000—2015年的工具变量识别2016—2020年的城市几何形态进而进行估计，第（</w:t>
      </w:r>
      <w:r>
        <w:rPr>
          <w:rFonts w:cs="Times New Roman"/>
        </w:rPr>
        <w:t>3</w:t>
      </w:r>
      <w:r>
        <w:rPr>
          <w:rFonts w:hint="eastAsia" w:cs="Times New Roman"/>
        </w:rPr>
        <w:t>）列中国我们则是使用2016—2020年的工具变量进行识别，所有回归中并未观测到显著的效应，说明并不存在所谓安慰剂效应。</w:t>
      </w:r>
    </w:p>
    <w:p>
      <w:pPr>
        <w:ind w:firstLine="360" w:firstLineChars="200"/>
        <w:jc w:val="center"/>
        <w:rPr>
          <w:rFonts w:ascii="黑体" w:hAnsi="黑体" w:eastAsia="黑体" w:cs="黑体"/>
          <w:sz w:val="18"/>
          <w:szCs w:val="18"/>
        </w:rPr>
      </w:pPr>
      <w:r>
        <w:rPr>
          <w:rFonts w:hint="eastAsia" w:ascii="黑体" w:hAnsi="黑体" w:eastAsia="黑体" w:cs="黑体"/>
          <w:sz w:val="18"/>
          <w:szCs w:val="18"/>
        </w:rPr>
        <w:t>表</w:t>
      </w:r>
      <w:r>
        <w:rPr>
          <w:rFonts w:hint="eastAsia" w:ascii="黑体" w:hAnsi="黑体" w:eastAsia="黑体" w:cs="黑体"/>
          <w:color w:val="000000" w:themeColor="text1"/>
          <w:sz w:val="18"/>
          <w:szCs w:val="18"/>
          <w14:textFill>
            <w14:solidFill>
              <w14:schemeClr w14:val="tx1"/>
            </w14:solidFill>
          </w14:textFill>
        </w:rPr>
        <w:t>II</w:t>
      </w:r>
      <w:r>
        <w:rPr>
          <w:rFonts w:hint="eastAsia" w:ascii="黑体" w:hAnsi="黑体" w:eastAsia="黑体" w:cs="黑体"/>
          <w:sz w:val="18"/>
          <w:szCs w:val="18"/>
        </w:rPr>
        <w:t>6 替换回归数据与安慰剂检验（工具变量回归第二阶段）</w:t>
      </w:r>
    </w:p>
    <w:tbl>
      <w:tblPr>
        <w:tblStyle w:val="12"/>
        <w:tblW w:w="9072" w:type="dxa"/>
        <w:jc w:val="center"/>
        <w:tblLayout w:type="fixed"/>
        <w:tblCellMar>
          <w:top w:w="0" w:type="dxa"/>
          <w:left w:w="75" w:type="dxa"/>
          <w:bottom w:w="0" w:type="dxa"/>
          <w:right w:w="75" w:type="dxa"/>
        </w:tblCellMar>
      </w:tblPr>
      <w:tblGrid>
        <w:gridCol w:w="3534"/>
        <w:gridCol w:w="1846"/>
        <w:gridCol w:w="1846"/>
        <w:gridCol w:w="1846"/>
      </w:tblGrid>
      <w:tr>
        <w:tblPrEx>
          <w:tblCellMar>
            <w:top w:w="0" w:type="dxa"/>
            <w:left w:w="75" w:type="dxa"/>
            <w:bottom w:w="0" w:type="dxa"/>
            <w:right w:w="75" w:type="dxa"/>
          </w:tblCellMar>
        </w:tblPrEx>
        <w:trPr>
          <w:jc w:val="center"/>
        </w:trPr>
        <w:tc>
          <w:tcPr>
            <w:tcW w:w="3534" w:type="dxa"/>
            <w:tcBorders>
              <w:top w:val="single" w:color="auto" w:sz="6" w:space="0"/>
              <w:left w:val="nil"/>
              <w:right w:val="nil"/>
            </w:tcBorders>
          </w:tcPr>
          <w:p>
            <w:pPr>
              <w:widowControl w:val="0"/>
              <w:autoSpaceDE w:val="0"/>
              <w:autoSpaceDN w:val="0"/>
              <w:adjustRightInd w:val="0"/>
              <w:rPr>
                <w:rFonts w:cs="Times New Roman"/>
                <w:sz w:val="18"/>
                <w:szCs w:val="18"/>
              </w:rPr>
            </w:pPr>
            <w:r>
              <w:rPr>
                <w:rFonts w:hint="eastAsia" w:cs="Times New Roman"/>
                <w:sz w:val="18"/>
                <w:szCs w:val="18"/>
              </w:rPr>
              <w:t>被解释变量</w:t>
            </w:r>
          </w:p>
        </w:tc>
        <w:tc>
          <w:tcPr>
            <w:tcW w:w="5538" w:type="dxa"/>
            <w:gridSpan w:val="3"/>
            <w:tcBorders>
              <w:top w:val="single" w:color="auto" w:sz="6" w:space="0"/>
              <w:left w:val="nil"/>
              <w:bottom w:val="single" w:color="auto" w:sz="6" w:space="0"/>
              <w:right w:val="nil"/>
            </w:tcBorders>
          </w:tcPr>
          <w:p>
            <w:pPr>
              <w:widowControl w:val="0"/>
              <w:autoSpaceDE w:val="0"/>
              <w:autoSpaceDN w:val="0"/>
              <w:adjustRightInd w:val="0"/>
              <w:jc w:val="center"/>
              <w:rPr>
                <w:rFonts w:cs="Times New Roman"/>
                <w:sz w:val="18"/>
                <w:szCs w:val="18"/>
              </w:rPr>
            </w:pPr>
            <w:r>
              <w:rPr>
                <w:rFonts w:hint="eastAsia" w:cs="Times New Roman"/>
                <w:sz w:val="18"/>
                <w:szCs w:val="18"/>
              </w:rPr>
              <w:t>被解释变量：</w:t>
            </w:r>
            <w:r>
              <w:rPr>
                <w:rFonts w:cs="Times New Roman"/>
                <w:i/>
                <w:iCs/>
                <w:sz w:val="18"/>
                <w:szCs w:val="18"/>
              </w:rPr>
              <w:t>Δln</w:t>
            </w:r>
            <w:r>
              <w:rPr>
                <w:rFonts w:hint="eastAsia" w:cs="Times New Roman"/>
                <w:i/>
                <w:iCs/>
                <w:sz w:val="18"/>
                <w:szCs w:val="18"/>
              </w:rPr>
              <w:t>pop</w:t>
            </w:r>
            <w:r>
              <w:rPr>
                <w:rFonts w:cs="Times New Roman"/>
                <w:sz w:val="18"/>
                <w:szCs w:val="18"/>
              </w:rPr>
              <w:t>(2000-2015)</w:t>
            </w:r>
          </w:p>
        </w:tc>
      </w:tr>
      <w:tr>
        <w:tblPrEx>
          <w:tblCellMar>
            <w:top w:w="0" w:type="dxa"/>
            <w:left w:w="75" w:type="dxa"/>
            <w:bottom w:w="0" w:type="dxa"/>
            <w:right w:w="75" w:type="dxa"/>
          </w:tblCellMar>
        </w:tblPrEx>
        <w:trPr>
          <w:jc w:val="center"/>
        </w:trPr>
        <w:tc>
          <w:tcPr>
            <w:tcW w:w="3534" w:type="dxa"/>
            <w:tcBorders>
              <w:left w:val="nil"/>
              <w:bottom w:val="single" w:color="auto" w:sz="6" w:space="0"/>
              <w:right w:val="nil"/>
            </w:tcBorders>
          </w:tcPr>
          <w:p>
            <w:pPr>
              <w:widowControl w:val="0"/>
              <w:autoSpaceDE w:val="0"/>
              <w:autoSpaceDN w:val="0"/>
              <w:adjustRightInd w:val="0"/>
              <w:rPr>
                <w:rFonts w:cs="Times New Roman"/>
                <w:sz w:val="18"/>
                <w:szCs w:val="18"/>
              </w:rPr>
            </w:pPr>
            <w:r>
              <w:rPr>
                <w:rFonts w:hint="eastAsia" w:cs="Times New Roman"/>
                <w:sz w:val="18"/>
                <w:szCs w:val="18"/>
              </w:rPr>
              <w:t>解释变量</w:t>
            </w:r>
          </w:p>
        </w:tc>
        <w:tc>
          <w:tcPr>
            <w:tcW w:w="1846" w:type="dxa"/>
            <w:tcBorders>
              <w:top w:val="single" w:color="auto" w:sz="6" w:space="0"/>
              <w:left w:val="nil"/>
              <w:bottom w:val="single" w:color="auto" w:sz="6" w:space="0"/>
              <w:right w:val="nil"/>
            </w:tcBorders>
          </w:tcPr>
          <w:p>
            <w:pPr>
              <w:widowControl w:val="0"/>
              <w:autoSpaceDE w:val="0"/>
              <w:autoSpaceDN w:val="0"/>
              <w:adjustRightInd w:val="0"/>
              <w:jc w:val="center"/>
              <w:rPr>
                <w:rFonts w:cs="Times New Roman"/>
                <w:sz w:val="18"/>
                <w:szCs w:val="18"/>
              </w:rPr>
            </w:pPr>
            <w:r>
              <w:rPr>
                <w:rFonts w:cs="Times New Roman"/>
                <w:sz w:val="18"/>
                <w:szCs w:val="18"/>
              </w:rPr>
              <w:t>(1)</w:t>
            </w:r>
          </w:p>
        </w:tc>
        <w:tc>
          <w:tcPr>
            <w:tcW w:w="1846" w:type="dxa"/>
            <w:tcBorders>
              <w:top w:val="single" w:color="auto" w:sz="6" w:space="0"/>
              <w:left w:val="nil"/>
              <w:bottom w:val="single" w:color="auto" w:sz="6" w:space="0"/>
              <w:right w:val="nil"/>
            </w:tcBorders>
          </w:tcPr>
          <w:p>
            <w:pPr>
              <w:widowControl w:val="0"/>
              <w:autoSpaceDE w:val="0"/>
              <w:autoSpaceDN w:val="0"/>
              <w:adjustRightInd w:val="0"/>
              <w:jc w:val="center"/>
              <w:rPr>
                <w:rFonts w:cs="Times New Roman"/>
                <w:sz w:val="18"/>
                <w:szCs w:val="18"/>
              </w:rPr>
            </w:pPr>
            <w:r>
              <w:rPr>
                <w:rFonts w:cs="Times New Roman"/>
                <w:sz w:val="18"/>
                <w:szCs w:val="18"/>
              </w:rPr>
              <w:t>(2)</w:t>
            </w:r>
          </w:p>
        </w:tc>
        <w:tc>
          <w:tcPr>
            <w:tcW w:w="1846" w:type="dxa"/>
            <w:tcBorders>
              <w:top w:val="single" w:color="auto" w:sz="6" w:space="0"/>
              <w:left w:val="nil"/>
              <w:bottom w:val="single" w:color="auto" w:sz="6" w:space="0"/>
              <w:right w:val="nil"/>
            </w:tcBorders>
          </w:tcPr>
          <w:p>
            <w:pPr>
              <w:widowControl w:val="0"/>
              <w:autoSpaceDE w:val="0"/>
              <w:autoSpaceDN w:val="0"/>
              <w:adjustRightInd w:val="0"/>
              <w:jc w:val="center"/>
              <w:rPr>
                <w:rFonts w:cs="Times New Roman"/>
                <w:sz w:val="18"/>
                <w:szCs w:val="18"/>
              </w:rPr>
            </w:pPr>
            <w:r>
              <w:rPr>
                <w:rFonts w:cs="Times New Roman"/>
                <w:sz w:val="18"/>
                <w:szCs w:val="18"/>
              </w:rPr>
              <w:t>(3)</w:t>
            </w:r>
          </w:p>
        </w:tc>
      </w:tr>
      <w:tr>
        <w:tblPrEx>
          <w:tblCellMar>
            <w:top w:w="0" w:type="dxa"/>
            <w:left w:w="75" w:type="dxa"/>
            <w:bottom w:w="0" w:type="dxa"/>
            <w:right w:w="75" w:type="dxa"/>
          </w:tblCellMar>
        </w:tblPrEx>
        <w:trPr>
          <w:jc w:val="center"/>
        </w:trPr>
        <w:tc>
          <w:tcPr>
            <w:tcW w:w="3534" w:type="dxa"/>
            <w:tcBorders>
              <w:top w:val="nil"/>
              <w:left w:val="nil"/>
              <w:bottom w:val="nil"/>
              <w:right w:val="nil"/>
            </w:tcBorders>
          </w:tcPr>
          <w:p>
            <w:pPr>
              <w:widowControl w:val="0"/>
              <w:autoSpaceDE w:val="0"/>
              <w:autoSpaceDN w:val="0"/>
              <w:adjustRightInd w:val="0"/>
              <w:rPr>
                <w:rFonts w:cs="Times New Roman"/>
                <w:sz w:val="18"/>
                <w:szCs w:val="18"/>
              </w:rPr>
            </w:pPr>
            <w:r>
              <w:rPr>
                <w:rFonts w:cs="Times New Roman"/>
                <w:i/>
                <w:iCs/>
                <w:sz w:val="18"/>
                <w:szCs w:val="18"/>
              </w:rPr>
              <w:t>Δurbanshape</w:t>
            </w:r>
          </w:p>
        </w:tc>
        <w:tc>
          <w:tcPr>
            <w:tcW w:w="1846" w:type="dxa"/>
            <w:tcBorders>
              <w:top w:val="nil"/>
              <w:left w:val="nil"/>
              <w:bottom w:val="nil"/>
              <w:right w:val="nil"/>
            </w:tcBorders>
          </w:tcPr>
          <w:p>
            <w:pPr>
              <w:widowControl w:val="0"/>
              <w:autoSpaceDE w:val="0"/>
              <w:autoSpaceDN w:val="0"/>
              <w:adjustRightInd w:val="0"/>
              <w:jc w:val="center"/>
              <w:rPr>
                <w:rFonts w:cs="Times New Roman"/>
                <w:sz w:val="18"/>
                <w:szCs w:val="18"/>
              </w:rPr>
            </w:pPr>
            <w:r>
              <w:rPr>
                <w:rFonts w:cs="Times New Roman"/>
                <w:sz w:val="18"/>
                <w:szCs w:val="18"/>
              </w:rPr>
              <w:t>-0.3752**</w:t>
            </w:r>
          </w:p>
        </w:tc>
        <w:tc>
          <w:tcPr>
            <w:tcW w:w="1846" w:type="dxa"/>
            <w:tcBorders>
              <w:top w:val="nil"/>
              <w:left w:val="nil"/>
              <w:bottom w:val="nil"/>
              <w:right w:val="nil"/>
            </w:tcBorders>
          </w:tcPr>
          <w:p>
            <w:pPr>
              <w:widowControl w:val="0"/>
              <w:autoSpaceDE w:val="0"/>
              <w:autoSpaceDN w:val="0"/>
              <w:adjustRightInd w:val="0"/>
              <w:jc w:val="center"/>
              <w:rPr>
                <w:rFonts w:cs="Times New Roman"/>
                <w:sz w:val="18"/>
                <w:szCs w:val="18"/>
              </w:rPr>
            </w:pPr>
          </w:p>
        </w:tc>
        <w:tc>
          <w:tcPr>
            <w:tcW w:w="1846" w:type="dxa"/>
            <w:tcBorders>
              <w:top w:val="nil"/>
              <w:left w:val="nil"/>
              <w:bottom w:val="nil"/>
              <w:right w:val="nil"/>
            </w:tcBorders>
          </w:tcPr>
          <w:p>
            <w:pPr>
              <w:widowControl w:val="0"/>
              <w:autoSpaceDE w:val="0"/>
              <w:autoSpaceDN w:val="0"/>
              <w:adjustRightInd w:val="0"/>
              <w:jc w:val="center"/>
              <w:rPr>
                <w:rFonts w:cs="Times New Roman"/>
                <w:sz w:val="18"/>
                <w:szCs w:val="18"/>
              </w:rPr>
            </w:pPr>
          </w:p>
        </w:tc>
      </w:tr>
      <w:tr>
        <w:tblPrEx>
          <w:tblCellMar>
            <w:top w:w="0" w:type="dxa"/>
            <w:left w:w="75" w:type="dxa"/>
            <w:bottom w:w="0" w:type="dxa"/>
            <w:right w:w="75" w:type="dxa"/>
          </w:tblCellMar>
        </w:tblPrEx>
        <w:trPr>
          <w:jc w:val="center"/>
        </w:trPr>
        <w:tc>
          <w:tcPr>
            <w:tcW w:w="3534" w:type="dxa"/>
            <w:tcBorders>
              <w:top w:val="nil"/>
              <w:left w:val="nil"/>
              <w:bottom w:val="nil"/>
              <w:right w:val="nil"/>
            </w:tcBorders>
          </w:tcPr>
          <w:p>
            <w:pPr>
              <w:widowControl w:val="0"/>
              <w:autoSpaceDE w:val="0"/>
              <w:autoSpaceDN w:val="0"/>
              <w:adjustRightInd w:val="0"/>
              <w:rPr>
                <w:rFonts w:cs="Times New Roman"/>
                <w:sz w:val="18"/>
                <w:szCs w:val="18"/>
              </w:rPr>
            </w:pPr>
          </w:p>
        </w:tc>
        <w:tc>
          <w:tcPr>
            <w:tcW w:w="1846" w:type="dxa"/>
            <w:tcBorders>
              <w:top w:val="nil"/>
              <w:left w:val="nil"/>
              <w:bottom w:val="nil"/>
              <w:right w:val="nil"/>
            </w:tcBorders>
          </w:tcPr>
          <w:p>
            <w:pPr>
              <w:widowControl w:val="0"/>
              <w:autoSpaceDE w:val="0"/>
              <w:autoSpaceDN w:val="0"/>
              <w:adjustRightInd w:val="0"/>
              <w:jc w:val="center"/>
              <w:rPr>
                <w:rFonts w:cs="Times New Roman"/>
                <w:sz w:val="18"/>
                <w:szCs w:val="18"/>
              </w:rPr>
            </w:pPr>
            <w:r>
              <w:rPr>
                <w:rFonts w:cs="Times New Roman"/>
                <w:sz w:val="18"/>
                <w:szCs w:val="18"/>
              </w:rPr>
              <w:t>(0.1895)</w:t>
            </w:r>
          </w:p>
        </w:tc>
        <w:tc>
          <w:tcPr>
            <w:tcW w:w="1846" w:type="dxa"/>
            <w:tcBorders>
              <w:top w:val="nil"/>
              <w:left w:val="nil"/>
              <w:bottom w:val="nil"/>
              <w:right w:val="nil"/>
            </w:tcBorders>
          </w:tcPr>
          <w:p>
            <w:pPr>
              <w:widowControl w:val="0"/>
              <w:autoSpaceDE w:val="0"/>
              <w:autoSpaceDN w:val="0"/>
              <w:adjustRightInd w:val="0"/>
              <w:jc w:val="center"/>
              <w:rPr>
                <w:rFonts w:cs="Times New Roman"/>
                <w:sz w:val="18"/>
                <w:szCs w:val="18"/>
              </w:rPr>
            </w:pPr>
          </w:p>
        </w:tc>
        <w:tc>
          <w:tcPr>
            <w:tcW w:w="1846" w:type="dxa"/>
            <w:tcBorders>
              <w:top w:val="nil"/>
              <w:left w:val="nil"/>
              <w:bottom w:val="nil"/>
              <w:right w:val="nil"/>
            </w:tcBorders>
          </w:tcPr>
          <w:p>
            <w:pPr>
              <w:widowControl w:val="0"/>
              <w:autoSpaceDE w:val="0"/>
              <w:autoSpaceDN w:val="0"/>
              <w:adjustRightInd w:val="0"/>
              <w:jc w:val="center"/>
              <w:rPr>
                <w:rFonts w:cs="Times New Roman"/>
                <w:sz w:val="18"/>
                <w:szCs w:val="18"/>
              </w:rPr>
            </w:pPr>
          </w:p>
        </w:tc>
      </w:tr>
      <w:tr>
        <w:tblPrEx>
          <w:tblCellMar>
            <w:top w:w="0" w:type="dxa"/>
            <w:left w:w="75" w:type="dxa"/>
            <w:bottom w:w="0" w:type="dxa"/>
            <w:right w:w="75" w:type="dxa"/>
          </w:tblCellMar>
        </w:tblPrEx>
        <w:trPr>
          <w:jc w:val="center"/>
        </w:trPr>
        <w:tc>
          <w:tcPr>
            <w:tcW w:w="3534" w:type="dxa"/>
            <w:tcBorders>
              <w:top w:val="nil"/>
              <w:left w:val="nil"/>
              <w:bottom w:val="nil"/>
              <w:right w:val="nil"/>
            </w:tcBorders>
          </w:tcPr>
          <w:p>
            <w:pPr>
              <w:widowControl w:val="0"/>
              <w:autoSpaceDE w:val="0"/>
              <w:autoSpaceDN w:val="0"/>
              <w:adjustRightInd w:val="0"/>
              <w:rPr>
                <w:rFonts w:cs="Times New Roman"/>
                <w:sz w:val="18"/>
                <w:szCs w:val="18"/>
              </w:rPr>
            </w:pPr>
            <w:r>
              <w:rPr>
                <w:rFonts w:cs="Times New Roman"/>
                <w:i/>
                <w:iCs/>
                <w:sz w:val="18"/>
                <w:szCs w:val="18"/>
              </w:rPr>
              <w:t>Δlnarea</w:t>
            </w:r>
          </w:p>
        </w:tc>
        <w:tc>
          <w:tcPr>
            <w:tcW w:w="1846" w:type="dxa"/>
            <w:tcBorders>
              <w:top w:val="nil"/>
              <w:left w:val="nil"/>
              <w:bottom w:val="nil"/>
              <w:right w:val="nil"/>
            </w:tcBorders>
          </w:tcPr>
          <w:p>
            <w:pPr>
              <w:widowControl w:val="0"/>
              <w:autoSpaceDE w:val="0"/>
              <w:autoSpaceDN w:val="0"/>
              <w:adjustRightInd w:val="0"/>
              <w:jc w:val="center"/>
              <w:rPr>
                <w:rFonts w:cs="Times New Roman"/>
                <w:sz w:val="18"/>
                <w:szCs w:val="18"/>
              </w:rPr>
            </w:pPr>
            <w:r>
              <w:rPr>
                <w:rFonts w:cs="Times New Roman"/>
                <w:sz w:val="18"/>
                <w:szCs w:val="18"/>
              </w:rPr>
              <w:t>1.1951***</w:t>
            </w:r>
          </w:p>
        </w:tc>
        <w:tc>
          <w:tcPr>
            <w:tcW w:w="1846" w:type="dxa"/>
            <w:tcBorders>
              <w:top w:val="nil"/>
              <w:left w:val="nil"/>
              <w:bottom w:val="nil"/>
              <w:right w:val="nil"/>
            </w:tcBorders>
          </w:tcPr>
          <w:p>
            <w:pPr>
              <w:widowControl w:val="0"/>
              <w:autoSpaceDE w:val="0"/>
              <w:autoSpaceDN w:val="0"/>
              <w:adjustRightInd w:val="0"/>
              <w:jc w:val="center"/>
              <w:rPr>
                <w:rFonts w:cs="Times New Roman"/>
                <w:sz w:val="18"/>
                <w:szCs w:val="18"/>
              </w:rPr>
            </w:pPr>
          </w:p>
        </w:tc>
        <w:tc>
          <w:tcPr>
            <w:tcW w:w="1846" w:type="dxa"/>
            <w:tcBorders>
              <w:top w:val="nil"/>
              <w:left w:val="nil"/>
              <w:bottom w:val="nil"/>
              <w:right w:val="nil"/>
            </w:tcBorders>
          </w:tcPr>
          <w:p>
            <w:pPr>
              <w:widowControl w:val="0"/>
              <w:autoSpaceDE w:val="0"/>
              <w:autoSpaceDN w:val="0"/>
              <w:adjustRightInd w:val="0"/>
              <w:jc w:val="center"/>
              <w:rPr>
                <w:rFonts w:cs="Times New Roman"/>
                <w:sz w:val="18"/>
                <w:szCs w:val="18"/>
              </w:rPr>
            </w:pPr>
          </w:p>
        </w:tc>
      </w:tr>
      <w:tr>
        <w:tblPrEx>
          <w:tblCellMar>
            <w:top w:w="0" w:type="dxa"/>
            <w:left w:w="75" w:type="dxa"/>
            <w:bottom w:w="0" w:type="dxa"/>
            <w:right w:w="75" w:type="dxa"/>
          </w:tblCellMar>
        </w:tblPrEx>
        <w:trPr>
          <w:jc w:val="center"/>
        </w:trPr>
        <w:tc>
          <w:tcPr>
            <w:tcW w:w="3534" w:type="dxa"/>
            <w:tcBorders>
              <w:top w:val="nil"/>
              <w:left w:val="nil"/>
              <w:bottom w:val="nil"/>
              <w:right w:val="nil"/>
            </w:tcBorders>
          </w:tcPr>
          <w:p>
            <w:pPr>
              <w:widowControl w:val="0"/>
              <w:autoSpaceDE w:val="0"/>
              <w:autoSpaceDN w:val="0"/>
              <w:adjustRightInd w:val="0"/>
              <w:rPr>
                <w:rFonts w:cs="Times New Roman"/>
                <w:sz w:val="18"/>
                <w:szCs w:val="18"/>
              </w:rPr>
            </w:pPr>
          </w:p>
        </w:tc>
        <w:tc>
          <w:tcPr>
            <w:tcW w:w="1846" w:type="dxa"/>
            <w:tcBorders>
              <w:top w:val="nil"/>
              <w:left w:val="nil"/>
              <w:bottom w:val="nil"/>
              <w:right w:val="nil"/>
            </w:tcBorders>
          </w:tcPr>
          <w:p>
            <w:pPr>
              <w:widowControl w:val="0"/>
              <w:autoSpaceDE w:val="0"/>
              <w:autoSpaceDN w:val="0"/>
              <w:adjustRightInd w:val="0"/>
              <w:jc w:val="center"/>
              <w:rPr>
                <w:rFonts w:cs="Times New Roman"/>
                <w:sz w:val="18"/>
                <w:szCs w:val="18"/>
              </w:rPr>
            </w:pPr>
            <w:r>
              <w:rPr>
                <w:rFonts w:cs="Times New Roman"/>
                <w:sz w:val="18"/>
                <w:szCs w:val="18"/>
              </w:rPr>
              <w:t>(0.2324)</w:t>
            </w:r>
          </w:p>
        </w:tc>
        <w:tc>
          <w:tcPr>
            <w:tcW w:w="1846" w:type="dxa"/>
            <w:tcBorders>
              <w:top w:val="nil"/>
              <w:left w:val="nil"/>
              <w:bottom w:val="nil"/>
              <w:right w:val="nil"/>
            </w:tcBorders>
          </w:tcPr>
          <w:p>
            <w:pPr>
              <w:widowControl w:val="0"/>
              <w:autoSpaceDE w:val="0"/>
              <w:autoSpaceDN w:val="0"/>
              <w:adjustRightInd w:val="0"/>
              <w:jc w:val="center"/>
              <w:rPr>
                <w:rFonts w:cs="Times New Roman"/>
                <w:sz w:val="18"/>
                <w:szCs w:val="18"/>
              </w:rPr>
            </w:pPr>
          </w:p>
        </w:tc>
        <w:tc>
          <w:tcPr>
            <w:tcW w:w="1846" w:type="dxa"/>
            <w:tcBorders>
              <w:top w:val="nil"/>
              <w:left w:val="nil"/>
              <w:bottom w:val="nil"/>
              <w:right w:val="nil"/>
            </w:tcBorders>
          </w:tcPr>
          <w:p>
            <w:pPr>
              <w:widowControl w:val="0"/>
              <w:autoSpaceDE w:val="0"/>
              <w:autoSpaceDN w:val="0"/>
              <w:adjustRightInd w:val="0"/>
              <w:jc w:val="center"/>
              <w:rPr>
                <w:rFonts w:cs="Times New Roman"/>
                <w:sz w:val="18"/>
                <w:szCs w:val="18"/>
              </w:rPr>
            </w:pPr>
          </w:p>
        </w:tc>
      </w:tr>
      <w:tr>
        <w:tblPrEx>
          <w:tblCellMar>
            <w:top w:w="0" w:type="dxa"/>
            <w:left w:w="75" w:type="dxa"/>
            <w:bottom w:w="0" w:type="dxa"/>
            <w:right w:w="75" w:type="dxa"/>
          </w:tblCellMar>
        </w:tblPrEx>
        <w:trPr>
          <w:jc w:val="center"/>
        </w:trPr>
        <w:tc>
          <w:tcPr>
            <w:tcW w:w="3534" w:type="dxa"/>
            <w:tcBorders>
              <w:top w:val="nil"/>
              <w:left w:val="nil"/>
              <w:bottom w:val="nil"/>
              <w:right w:val="nil"/>
            </w:tcBorders>
          </w:tcPr>
          <w:p>
            <w:pPr>
              <w:widowControl w:val="0"/>
              <w:autoSpaceDE w:val="0"/>
              <w:autoSpaceDN w:val="0"/>
              <w:adjustRightInd w:val="0"/>
              <w:rPr>
                <w:rFonts w:cs="Times New Roman"/>
                <w:sz w:val="18"/>
                <w:szCs w:val="18"/>
              </w:rPr>
            </w:pPr>
            <w:r>
              <w:rPr>
                <w:rFonts w:cs="Times New Roman"/>
                <w:i/>
                <w:iCs/>
                <w:sz w:val="18"/>
                <w:szCs w:val="18"/>
              </w:rPr>
              <w:t>Δurbanshape(2016-2020)</w:t>
            </w:r>
          </w:p>
        </w:tc>
        <w:tc>
          <w:tcPr>
            <w:tcW w:w="1846" w:type="dxa"/>
            <w:tcBorders>
              <w:top w:val="nil"/>
              <w:left w:val="nil"/>
              <w:bottom w:val="nil"/>
              <w:right w:val="nil"/>
            </w:tcBorders>
          </w:tcPr>
          <w:p>
            <w:pPr>
              <w:widowControl w:val="0"/>
              <w:autoSpaceDE w:val="0"/>
              <w:autoSpaceDN w:val="0"/>
              <w:adjustRightInd w:val="0"/>
              <w:jc w:val="center"/>
              <w:rPr>
                <w:rFonts w:cs="Times New Roman"/>
                <w:sz w:val="18"/>
                <w:szCs w:val="18"/>
              </w:rPr>
            </w:pPr>
          </w:p>
        </w:tc>
        <w:tc>
          <w:tcPr>
            <w:tcW w:w="1846" w:type="dxa"/>
            <w:tcBorders>
              <w:top w:val="nil"/>
              <w:left w:val="nil"/>
              <w:bottom w:val="nil"/>
              <w:right w:val="nil"/>
            </w:tcBorders>
          </w:tcPr>
          <w:p>
            <w:pPr>
              <w:widowControl w:val="0"/>
              <w:autoSpaceDE w:val="0"/>
              <w:autoSpaceDN w:val="0"/>
              <w:adjustRightInd w:val="0"/>
              <w:jc w:val="center"/>
              <w:rPr>
                <w:rFonts w:cs="Times New Roman"/>
                <w:sz w:val="18"/>
                <w:szCs w:val="18"/>
              </w:rPr>
            </w:pPr>
            <w:r>
              <w:rPr>
                <w:rFonts w:cs="Times New Roman"/>
                <w:sz w:val="18"/>
                <w:szCs w:val="18"/>
              </w:rPr>
              <w:t>-0.0553</w:t>
            </w:r>
          </w:p>
        </w:tc>
        <w:tc>
          <w:tcPr>
            <w:tcW w:w="1846" w:type="dxa"/>
            <w:tcBorders>
              <w:top w:val="nil"/>
              <w:left w:val="nil"/>
              <w:bottom w:val="nil"/>
              <w:right w:val="nil"/>
            </w:tcBorders>
          </w:tcPr>
          <w:p>
            <w:pPr>
              <w:widowControl w:val="0"/>
              <w:autoSpaceDE w:val="0"/>
              <w:autoSpaceDN w:val="0"/>
              <w:adjustRightInd w:val="0"/>
              <w:jc w:val="center"/>
              <w:rPr>
                <w:rFonts w:cs="Times New Roman"/>
                <w:sz w:val="18"/>
                <w:szCs w:val="18"/>
              </w:rPr>
            </w:pPr>
            <w:r>
              <w:rPr>
                <w:rFonts w:cs="Times New Roman"/>
                <w:sz w:val="18"/>
                <w:szCs w:val="18"/>
              </w:rPr>
              <w:t>0.7386</w:t>
            </w:r>
          </w:p>
        </w:tc>
      </w:tr>
      <w:tr>
        <w:tblPrEx>
          <w:tblCellMar>
            <w:top w:w="0" w:type="dxa"/>
            <w:left w:w="75" w:type="dxa"/>
            <w:bottom w:w="0" w:type="dxa"/>
            <w:right w:w="75" w:type="dxa"/>
          </w:tblCellMar>
        </w:tblPrEx>
        <w:trPr>
          <w:jc w:val="center"/>
        </w:trPr>
        <w:tc>
          <w:tcPr>
            <w:tcW w:w="3534" w:type="dxa"/>
            <w:tcBorders>
              <w:top w:val="nil"/>
              <w:left w:val="nil"/>
              <w:bottom w:val="nil"/>
              <w:right w:val="nil"/>
            </w:tcBorders>
          </w:tcPr>
          <w:p>
            <w:pPr>
              <w:widowControl w:val="0"/>
              <w:autoSpaceDE w:val="0"/>
              <w:autoSpaceDN w:val="0"/>
              <w:adjustRightInd w:val="0"/>
              <w:rPr>
                <w:rFonts w:cs="Times New Roman"/>
                <w:sz w:val="18"/>
                <w:szCs w:val="18"/>
              </w:rPr>
            </w:pPr>
          </w:p>
        </w:tc>
        <w:tc>
          <w:tcPr>
            <w:tcW w:w="1846" w:type="dxa"/>
            <w:tcBorders>
              <w:top w:val="nil"/>
              <w:left w:val="nil"/>
              <w:bottom w:val="nil"/>
              <w:right w:val="nil"/>
            </w:tcBorders>
          </w:tcPr>
          <w:p>
            <w:pPr>
              <w:widowControl w:val="0"/>
              <w:autoSpaceDE w:val="0"/>
              <w:autoSpaceDN w:val="0"/>
              <w:adjustRightInd w:val="0"/>
              <w:jc w:val="center"/>
              <w:rPr>
                <w:rFonts w:cs="Times New Roman"/>
                <w:sz w:val="18"/>
                <w:szCs w:val="18"/>
              </w:rPr>
            </w:pPr>
          </w:p>
        </w:tc>
        <w:tc>
          <w:tcPr>
            <w:tcW w:w="1846" w:type="dxa"/>
            <w:tcBorders>
              <w:top w:val="nil"/>
              <w:left w:val="nil"/>
              <w:bottom w:val="nil"/>
              <w:right w:val="nil"/>
            </w:tcBorders>
          </w:tcPr>
          <w:p>
            <w:pPr>
              <w:widowControl w:val="0"/>
              <w:autoSpaceDE w:val="0"/>
              <w:autoSpaceDN w:val="0"/>
              <w:adjustRightInd w:val="0"/>
              <w:jc w:val="center"/>
              <w:rPr>
                <w:rFonts w:cs="Times New Roman"/>
                <w:sz w:val="18"/>
                <w:szCs w:val="18"/>
              </w:rPr>
            </w:pPr>
            <w:r>
              <w:rPr>
                <w:rFonts w:cs="Times New Roman"/>
                <w:sz w:val="18"/>
                <w:szCs w:val="18"/>
              </w:rPr>
              <w:t>(0.2611)</w:t>
            </w:r>
          </w:p>
        </w:tc>
        <w:tc>
          <w:tcPr>
            <w:tcW w:w="1846" w:type="dxa"/>
            <w:tcBorders>
              <w:top w:val="nil"/>
              <w:left w:val="nil"/>
              <w:bottom w:val="nil"/>
              <w:right w:val="nil"/>
            </w:tcBorders>
          </w:tcPr>
          <w:p>
            <w:pPr>
              <w:widowControl w:val="0"/>
              <w:autoSpaceDE w:val="0"/>
              <w:autoSpaceDN w:val="0"/>
              <w:adjustRightInd w:val="0"/>
              <w:jc w:val="center"/>
              <w:rPr>
                <w:rFonts w:cs="Times New Roman"/>
                <w:sz w:val="18"/>
                <w:szCs w:val="18"/>
              </w:rPr>
            </w:pPr>
            <w:r>
              <w:rPr>
                <w:rFonts w:cs="Times New Roman"/>
                <w:sz w:val="18"/>
                <w:szCs w:val="18"/>
              </w:rPr>
              <w:t>(1.0601)</w:t>
            </w:r>
          </w:p>
        </w:tc>
      </w:tr>
      <w:tr>
        <w:tblPrEx>
          <w:tblCellMar>
            <w:top w:w="0" w:type="dxa"/>
            <w:left w:w="75" w:type="dxa"/>
            <w:bottom w:w="0" w:type="dxa"/>
            <w:right w:w="75" w:type="dxa"/>
          </w:tblCellMar>
        </w:tblPrEx>
        <w:trPr>
          <w:jc w:val="center"/>
        </w:trPr>
        <w:tc>
          <w:tcPr>
            <w:tcW w:w="3534" w:type="dxa"/>
            <w:tcBorders>
              <w:top w:val="nil"/>
              <w:left w:val="nil"/>
              <w:bottom w:val="nil"/>
              <w:right w:val="nil"/>
            </w:tcBorders>
          </w:tcPr>
          <w:p>
            <w:pPr>
              <w:widowControl w:val="0"/>
              <w:autoSpaceDE w:val="0"/>
              <w:autoSpaceDN w:val="0"/>
              <w:adjustRightInd w:val="0"/>
              <w:rPr>
                <w:rFonts w:cs="Times New Roman"/>
                <w:sz w:val="18"/>
                <w:szCs w:val="18"/>
              </w:rPr>
            </w:pPr>
            <w:r>
              <w:rPr>
                <w:rFonts w:cs="Times New Roman"/>
                <w:i/>
                <w:iCs/>
                <w:sz w:val="18"/>
                <w:szCs w:val="18"/>
              </w:rPr>
              <w:t>Δlnarea(2016-2020)</w:t>
            </w:r>
          </w:p>
        </w:tc>
        <w:tc>
          <w:tcPr>
            <w:tcW w:w="1846" w:type="dxa"/>
            <w:tcBorders>
              <w:top w:val="nil"/>
              <w:left w:val="nil"/>
              <w:bottom w:val="nil"/>
              <w:right w:val="nil"/>
            </w:tcBorders>
          </w:tcPr>
          <w:p>
            <w:pPr>
              <w:widowControl w:val="0"/>
              <w:autoSpaceDE w:val="0"/>
              <w:autoSpaceDN w:val="0"/>
              <w:adjustRightInd w:val="0"/>
              <w:jc w:val="center"/>
              <w:rPr>
                <w:rFonts w:cs="Times New Roman"/>
                <w:sz w:val="18"/>
                <w:szCs w:val="18"/>
              </w:rPr>
            </w:pPr>
          </w:p>
        </w:tc>
        <w:tc>
          <w:tcPr>
            <w:tcW w:w="1846" w:type="dxa"/>
            <w:tcBorders>
              <w:top w:val="nil"/>
              <w:left w:val="nil"/>
              <w:bottom w:val="nil"/>
              <w:right w:val="nil"/>
            </w:tcBorders>
          </w:tcPr>
          <w:p>
            <w:pPr>
              <w:widowControl w:val="0"/>
              <w:autoSpaceDE w:val="0"/>
              <w:autoSpaceDN w:val="0"/>
              <w:adjustRightInd w:val="0"/>
              <w:jc w:val="center"/>
              <w:rPr>
                <w:rFonts w:cs="Times New Roman"/>
                <w:sz w:val="18"/>
                <w:szCs w:val="18"/>
              </w:rPr>
            </w:pPr>
            <w:r>
              <w:rPr>
                <w:rFonts w:cs="Times New Roman"/>
                <w:sz w:val="18"/>
                <w:szCs w:val="18"/>
              </w:rPr>
              <w:t>2.2374</w:t>
            </w:r>
          </w:p>
        </w:tc>
        <w:tc>
          <w:tcPr>
            <w:tcW w:w="1846" w:type="dxa"/>
            <w:tcBorders>
              <w:top w:val="nil"/>
              <w:left w:val="nil"/>
              <w:bottom w:val="nil"/>
              <w:right w:val="nil"/>
            </w:tcBorders>
          </w:tcPr>
          <w:p>
            <w:pPr>
              <w:widowControl w:val="0"/>
              <w:autoSpaceDE w:val="0"/>
              <w:autoSpaceDN w:val="0"/>
              <w:adjustRightInd w:val="0"/>
              <w:jc w:val="center"/>
              <w:rPr>
                <w:rFonts w:cs="Times New Roman"/>
                <w:sz w:val="18"/>
                <w:szCs w:val="18"/>
              </w:rPr>
            </w:pPr>
            <w:r>
              <w:rPr>
                <w:rFonts w:cs="Times New Roman"/>
                <w:sz w:val="18"/>
                <w:szCs w:val="18"/>
              </w:rPr>
              <w:t>-5.2492</w:t>
            </w:r>
          </w:p>
        </w:tc>
      </w:tr>
      <w:tr>
        <w:tblPrEx>
          <w:tblCellMar>
            <w:top w:w="0" w:type="dxa"/>
            <w:left w:w="75" w:type="dxa"/>
            <w:bottom w:w="0" w:type="dxa"/>
            <w:right w:w="75" w:type="dxa"/>
          </w:tblCellMar>
        </w:tblPrEx>
        <w:trPr>
          <w:jc w:val="center"/>
        </w:trPr>
        <w:tc>
          <w:tcPr>
            <w:tcW w:w="3534" w:type="dxa"/>
            <w:tcBorders>
              <w:top w:val="nil"/>
              <w:left w:val="nil"/>
              <w:bottom w:val="nil"/>
              <w:right w:val="nil"/>
            </w:tcBorders>
          </w:tcPr>
          <w:p>
            <w:pPr>
              <w:widowControl w:val="0"/>
              <w:autoSpaceDE w:val="0"/>
              <w:autoSpaceDN w:val="0"/>
              <w:adjustRightInd w:val="0"/>
              <w:rPr>
                <w:rFonts w:cs="Times New Roman"/>
                <w:sz w:val="18"/>
                <w:szCs w:val="18"/>
              </w:rPr>
            </w:pPr>
          </w:p>
        </w:tc>
        <w:tc>
          <w:tcPr>
            <w:tcW w:w="1846" w:type="dxa"/>
            <w:tcBorders>
              <w:top w:val="nil"/>
              <w:left w:val="nil"/>
              <w:bottom w:val="nil"/>
              <w:right w:val="nil"/>
            </w:tcBorders>
          </w:tcPr>
          <w:p>
            <w:pPr>
              <w:widowControl w:val="0"/>
              <w:autoSpaceDE w:val="0"/>
              <w:autoSpaceDN w:val="0"/>
              <w:adjustRightInd w:val="0"/>
              <w:jc w:val="center"/>
              <w:rPr>
                <w:rFonts w:cs="Times New Roman"/>
                <w:sz w:val="18"/>
                <w:szCs w:val="18"/>
              </w:rPr>
            </w:pPr>
          </w:p>
        </w:tc>
        <w:tc>
          <w:tcPr>
            <w:tcW w:w="1846" w:type="dxa"/>
            <w:tcBorders>
              <w:top w:val="nil"/>
              <w:left w:val="nil"/>
              <w:bottom w:val="nil"/>
              <w:right w:val="nil"/>
            </w:tcBorders>
          </w:tcPr>
          <w:p>
            <w:pPr>
              <w:widowControl w:val="0"/>
              <w:autoSpaceDE w:val="0"/>
              <w:autoSpaceDN w:val="0"/>
              <w:adjustRightInd w:val="0"/>
              <w:jc w:val="center"/>
              <w:rPr>
                <w:rFonts w:cs="Times New Roman"/>
                <w:sz w:val="18"/>
                <w:szCs w:val="18"/>
              </w:rPr>
            </w:pPr>
            <w:r>
              <w:rPr>
                <w:rFonts w:cs="Times New Roman"/>
                <w:sz w:val="18"/>
                <w:szCs w:val="18"/>
              </w:rPr>
              <w:t>(2.1096)</w:t>
            </w:r>
          </w:p>
        </w:tc>
        <w:tc>
          <w:tcPr>
            <w:tcW w:w="1846" w:type="dxa"/>
            <w:tcBorders>
              <w:top w:val="nil"/>
              <w:left w:val="nil"/>
              <w:bottom w:val="nil"/>
              <w:right w:val="nil"/>
            </w:tcBorders>
          </w:tcPr>
          <w:p>
            <w:pPr>
              <w:widowControl w:val="0"/>
              <w:autoSpaceDE w:val="0"/>
              <w:autoSpaceDN w:val="0"/>
              <w:adjustRightInd w:val="0"/>
              <w:jc w:val="center"/>
              <w:rPr>
                <w:rFonts w:cs="Times New Roman"/>
                <w:sz w:val="18"/>
                <w:szCs w:val="18"/>
              </w:rPr>
            </w:pPr>
            <w:r>
              <w:rPr>
                <w:rFonts w:cs="Times New Roman"/>
                <w:sz w:val="18"/>
                <w:szCs w:val="18"/>
              </w:rPr>
              <w:t>(8.3892)</w:t>
            </w:r>
          </w:p>
        </w:tc>
      </w:tr>
      <w:tr>
        <w:tblPrEx>
          <w:tblCellMar>
            <w:top w:w="0" w:type="dxa"/>
            <w:left w:w="75" w:type="dxa"/>
            <w:bottom w:w="0" w:type="dxa"/>
            <w:right w:w="75" w:type="dxa"/>
          </w:tblCellMar>
        </w:tblPrEx>
        <w:trPr>
          <w:jc w:val="center"/>
        </w:trPr>
        <w:tc>
          <w:tcPr>
            <w:tcW w:w="3534" w:type="dxa"/>
            <w:tcBorders>
              <w:top w:val="nil"/>
              <w:left w:val="nil"/>
              <w:bottom w:val="nil"/>
              <w:right w:val="nil"/>
            </w:tcBorders>
          </w:tcPr>
          <w:p>
            <w:pPr>
              <w:widowControl w:val="0"/>
              <w:autoSpaceDE w:val="0"/>
              <w:autoSpaceDN w:val="0"/>
              <w:adjustRightInd w:val="0"/>
              <w:rPr>
                <w:rFonts w:cs="Times New Roman"/>
                <w:sz w:val="18"/>
                <w:szCs w:val="18"/>
              </w:rPr>
            </w:pPr>
            <w:r>
              <w:rPr>
                <w:rFonts w:cs="Times New Roman"/>
                <w:sz w:val="18"/>
                <w:szCs w:val="18"/>
              </w:rPr>
              <w:t>N</w:t>
            </w:r>
          </w:p>
        </w:tc>
        <w:tc>
          <w:tcPr>
            <w:tcW w:w="1846" w:type="dxa"/>
            <w:tcBorders>
              <w:top w:val="nil"/>
              <w:left w:val="nil"/>
              <w:bottom w:val="nil"/>
              <w:right w:val="nil"/>
            </w:tcBorders>
          </w:tcPr>
          <w:p>
            <w:pPr>
              <w:widowControl w:val="0"/>
              <w:autoSpaceDE w:val="0"/>
              <w:autoSpaceDN w:val="0"/>
              <w:adjustRightInd w:val="0"/>
              <w:jc w:val="center"/>
              <w:rPr>
                <w:rFonts w:cs="Times New Roman"/>
                <w:sz w:val="18"/>
                <w:szCs w:val="18"/>
              </w:rPr>
            </w:pPr>
            <w:r>
              <w:rPr>
                <w:rFonts w:cs="Times New Roman"/>
                <w:sz w:val="18"/>
                <w:szCs w:val="18"/>
              </w:rPr>
              <w:t>251</w:t>
            </w:r>
          </w:p>
        </w:tc>
        <w:tc>
          <w:tcPr>
            <w:tcW w:w="1846" w:type="dxa"/>
            <w:tcBorders>
              <w:top w:val="nil"/>
              <w:left w:val="nil"/>
              <w:bottom w:val="nil"/>
              <w:right w:val="nil"/>
            </w:tcBorders>
          </w:tcPr>
          <w:p>
            <w:pPr>
              <w:widowControl w:val="0"/>
              <w:autoSpaceDE w:val="0"/>
              <w:autoSpaceDN w:val="0"/>
              <w:adjustRightInd w:val="0"/>
              <w:jc w:val="center"/>
              <w:rPr>
                <w:rFonts w:cs="Times New Roman"/>
                <w:sz w:val="18"/>
                <w:szCs w:val="18"/>
              </w:rPr>
            </w:pPr>
            <w:r>
              <w:rPr>
                <w:rFonts w:cs="Times New Roman"/>
                <w:sz w:val="18"/>
                <w:szCs w:val="18"/>
              </w:rPr>
              <w:t>251</w:t>
            </w:r>
          </w:p>
        </w:tc>
        <w:tc>
          <w:tcPr>
            <w:tcW w:w="1846" w:type="dxa"/>
            <w:tcBorders>
              <w:top w:val="nil"/>
              <w:left w:val="nil"/>
              <w:bottom w:val="nil"/>
              <w:right w:val="nil"/>
            </w:tcBorders>
          </w:tcPr>
          <w:p>
            <w:pPr>
              <w:widowControl w:val="0"/>
              <w:autoSpaceDE w:val="0"/>
              <w:autoSpaceDN w:val="0"/>
              <w:adjustRightInd w:val="0"/>
              <w:jc w:val="center"/>
              <w:rPr>
                <w:rFonts w:cs="Times New Roman"/>
                <w:sz w:val="18"/>
                <w:szCs w:val="18"/>
              </w:rPr>
            </w:pPr>
            <w:r>
              <w:rPr>
                <w:rFonts w:cs="Times New Roman"/>
                <w:sz w:val="18"/>
                <w:szCs w:val="18"/>
              </w:rPr>
              <w:t>251</w:t>
            </w:r>
          </w:p>
        </w:tc>
      </w:tr>
      <w:tr>
        <w:tblPrEx>
          <w:tblCellMar>
            <w:top w:w="0" w:type="dxa"/>
            <w:left w:w="75" w:type="dxa"/>
            <w:bottom w:w="0" w:type="dxa"/>
            <w:right w:w="75" w:type="dxa"/>
          </w:tblCellMar>
        </w:tblPrEx>
        <w:trPr>
          <w:jc w:val="center"/>
        </w:trPr>
        <w:tc>
          <w:tcPr>
            <w:tcW w:w="3534" w:type="dxa"/>
            <w:tcBorders>
              <w:top w:val="nil"/>
              <w:left w:val="nil"/>
              <w:bottom w:val="single" w:color="auto" w:sz="4" w:space="0"/>
              <w:right w:val="nil"/>
            </w:tcBorders>
          </w:tcPr>
          <w:p>
            <w:pPr>
              <w:widowControl w:val="0"/>
              <w:autoSpaceDE w:val="0"/>
              <w:autoSpaceDN w:val="0"/>
              <w:adjustRightInd w:val="0"/>
              <w:rPr>
                <w:rFonts w:cs="Times New Roman"/>
                <w:sz w:val="18"/>
                <w:szCs w:val="18"/>
              </w:rPr>
            </w:pPr>
            <w:r>
              <w:rPr>
                <w:rFonts w:cs="Times New Roman"/>
                <w:sz w:val="18"/>
                <w:szCs w:val="18"/>
              </w:rPr>
              <w:t>Controls</w:t>
            </w:r>
          </w:p>
        </w:tc>
        <w:tc>
          <w:tcPr>
            <w:tcW w:w="1846" w:type="dxa"/>
            <w:tcBorders>
              <w:top w:val="nil"/>
              <w:left w:val="nil"/>
              <w:bottom w:val="single" w:color="auto" w:sz="4" w:space="0"/>
              <w:right w:val="nil"/>
            </w:tcBorders>
          </w:tcPr>
          <w:p>
            <w:pPr>
              <w:widowControl w:val="0"/>
              <w:autoSpaceDE w:val="0"/>
              <w:autoSpaceDN w:val="0"/>
              <w:adjustRightInd w:val="0"/>
              <w:jc w:val="center"/>
              <w:rPr>
                <w:rFonts w:cs="Times New Roman"/>
                <w:sz w:val="18"/>
                <w:szCs w:val="18"/>
              </w:rPr>
            </w:pPr>
            <w:r>
              <w:rPr>
                <w:rFonts w:cs="Times New Roman"/>
                <w:sz w:val="18"/>
                <w:szCs w:val="18"/>
              </w:rPr>
              <w:t>Y</w:t>
            </w:r>
          </w:p>
        </w:tc>
        <w:tc>
          <w:tcPr>
            <w:tcW w:w="1846" w:type="dxa"/>
            <w:tcBorders>
              <w:top w:val="nil"/>
              <w:left w:val="nil"/>
              <w:bottom w:val="single" w:color="auto" w:sz="4" w:space="0"/>
              <w:right w:val="nil"/>
            </w:tcBorders>
          </w:tcPr>
          <w:p>
            <w:pPr>
              <w:widowControl w:val="0"/>
              <w:autoSpaceDE w:val="0"/>
              <w:autoSpaceDN w:val="0"/>
              <w:adjustRightInd w:val="0"/>
              <w:jc w:val="center"/>
              <w:rPr>
                <w:rFonts w:cs="Times New Roman"/>
                <w:sz w:val="18"/>
                <w:szCs w:val="18"/>
              </w:rPr>
            </w:pPr>
            <w:r>
              <w:rPr>
                <w:rFonts w:cs="Times New Roman"/>
                <w:sz w:val="18"/>
                <w:szCs w:val="18"/>
              </w:rPr>
              <w:t>Y</w:t>
            </w:r>
          </w:p>
        </w:tc>
        <w:tc>
          <w:tcPr>
            <w:tcW w:w="1846" w:type="dxa"/>
            <w:tcBorders>
              <w:top w:val="nil"/>
              <w:left w:val="nil"/>
              <w:bottom w:val="single" w:color="auto" w:sz="4" w:space="0"/>
              <w:right w:val="nil"/>
            </w:tcBorders>
          </w:tcPr>
          <w:p>
            <w:pPr>
              <w:widowControl w:val="0"/>
              <w:autoSpaceDE w:val="0"/>
              <w:autoSpaceDN w:val="0"/>
              <w:adjustRightInd w:val="0"/>
              <w:jc w:val="center"/>
              <w:rPr>
                <w:rFonts w:cs="Times New Roman"/>
                <w:sz w:val="18"/>
                <w:szCs w:val="18"/>
              </w:rPr>
            </w:pPr>
            <w:r>
              <w:rPr>
                <w:rFonts w:cs="Times New Roman"/>
                <w:sz w:val="18"/>
                <w:szCs w:val="18"/>
              </w:rPr>
              <w:t>Y</w:t>
            </w:r>
          </w:p>
        </w:tc>
      </w:tr>
    </w:tbl>
    <w:p>
      <w:pPr>
        <w:ind w:firstLine="420" w:firstLineChars="200"/>
        <w:jc w:val="both"/>
        <w:rPr>
          <w:rFonts w:cs="Times New Roman"/>
        </w:rPr>
      </w:pPr>
    </w:p>
    <w:p>
      <w:pPr>
        <w:ind w:firstLine="420" w:firstLineChars="200"/>
        <w:jc w:val="both"/>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考虑到识别的稳健性，依然可能存在无法观测的因素影响城市人口增长，而造成识别出“安慰剂”效应。出于稳妥性考虑，我们还采取了另一种策略进行安慰剂检验。将实际的城市空间形态指数打乱重新分配，然后进行OLS回归估计城市形态产生的效应，并将这一操作重复500次，观测安慰剂检验t统计量分布的情况。同时，我们还随机分类了工具变量，然后进行2SLS估计并重复500次，结果如图</w:t>
      </w:r>
      <w:r>
        <w:rPr>
          <w:rFonts w:hint="eastAsia" w:ascii="仿宋" w:hAnsi="仿宋" w:cs="仿宋"/>
        </w:rPr>
        <w:t>Ⅱ</w:t>
      </w:r>
      <w:r>
        <w:rPr>
          <w:rFonts w:hint="eastAsia" w:cs="Times New Roman"/>
          <w:color w:val="000000" w:themeColor="text1"/>
          <w14:textFill>
            <w14:solidFill>
              <w14:schemeClr w14:val="tx1"/>
            </w14:solidFill>
          </w14:textFill>
        </w:rPr>
        <w:t>4a与图</w:t>
      </w:r>
      <w:r>
        <w:rPr>
          <w:rFonts w:hint="eastAsia" w:ascii="仿宋" w:hAnsi="仿宋" w:cs="仿宋"/>
        </w:rPr>
        <w:t>Ⅱ</w:t>
      </w:r>
      <w:r>
        <w:rPr>
          <w:rFonts w:cs="Times New Roman"/>
          <w:color w:val="000000" w:themeColor="text1"/>
          <w14:textFill>
            <w14:solidFill>
              <w14:schemeClr w14:val="tx1"/>
            </w14:solidFill>
          </w14:textFill>
        </w:rPr>
        <w:t>4</w:t>
      </w:r>
      <w:r>
        <w:rPr>
          <w:rFonts w:hint="eastAsia" w:cs="Times New Roman"/>
          <w:color w:val="000000" w:themeColor="text1"/>
          <w14:textFill>
            <w14:solidFill>
              <w14:schemeClr w14:val="tx1"/>
            </w14:solidFill>
          </w14:textFill>
        </w:rPr>
        <w:t>b所示，安慰剂检验估计出的t统计量呈近似的正态分布。我们观测到基准回归中估计出的实际t统计量分别为</w:t>
      </w:r>
      <w:r>
        <w:rPr>
          <w:rFonts w:cs="Times New Roman"/>
          <w:color w:val="000000" w:themeColor="text1"/>
          <w14:textFill>
            <w14:solidFill>
              <w14:schemeClr w14:val="tx1"/>
            </w14:solidFill>
          </w14:textFill>
        </w:rPr>
        <w:t>-2.114</w:t>
      </w:r>
      <w:r>
        <w:rPr>
          <w:rFonts w:hint="eastAsia" w:cs="Times New Roman"/>
          <w:color w:val="000000" w:themeColor="text1"/>
          <w14:textFill>
            <w14:solidFill>
              <w14:schemeClr w14:val="tx1"/>
            </w14:solidFill>
          </w14:textFill>
        </w:rPr>
        <w:t>与-</w:t>
      </w:r>
      <w:r>
        <w:rPr>
          <w:rFonts w:cs="Times New Roman"/>
          <w:color w:val="000000" w:themeColor="text1"/>
          <w14:textFill>
            <w14:solidFill>
              <w14:schemeClr w14:val="tx1"/>
            </w14:solidFill>
          </w14:textFill>
        </w:rPr>
        <w:t>2.192</w:t>
      </w:r>
      <w:r>
        <w:rPr>
          <w:rFonts w:hint="eastAsia" w:cs="Times New Roman"/>
          <w:color w:val="000000" w:themeColor="text1"/>
          <w14:textFill>
            <w14:solidFill>
              <w14:schemeClr w14:val="tx1"/>
            </w14:solidFill>
          </w14:textFill>
        </w:rPr>
        <w:t>，处于安慰剂回归的t统计量分布边缘。且两次回归安慰剂检验的t统计量均值分别为</w:t>
      </w:r>
      <w:r>
        <w:rPr>
          <w:rFonts w:cs="Times New Roman"/>
          <w:color w:val="000000" w:themeColor="text1"/>
          <w14:textFill>
            <w14:solidFill>
              <w14:schemeClr w14:val="tx1"/>
            </w14:solidFill>
          </w14:textFill>
        </w:rPr>
        <w:t>-0.105</w:t>
      </w:r>
      <w:r>
        <w:rPr>
          <w:rFonts w:hint="eastAsia" w:cs="Times New Roman"/>
          <w:color w:val="000000" w:themeColor="text1"/>
          <w14:textFill>
            <w14:solidFill>
              <w14:schemeClr w14:val="tx1"/>
            </w14:solidFill>
          </w14:textFill>
        </w:rPr>
        <w:t>与0</w:t>
      </w:r>
      <w:r>
        <w:rPr>
          <w:rFonts w:cs="Times New Roman"/>
          <w:color w:val="000000" w:themeColor="text1"/>
          <w14:textFill>
            <w14:solidFill>
              <w14:schemeClr w14:val="tx1"/>
            </w14:solidFill>
          </w14:textFill>
        </w:rPr>
        <w:t>.026</w:t>
      </w:r>
      <w:r>
        <w:rPr>
          <w:rFonts w:hint="eastAsia" w:cs="Times New Roman"/>
          <w:color w:val="000000" w:themeColor="text1"/>
          <w14:textFill>
            <w14:solidFill>
              <w14:schemeClr w14:val="tx1"/>
            </w14:solidFill>
          </w14:textFill>
        </w:rPr>
        <w:t>接近0，绝对值远小于实际估计出的t统计量，整体结果表明通过了安慰剂检验</w:t>
      </w:r>
      <w:r>
        <w:rPr>
          <w:rStyle w:val="15"/>
          <w:rFonts w:cs="Times New Roman"/>
          <w:color w:val="000000" w:themeColor="text1"/>
          <w14:textFill>
            <w14:solidFill>
              <w14:schemeClr w14:val="tx1"/>
            </w14:solidFill>
          </w14:textFill>
        </w:rPr>
        <w:footnoteReference w:id="14"/>
      </w:r>
      <w:r>
        <w:rPr>
          <w:rFonts w:hint="eastAsia" w:cs="Times New Roman"/>
          <w:color w:val="000000" w:themeColor="text1"/>
          <w14:textFill>
            <w14:solidFill>
              <w14:schemeClr w14:val="tx1"/>
            </w14:solidFill>
          </w14:textFill>
        </w:rPr>
        <w:t>。</w:t>
      </w:r>
    </w:p>
    <w:p>
      <w:pPr>
        <w:jc w:val="center"/>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drawing>
          <wp:inline distT="0" distB="0" distL="0" distR="0">
            <wp:extent cx="2435860" cy="1771650"/>
            <wp:effectExtent l="0" t="0" r="2540" b="0"/>
            <wp:docPr id="389" name="图片 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 name="图片 389"/>
                    <pic:cNvPicPr>
                      <a:picLocks noChangeAspect="1"/>
                    </pic:cNvPicPr>
                  </pic:nvPicPr>
                  <pic:blipFill>
                    <a:blip r:embed="rId43" cstate="print">
                      <a:extLst>
                        <a:ext uri="{28A0092B-C50C-407E-A947-70E740481C1C}">
                          <a14:useLocalDpi xmlns:a14="http://schemas.microsoft.com/office/drawing/2010/main" val="0"/>
                        </a:ext>
                      </a:extLst>
                    </a:blip>
                    <a:stretch>
                      <a:fillRect/>
                    </a:stretch>
                  </pic:blipFill>
                  <pic:spPr>
                    <a:xfrm>
                      <a:off x="0" y="0"/>
                      <a:ext cx="2474787" cy="1799746"/>
                    </a:xfrm>
                    <a:prstGeom prst="rect">
                      <a:avLst/>
                    </a:prstGeom>
                  </pic:spPr>
                </pic:pic>
              </a:graphicData>
            </a:graphic>
          </wp:inline>
        </w:drawing>
      </w:r>
      <w:r>
        <w:rPr>
          <w:rFonts w:hint="eastAsia" w:cs="Times New Roman"/>
          <w:color w:val="000000" w:themeColor="text1"/>
          <w14:textFill>
            <w14:solidFill>
              <w14:schemeClr w14:val="tx1"/>
            </w14:solidFill>
          </w14:textFill>
        </w:rPr>
        <w:drawing>
          <wp:inline distT="0" distB="0" distL="0" distR="0">
            <wp:extent cx="2527300" cy="1838325"/>
            <wp:effectExtent l="0" t="0" r="6350" b="0"/>
            <wp:docPr id="390" name="图片 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 name="图片 390"/>
                    <pic:cNvPicPr>
                      <a:picLocks noChangeAspect="1"/>
                    </pic:cNvPicPr>
                  </pic:nvPicPr>
                  <pic:blipFill>
                    <a:blip r:embed="rId44" cstate="print">
                      <a:extLst>
                        <a:ext uri="{28A0092B-C50C-407E-A947-70E740481C1C}">
                          <a14:useLocalDpi xmlns:a14="http://schemas.microsoft.com/office/drawing/2010/main" val="0"/>
                        </a:ext>
                      </a:extLst>
                    </a:blip>
                    <a:stretch>
                      <a:fillRect/>
                    </a:stretch>
                  </pic:blipFill>
                  <pic:spPr>
                    <a:xfrm>
                      <a:off x="0" y="0"/>
                      <a:ext cx="2545458" cy="1851139"/>
                    </a:xfrm>
                    <a:prstGeom prst="rect">
                      <a:avLst/>
                    </a:prstGeom>
                  </pic:spPr>
                </pic:pic>
              </a:graphicData>
            </a:graphic>
          </wp:inline>
        </w:drawing>
      </w:r>
    </w:p>
    <w:p>
      <w:pPr>
        <w:jc w:val="center"/>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图II4a 随机分配形态的安慰剂检验       图II4b 随机分配形态与工具变量的安慰剂检验</w:t>
      </w:r>
    </w:p>
    <w:p>
      <w:pPr>
        <w:ind w:firstLine="420" w:firstLineChars="200"/>
        <w:jc w:val="both"/>
        <w:rPr>
          <w:rFonts w:cs="Times New Roman"/>
        </w:rPr>
      </w:pPr>
    </w:p>
    <w:p>
      <w:pPr>
        <w:ind w:firstLine="1050" w:firstLineChars="500"/>
        <w:jc w:val="both"/>
        <w:rPr>
          <w:rFonts w:cs="Times New Roman"/>
        </w:rPr>
      </w:pPr>
    </w:p>
    <w:p>
      <w:pPr>
        <w:ind w:firstLine="420" w:firstLineChars="200"/>
        <w:jc w:val="both"/>
        <w:rPr>
          <w:rFonts w:cs="Times New Roman"/>
        </w:rPr>
      </w:pPr>
      <w:r>
        <w:rPr>
          <w:rFonts w:hint="eastAsia" w:cs="Times New Roman"/>
        </w:rPr>
        <w:t>当然，本文还有其他稳健性检验，如考虑到城市之间可能存在的空间相关性，使用省份层面的聚类稳健标准误进行回归，且考虑到可能遗漏的其他社会经济因素会导致估计效应存在偏误，我们还分别控制省份固定效应、城市是否为旅游型城市虚拟变量并进行回归。考虑到城市面积可能会与几何形态存在机械相关，且其也可能存在内生性，我们分别使用历史上的人口长差分项（</w:t>
      </w:r>
      <w:r>
        <w:rPr>
          <w:rFonts w:hint="eastAsia" w:cs="Times New Roman"/>
          <w:i/>
          <w:iCs/>
        </w:rPr>
        <w:t>historical</w:t>
      </w:r>
      <w:r>
        <w:rPr>
          <w:rFonts w:cs="Times New Roman"/>
          <w:i/>
          <w:iCs/>
        </w:rPr>
        <w:t>growth</w:t>
      </w:r>
      <w:r>
        <w:rPr>
          <w:rFonts w:hint="eastAsia" w:cs="Times New Roman"/>
        </w:rPr>
        <w:t>）和上文预测的2</w:t>
      </w:r>
      <w:r>
        <w:rPr>
          <w:rFonts w:cs="Times New Roman"/>
        </w:rPr>
        <w:t>000-2015</w:t>
      </w:r>
      <w:r>
        <w:rPr>
          <w:rFonts w:hint="eastAsia" w:cs="Times New Roman"/>
        </w:rPr>
        <w:t>年人口长差分项（</w:t>
      </w:r>
      <w:r>
        <w:rPr>
          <w:rFonts w:cs="Times New Roman"/>
          <w:i/>
          <w:iCs/>
          <w:szCs w:val="21"/>
        </w:rPr>
        <w:t>projectedgro</w:t>
      </w:r>
      <w:r>
        <w:rPr>
          <w:rFonts w:hint="eastAsia" w:cs="Times New Roman"/>
          <w:i/>
          <w:iCs/>
          <w:szCs w:val="21"/>
        </w:rPr>
        <w:t>w</w:t>
      </w:r>
      <w:r>
        <w:rPr>
          <w:rFonts w:cs="Times New Roman"/>
          <w:i/>
          <w:iCs/>
          <w:szCs w:val="21"/>
        </w:rPr>
        <w:t>th</w:t>
      </w:r>
      <w:r>
        <w:rPr>
          <w:rFonts w:hint="eastAsia" w:cs="Times New Roman"/>
          <w:szCs w:val="21"/>
        </w:rPr>
        <w:t>）依次</w:t>
      </w:r>
      <w:r>
        <w:rPr>
          <w:rFonts w:hint="eastAsia"/>
        </w:rPr>
        <w:t>作为工具变量进行回归，</w:t>
      </w:r>
      <w:r>
        <w:rPr>
          <w:rFonts w:hint="eastAsia" w:cs="Times New Roman"/>
        </w:rPr>
        <w:t>结果可见表</w:t>
      </w:r>
      <w:r>
        <w:rPr>
          <w:rFonts w:hint="eastAsia" w:ascii="仿宋" w:hAnsi="仿宋" w:cs="仿宋"/>
        </w:rPr>
        <w:t>Ⅱ</w:t>
      </w:r>
      <w:r>
        <w:rPr>
          <w:rFonts w:hint="eastAsia" w:cs="Times New Roman"/>
        </w:rPr>
        <w:t>7，效应依然较为稳健。</w:t>
      </w:r>
    </w:p>
    <w:p>
      <w:pPr>
        <w:ind w:firstLine="360" w:firstLineChars="200"/>
        <w:jc w:val="center"/>
        <w:rPr>
          <w:rFonts w:ascii="黑体" w:hAnsi="黑体" w:eastAsia="黑体" w:cs="黑体"/>
          <w:sz w:val="18"/>
          <w:szCs w:val="18"/>
        </w:rPr>
      </w:pPr>
      <w:r>
        <w:rPr>
          <w:rFonts w:hint="eastAsia" w:ascii="黑体" w:hAnsi="黑体" w:eastAsia="黑体" w:cs="黑体"/>
          <w:sz w:val="18"/>
          <w:szCs w:val="18"/>
        </w:rPr>
        <w:t>表</w:t>
      </w:r>
      <w:r>
        <w:rPr>
          <w:rFonts w:hint="eastAsia" w:ascii="黑体" w:hAnsi="黑体" w:eastAsia="黑体" w:cs="黑体"/>
          <w:color w:val="000000" w:themeColor="text1"/>
          <w:sz w:val="18"/>
          <w:szCs w:val="18"/>
          <w14:textFill>
            <w14:solidFill>
              <w14:schemeClr w14:val="tx1"/>
            </w14:solidFill>
          </w14:textFill>
        </w:rPr>
        <w:t>II</w:t>
      </w:r>
      <w:r>
        <w:rPr>
          <w:rFonts w:hint="eastAsia" w:ascii="黑体" w:hAnsi="黑体" w:eastAsia="黑体" w:cs="黑体"/>
          <w:sz w:val="18"/>
          <w:szCs w:val="18"/>
        </w:rPr>
        <w:t>7 稳健性检验补充（工具变量回归第二阶段）</w:t>
      </w:r>
    </w:p>
    <w:tbl>
      <w:tblPr>
        <w:tblStyle w:val="12"/>
        <w:tblW w:w="9071" w:type="dxa"/>
        <w:jc w:val="center"/>
        <w:tblLayout w:type="fixed"/>
        <w:tblCellMar>
          <w:top w:w="0" w:type="dxa"/>
          <w:left w:w="75" w:type="dxa"/>
          <w:bottom w:w="0" w:type="dxa"/>
          <w:right w:w="75" w:type="dxa"/>
        </w:tblCellMar>
      </w:tblPr>
      <w:tblGrid>
        <w:gridCol w:w="1897"/>
        <w:gridCol w:w="1197"/>
        <w:gridCol w:w="1197"/>
        <w:gridCol w:w="1195"/>
        <w:gridCol w:w="1195"/>
        <w:gridCol w:w="1195"/>
        <w:gridCol w:w="1195"/>
      </w:tblGrid>
      <w:tr>
        <w:tblPrEx>
          <w:tblCellMar>
            <w:top w:w="0" w:type="dxa"/>
            <w:left w:w="75" w:type="dxa"/>
            <w:bottom w:w="0" w:type="dxa"/>
            <w:right w:w="75" w:type="dxa"/>
          </w:tblCellMar>
        </w:tblPrEx>
        <w:trPr>
          <w:jc w:val="center"/>
        </w:trPr>
        <w:tc>
          <w:tcPr>
            <w:tcW w:w="1897" w:type="dxa"/>
            <w:tcBorders>
              <w:top w:val="single" w:color="auto" w:sz="6" w:space="0"/>
              <w:left w:val="nil"/>
              <w:bottom w:val="nil"/>
              <w:right w:val="nil"/>
            </w:tcBorders>
          </w:tcPr>
          <w:p>
            <w:pPr>
              <w:autoSpaceDE w:val="0"/>
              <w:autoSpaceDN w:val="0"/>
              <w:adjustRightInd w:val="0"/>
              <w:jc w:val="both"/>
              <w:rPr>
                <w:rFonts w:cs="Times New Roman"/>
                <w:sz w:val="18"/>
                <w:szCs w:val="18"/>
              </w:rPr>
            </w:pPr>
          </w:p>
        </w:tc>
        <w:tc>
          <w:tcPr>
            <w:tcW w:w="7174" w:type="dxa"/>
            <w:gridSpan w:val="6"/>
            <w:tcBorders>
              <w:top w:val="single" w:color="auto" w:sz="6" w:space="0"/>
              <w:left w:val="nil"/>
              <w:bottom w:val="single" w:color="auto" w:sz="6" w:space="0"/>
              <w:right w:val="nil"/>
            </w:tcBorders>
          </w:tcPr>
          <w:p>
            <w:pPr>
              <w:autoSpaceDE w:val="0"/>
              <w:autoSpaceDN w:val="0"/>
              <w:adjustRightInd w:val="0"/>
              <w:jc w:val="center"/>
              <w:rPr>
                <w:rFonts w:cs="Times New Roman"/>
                <w:sz w:val="18"/>
                <w:szCs w:val="18"/>
              </w:rPr>
            </w:pPr>
            <w:r>
              <w:rPr>
                <w:rFonts w:hint="eastAsia" w:cs="Times New Roman"/>
                <w:sz w:val="18"/>
                <w:szCs w:val="18"/>
              </w:rPr>
              <w:t>被解释变量：</w:t>
            </w:r>
            <w:r>
              <w:rPr>
                <w:rFonts w:cs="Times New Roman"/>
                <w:i/>
                <w:iCs/>
                <w:sz w:val="18"/>
                <w:szCs w:val="18"/>
              </w:rPr>
              <w:t>Δln</w:t>
            </w:r>
            <w:r>
              <w:rPr>
                <w:rFonts w:hint="eastAsia" w:cs="Times New Roman"/>
                <w:i/>
                <w:iCs/>
                <w:sz w:val="18"/>
                <w:szCs w:val="18"/>
              </w:rPr>
              <w:t>pop</w:t>
            </w:r>
            <w:r>
              <w:rPr>
                <w:rFonts w:cs="Times New Roman"/>
                <w:sz w:val="18"/>
                <w:szCs w:val="18"/>
              </w:rPr>
              <w:t>(2000-2015)</w:t>
            </w:r>
          </w:p>
        </w:tc>
      </w:tr>
      <w:tr>
        <w:tblPrEx>
          <w:tblCellMar>
            <w:top w:w="0" w:type="dxa"/>
            <w:left w:w="75" w:type="dxa"/>
            <w:bottom w:w="0" w:type="dxa"/>
            <w:right w:w="75" w:type="dxa"/>
          </w:tblCellMar>
        </w:tblPrEx>
        <w:trPr>
          <w:jc w:val="center"/>
        </w:trPr>
        <w:tc>
          <w:tcPr>
            <w:tcW w:w="1897" w:type="dxa"/>
            <w:tcBorders>
              <w:top w:val="nil"/>
              <w:left w:val="nil"/>
              <w:bottom w:val="single" w:color="auto" w:sz="6" w:space="0"/>
              <w:right w:val="nil"/>
            </w:tcBorders>
          </w:tcPr>
          <w:p>
            <w:pPr>
              <w:autoSpaceDE w:val="0"/>
              <w:autoSpaceDN w:val="0"/>
              <w:adjustRightInd w:val="0"/>
              <w:jc w:val="both"/>
              <w:rPr>
                <w:rFonts w:cs="Times New Roman"/>
                <w:sz w:val="18"/>
                <w:szCs w:val="18"/>
              </w:rPr>
            </w:pPr>
            <w:r>
              <w:rPr>
                <w:rFonts w:hint="eastAsia" w:cs="Times New Roman"/>
                <w:sz w:val="18"/>
                <w:szCs w:val="18"/>
              </w:rPr>
              <w:t>解释变量</w:t>
            </w:r>
          </w:p>
        </w:tc>
        <w:tc>
          <w:tcPr>
            <w:tcW w:w="1197" w:type="dxa"/>
            <w:tcBorders>
              <w:top w:val="single" w:color="auto" w:sz="6" w:space="0"/>
              <w:left w:val="nil"/>
              <w:bottom w:val="single" w:color="auto" w:sz="6" w:space="0"/>
              <w:right w:val="nil"/>
            </w:tcBorders>
          </w:tcPr>
          <w:p>
            <w:pPr>
              <w:autoSpaceDE w:val="0"/>
              <w:autoSpaceDN w:val="0"/>
              <w:adjustRightInd w:val="0"/>
              <w:jc w:val="center"/>
              <w:rPr>
                <w:rFonts w:cs="Times New Roman"/>
                <w:sz w:val="18"/>
                <w:szCs w:val="18"/>
              </w:rPr>
            </w:pPr>
            <w:r>
              <w:rPr>
                <w:rFonts w:cs="Times New Roman"/>
                <w:sz w:val="18"/>
                <w:szCs w:val="18"/>
              </w:rPr>
              <w:t>(1)</w:t>
            </w:r>
          </w:p>
        </w:tc>
        <w:tc>
          <w:tcPr>
            <w:tcW w:w="1197" w:type="dxa"/>
            <w:tcBorders>
              <w:top w:val="single" w:color="auto" w:sz="6" w:space="0"/>
              <w:left w:val="nil"/>
              <w:bottom w:val="single" w:color="auto" w:sz="6" w:space="0"/>
              <w:right w:val="nil"/>
            </w:tcBorders>
          </w:tcPr>
          <w:p>
            <w:pPr>
              <w:autoSpaceDE w:val="0"/>
              <w:autoSpaceDN w:val="0"/>
              <w:adjustRightInd w:val="0"/>
              <w:jc w:val="center"/>
              <w:rPr>
                <w:rFonts w:cs="Times New Roman"/>
                <w:i/>
                <w:iCs/>
                <w:sz w:val="18"/>
                <w:szCs w:val="18"/>
              </w:rPr>
            </w:pPr>
            <w:r>
              <w:rPr>
                <w:rFonts w:cs="Times New Roman"/>
                <w:sz w:val="18"/>
                <w:szCs w:val="18"/>
              </w:rPr>
              <w:t>(2)</w:t>
            </w:r>
          </w:p>
        </w:tc>
        <w:tc>
          <w:tcPr>
            <w:tcW w:w="1195" w:type="dxa"/>
            <w:tcBorders>
              <w:top w:val="single" w:color="auto" w:sz="6" w:space="0"/>
              <w:left w:val="nil"/>
              <w:bottom w:val="single" w:color="auto" w:sz="6" w:space="0"/>
              <w:right w:val="nil"/>
            </w:tcBorders>
          </w:tcPr>
          <w:p>
            <w:pPr>
              <w:autoSpaceDE w:val="0"/>
              <w:autoSpaceDN w:val="0"/>
              <w:adjustRightInd w:val="0"/>
              <w:jc w:val="center"/>
              <w:rPr>
                <w:rFonts w:cs="Times New Roman"/>
                <w:i/>
                <w:iCs/>
                <w:sz w:val="18"/>
                <w:szCs w:val="18"/>
              </w:rPr>
            </w:pPr>
            <w:r>
              <w:rPr>
                <w:rFonts w:cs="Times New Roman"/>
                <w:sz w:val="18"/>
                <w:szCs w:val="18"/>
              </w:rPr>
              <w:t>(3)</w:t>
            </w:r>
          </w:p>
        </w:tc>
        <w:tc>
          <w:tcPr>
            <w:tcW w:w="1195" w:type="dxa"/>
            <w:tcBorders>
              <w:top w:val="single" w:color="auto" w:sz="6" w:space="0"/>
              <w:left w:val="nil"/>
              <w:bottom w:val="single" w:color="auto" w:sz="6" w:space="0"/>
              <w:right w:val="nil"/>
            </w:tcBorders>
          </w:tcPr>
          <w:p>
            <w:pPr>
              <w:autoSpaceDE w:val="0"/>
              <w:autoSpaceDN w:val="0"/>
              <w:adjustRightInd w:val="0"/>
              <w:jc w:val="center"/>
              <w:rPr>
                <w:rFonts w:cs="Times New Roman"/>
                <w:i/>
                <w:iCs/>
                <w:sz w:val="18"/>
                <w:szCs w:val="18"/>
              </w:rPr>
            </w:pPr>
            <w:r>
              <w:rPr>
                <w:rFonts w:cs="Times New Roman"/>
                <w:sz w:val="18"/>
                <w:szCs w:val="18"/>
              </w:rPr>
              <w:t>(4)</w:t>
            </w:r>
          </w:p>
        </w:tc>
        <w:tc>
          <w:tcPr>
            <w:tcW w:w="1195" w:type="dxa"/>
            <w:tcBorders>
              <w:top w:val="single" w:color="auto" w:sz="6" w:space="0"/>
              <w:left w:val="nil"/>
              <w:bottom w:val="single" w:color="auto" w:sz="6" w:space="0"/>
              <w:right w:val="nil"/>
            </w:tcBorders>
          </w:tcPr>
          <w:p>
            <w:pPr>
              <w:autoSpaceDE w:val="0"/>
              <w:autoSpaceDN w:val="0"/>
              <w:adjustRightInd w:val="0"/>
              <w:jc w:val="center"/>
              <w:rPr>
                <w:rFonts w:cs="Times New Roman"/>
                <w:sz w:val="18"/>
                <w:szCs w:val="18"/>
              </w:rPr>
            </w:pPr>
            <w:r>
              <w:rPr>
                <w:rFonts w:cs="Times New Roman"/>
                <w:sz w:val="18"/>
                <w:szCs w:val="18"/>
              </w:rPr>
              <w:t>(5)</w:t>
            </w:r>
          </w:p>
        </w:tc>
        <w:tc>
          <w:tcPr>
            <w:tcW w:w="1195" w:type="dxa"/>
            <w:tcBorders>
              <w:top w:val="single" w:color="auto" w:sz="6" w:space="0"/>
              <w:left w:val="nil"/>
              <w:bottom w:val="single" w:color="auto" w:sz="6" w:space="0"/>
              <w:right w:val="nil"/>
            </w:tcBorders>
          </w:tcPr>
          <w:p>
            <w:pPr>
              <w:autoSpaceDE w:val="0"/>
              <w:autoSpaceDN w:val="0"/>
              <w:adjustRightInd w:val="0"/>
              <w:jc w:val="center"/>
              <w:rPr>
                <w:rFonts w:cs="Times New Roman"/>
                <w:sz w:val="18"/>
                <w:szCs w:val="18"/>
              </w:rPr>
            </w:pPr>
            <w:r>
              <w:rPr>
                <w:rFonts w:cs="Times New Roman"/>
                <w:sz w:val="18"/>
                <w:szCs w:val="18"/>
              </w:rPr>
              <w:t>(6)</w:t>
            </w:r>
          </w:p>
        </w:tc>
      </w:tr>
      <w:tr>
        <w:tblPrEx>
          <w:tblCellMar>
            <w:top w:w="0" w:type="dxa"/>
            <w:left w:w="75" w:type="dxa"/>
            <w:bottom w:w="0" w:type="dxa"/>
            <w:right w:w="75" w:type="dxa"/>
          </w:tblCellMar>
        </w:tblPrEx>
        <w:trPr>
          <w:jc w:val="center"/>
        </w:trPr>
        <w:tc>
          <w:tcPr>
            <w:tcW w:w="1897" w:type="dxa"/>
          </w:tcPr>
          <w:p>
            <w:pPr>
              <w:autoSpaceDE w:val="0"/>
              <w:autoSpaceDN w:val="0"/>
              <w:adjustRightInd w:val="0"/>
              <w:jc w:val="both"/>
              <w:rPr>
                <w:rFonts w:cs="Times New Roman"/>
                <w:i/>
                <w:iCs/>
                <w:sz w:val="18"/>
                <w:szCs w:val="18"/>
              </w:rPr>
            </w:pPr>
            <w:r>
              <w:rPr>
                <w:rFonts w:cs="Times New Roman"/>
                <w:i/>
                <w:iCs/>
                <w:sz w:val="18"/>
                <w:szCs w:val="18"/>
              </w:rPr>
              <w:t>Δurbanshape</w:t>
            </w:r>
          </w:p>
        </w:tc>
        <w:tc>
          <w:tcPr>
            <w:tcW w:w="1197" w:type="dxa"/>
          </w:tcPr>
          <w:p>
            <w:pPr>
              <w:autoSpaceDE w:val="0"/>
              <w:autoSpaceDN w:val="0"/>
              <w:adjustRightInd w:val="0"/>
              <w:jc w:val="center"/>
              <w:rPr>
                <w:rFonts w:cs="Times New Roman"/>
                <w:sz w:val="18"/>
                <w:szCs w:val="18"/>
              </w:rPr>
            </w:pPr>
            <w:r>
              <w:rPr>
                <w:rFonts w:cs="Times New Roman"/>
                <w:sz w:val="18"/>
                <w:szCs w:val="18"/>
              </w:rPr>
              <w:t>-0.1462**</w:t>
            </w:r>
          </w:p>
        </w:tc>
        <w:tc>
          <w:tcPr>
            <w:tcW w:w="1197" w:type="dxa"/>
          </w:tcPr>
          <w:p>
            <w:pPr>
              <w:autoSpaceDE w:val="0"/>
              <w:autoSpaceDN w:val="0"/>
              <w:adjustRightInd w:val="0"/>
              <w:jc w:val="center"/>
              <w:rPr>
                <w:rFonts w:cs="Times New Roman"/>
                <w:sz w:val="18"/>
                <w:szCs w:val="18"/>
              </w:rPr>
            </w:pPr>
            <w:r>
              <w:rPr>
                <w:rFonts w:cs="Times New Roman"/>
                <w:sz w:val="18"/>
                <w:szCs w:val="18"/>
              </w:rPr>
              <w:t>-0.1260*</w:t>
            </w:r>
          </w:p>
        </w:tc>
        <w:tc>
          <w:tcPr>
            <w:tcW w:w="1195" w:type="dxa"/>
          </w:tcPr>
          <w:p>
            <w:pPr>
              <w:autoSpaceDE w:val="0"/>
              <w:autoSpaceDN w:val="0"/>
              <w:adjustRightInd w:val="0"/>
              <w:jc w:val="center"/>
              <w:rPr>
                <w:rFonts w:cs="Times New Roman"/>
                <w:sz w:val="18"/>
                <w:szCs w:val="18"/>
              </w:rPr>
            </w:pPr>
            <w:r>
              <w:rPr>
                <w:rFonts w:cs="Times New Roman"/>
                <w:sz w:val="18"/>
                <w:szCs w:val="18"/>
              </w:rPr>
              <w:t>-0.2036**</w:t>
            </w:r>
          </w:p>
        </w:tc>
        <w:tc>
          <w:tcPr>
            <w:tcW w:w="1195" w:type="dxa"/>
          </w:tcPr>
          <w:p>
            <w:pPr>
              <w:autoSpaceDE w:val="0"/>
              <w:autoSpaceDN w:val="0"/>
              <w:adjustRightInd w:val="0"/>
              <w:jc w:val="center"/>
              <w:rPr>
                <w:rFonts w:cs="Times New Roman"/>
                <w:sz w:val="18"/>
                <w:szCs w:val="18"/>
              </w:rPr>
            </w:pPr>
            <w:r>
              <w:rPr>
                <w:rFonts w:cs="Times New Roman"/>
                <w:sz w:val="18"/>
                <w:szCs w:val="18"/>
              </w:rPr>
              <w:t>-0.1460**</w:t>
            </w:r>
          </w:p>
        </w:tc>
        <w:tc>
          <w:tcPr>
            <w:tcW w:w="1195" w:type="dxa"/>
          </w:tcPr>
          <w:p>
            <w:pPr>
              <w:autoSpaceDE w:val="0"/>
              <w:autoSpaceDN w:val="0"/>
              <w:adjustRightInd w:val="0"/>
              <w:jc w:val="center"/>
              <w:rPr>
                <w:rFonts w:cs="Times New Roman"/>
                <w:sz w:val="18"/>
                <w:szCs w:val="18"/>
              </w:rPr>
            </w:pPr>
            <w:r>
              <w:rPr>
                <w:rFonts w:cs="Times New Roman"/>
                <w:sz w:val="18"/>
                <w:szCs w:val="18"/>
              </w:rPr>
              <w:t>-0.1585*</w:t>
            </w:r>
          </w:p>
        </w:tc>
        <w:tc>
          <w:tcPr>
            <w:tcW w:w="1195" w:type="dxa"/>
          </w:tcPr>
          <w:p>
            <w:pPr>
              <w:autoSpaceDE w:val="0"/>
              <w:autoSpaceDN w:val="0"/>
              <w:adjustRightInd w:val="0"/>
              <w:jc w:val="center"/>
              <w:rPr>
                <w:rFonts w:cs="Times New Roman"/>
                <w:sz w:val="18"/>
                <w:szCs w:val="18"/>
              </w:rPr>
            </w:pPr>
            <w:r>
              <w:rPr>
                <w:rFonts w:cs="Times New Roman"/>
                <w:sz w:val="18"/>
                <w:szCs w:val="18"/>
              </w:rPr>
              <w:t>-0.1569*</w:t>
            </w:r>
          </w:p>
        </w:tc>
      </w:tr>
      <w:tr>
        <w:tblPrEx>
          <w:tblCellMar>
            <w:top w:w="0" w:type="dxa"/>
            <w:left w:w="75" w:type="dxa"/>
            <w:bottom w:w="0" w:type="dxa"/>
            <w:right w:w="75" w:type="dxa"/>
          </w:tblCellMar>
        </w:tblPrEx>
        <w:trPr>
          <w:jc w:val="center"/>
        </w:trPr>
        <w:tc>
          <w:tcPr>
            <w:tcW w:w="1897" w:type="dxa"/>
          </w:tcPr>
          <w:p>
            <w:pPr>
              <w:autoSpaceDE w:val="0"/>
              <w:autoSpaceDN w:val="0"/>
              <w:adjustRightInd w:val="0"/>
              <w:jc w:val="both"/>
              <w:rPr>
                <w:rFonts w:cs="Times New Roman"/>
                <w:sz w:val="18"/>
                <w:szCs w:val="18"/>
              </w:rPr>
            </w:pPr>
          </w:p>
        </w:tc>
        <w:tc>
          <w:tcPr>
            <w:tcW w:w="1197" w:type="dxa"/>
          </w:tcPr>
          <w:p>
            <w:pPr>
              <w:autoSpaceDE w:val="0"/>
              <w:autoSpaceDN w:val="0"/>
              <w:adjustRightInd w:val="0"/>
              <w:jc w:val="center"/>
              <w:rPr>
                <w:rFonts w:cs="Times New Roman"/>
                <w:sz w:val="18"/>
                <w:szCs w:val="18"/>
              </w:rPr>
            </w:pPr>
            <w:r>
              <w:rPr>
                <w:rFonts w:cs="Times New Roman"/>
                <w:sz w:val="18"/>
                <w:szCs w:val="18"/>
              </w:rPr>
              <w:t>(0.0708)</w:t>
            </w:r>
          </w:p>
        </w:tc>
        <w:tc>
          <w:tcPr>
            <w:tcW w:w="1197" w:type="dxa"/>
          </w:tcPr>
          <w:p>
            <w:pPr>
              <w:autoSpaceDE w:val="0"/>
              <w:autoSpaceDN w:val="0"/>
              <w:adjustRightInd w:val="0"/>
              <w:jc w:val="center"/>
              <w:rPr>
                <w:rFonts w:cs="Times New Roman"/>
                <w:sz w:val="18"/>
                <w:szCs w:val="18"/>
              </w:rPr>
            </w:pPr>
            <w:r>
              <w:rPr>
                <w:rFonts w:cs="Times New Roman"/>
                <w:sz w:val="18"/>
                <w:szCs w:val="18"/>
              </w:rPr>
              <w:t>(0.0735)</w:t>
            </w:r>
          </w:p>
        </w:tc>
        <w:tc>
          <w:tcPr>
            <w:tcW w:w="1195" w:type="dxa"/>
          </w:tcPr>
          <w:p>
            <w:pPr>
              <w:autoSpaceDE w:val="0"/>
              <w:autoSpaceDN w:val="0"/>
              <w:adjustRightInd w:val="0"/>
              <w:jc w:val="center"/>
              <w:rPr>
                <w:rFonts w:cs="Times New Roman"/>
                <w:sz w:val="18"/>
                <w:szCs w:val="18"/>
              </w:rPr>
            </w:pPr>
            <w:r>
              <w:rPr>
                <w:rFonts w:cs="Times New Roman"/>
                <w:sz w:val="18"/>
                <w:szCs w:val="18"/>
              </w:rPr>
              <w:t>(0.0881)</w:t>
            </w:r>
          </w:p>
        </w:tc>
        <w:tc>
          <w:tcPr>
            <w:tcW w:w="1195" w:type="dxa"/>
          </w:tcPr>
          <w:p>
            <w:pPr>
              <w:autoSpaceDE w:val="0"/>
              <w:autoSpaceDN w:val="0"/>
              <w:adjustRightInd w:val="0"/>
              <w:jc w:val="center"/>
              <w:rPr>
                <w:rFonts w:cs="Times New Roman"/>
                <w:sz w:val="18"/>
                <w:szCs w:val="18"/>
              </w:rPr>
            </w:pPr>
            <w:r>
              <w:rPr>
                <w:rFonts w:cs="Times New Roman"/>
                <w:sz w:val="18"/>
                <w:szCs w:val="18"/>
              </w:rPr>
              <w:t>(0.0663)</w:t>
            </w:r>
          </w:p>
        </w:tc>
        <w:tc>
          <w:tcPr>
            <w:tcW w:w="1195" w:type="dxa"/>
          </w:tcPr>
          <w:p>
            <w:pPr>
              <w:autoSpaceDE w:val="0"/>
              <w:autoSpaceDN w:val="0"/>
              <w:adjustRightInd w:val="0"/>
              <w:jc w:val="center"/>
              <w:rPr>
                <w:rFonts w:cs="Times New Roman"/>
                <w:sz w:val="18"/>
                <w:szCs w:val="18"/>
              </w:rPr>
            </w:pPr>
            <w:r>
              <w:rPr>
                <w:rFonts w:cs="Times New Roman"/>
                <w:sz w:val="18"/>
                <w:szCs w:val="18"/>
              </w:rPr>
              <w:t>(0.1015)</w:t>
            </w:r>
          </w:p>
        </w:tc>
        <w:tc>
          <w:tcPr>
            <w:tcW w:w="1195" w:type="dxa"/>
          </w:tcPr>
          <w:p>
            <w:pPr>
              <w:autoSpaceDE w:val="0"/>
              <w:autoSpaceDN w:val="0"/>
              <w:adjustRightInd w:val="0"/>
              <w:jc w:val="center"/>
              <w:rPr>
                <w:rFonts w:cs="Times New Roman"/>
                <w:sz w:val="18"/>
                <w:szCs w:val="18"/>
              </w:rPr>
            </w:pPr>
            <w:r>
              <w:rPr>
                <w:rFonts w:cs="Times New Roman"/>
                <w:sz w:val="18"/>
                <w:szCs w:val="18"/>
              </w:rPr>
              <w:t>(0.0978)</w:t>
            </w:r>
          </w:p>
        </w:tc>
      </w:tr>
      <w:tr>
        <w:tblPrEx>
          <w:tblCellMar>
            <w:top w:w="0" w:type="dxa"/>
            <w:left w:w="75" w:type="dxa"/>
            <w:bottom w:w="0" w:type="dxa"/>
            <w:right w:w="75" w:type="dxa"/>
          </w:tblCellMar>
        </w:tblPrEx>
        <w:trPr>
          <w:jc w:val="center"/>
        </w:trPr>
        <w:tc>
          <w:tcPr>
            <w:tcW w:w="1897" w:type="dxa"/>
          </w:tcPr>
          <w:p>
            <w:pPr>
              <w:autoSpaceDE w:val="0"/>
              <w:autoSpaceDN w:val="0"/>
              <w:adjustRightInd w:val="0"/>
              <w:jc w:val="both"/>
              <w:rPr>
                <w:rFonts w:cs="Times New Roman"/>
                <w:sz w:val="18"/>
                <w:szCs w:val="18"/>
              </w:rPr>
            </w:pPr>
            <w:r>
              <w:rPr>
                <w:rFonts w:cs="Times New Roman"/>
                <w:i/>
                <w:iCs/>
                <w:sz w:val="18"/>
                <w:szCs w:val="18"/>
              </w:rPr>
              <w:t>Δlnarea</w:t>
            </w:r>
          </w:p>
        </w:tc>
        <w:tc>
          <w:tcPr>
            <w:tcW w:w="1197" w:type="dxa"/>
          </w:tcPr>
          <w:p>
            <w:pPr>
              <w:autoSpaceDE w:val="0"/>
              <w:autoSpaceDN w:val="0"/>
              <w:adjustRightInd w:val="0"/>
              <w:jc w:val="center"/>
              <w:rPr>
                <w:rFonts w:cs="Times New Roman"/>
                <w:sz w:val="18"/>
                <w:szCs w:val="18"/>
              </w:rPr>
            </w:pPr>
            <w:r>
              <w:rPr>
                <w:rFonts w:cs="Times New Roman"/>
                <w:sz w:val="18"/>
                <w:szCs w:val="18"/>
              </w:rPr>
              <w:t>1.4353***</w:t>
            </w:r>
          </w:p>
        </w:tc>
        <w:tc>
          <w:tcPr>
            <w:tcW w:w="1197" w:type="dxa"/>
          </w:tcPr>
          <w:p>
            <w:pPr>
              <w:autoSpaceDE w:val="0"/>
              <w:autoSpaceDN w:val="0"/>
              <w:adjustRightInd w:val="0"/>
              <w:jc w:val="center"/>
              <w:rPr>
                <w:rFonts w:cs="Times New Roman"/>
                <w:sz w:val="18"/>
                <w:szCs w:val="18"/>
              </w:rPr>
            </w:pPr>
            <w:r>
              <w:rPr>
                <w:rFonts w:cs="Times New Roman"/>
                <w:sz w:val="18"/>
                <w:szCs w:val="18"/>
              </w:rPr>
              <w:t>1.2543***</w:t>
            </w:r>
          </w:p>
        </w:tc>
        <w:tc>
          <w:tcPr>
            <w:tcW w:w="1195" w:type="dxa"/>
          </w:tcPr>
          <w:p>
            <w:pPr>
              <w:autoSpaceDE w:val="0"/>
              <w:autoSpaceDN w:val="0"/>
              <w:adjustRightInd w:val="0"/>
              <w:jc w:val="center"/>
              <w:rPr>
                <w:rFonts w:cs="Times New Roman"/>
                <w:sz w:val="18"/>
                <w:szCs w:val="18"/>
              </w:rPr>
            </w:pPr>
            <w:r>
              <w:rPr>
                <w:rFonts w:cs="Times New Roman"/>
                <w:sz w:val="18"/>
                <w:szCs w:val="18"/>
              </w:rPr>
              <w:t>1.5963***</w:t>
            </w:r>
          </w:p>
        </w:tc>
        <w:tc>
          <w:tcPr>
            <w:tcW w:w="1195" w:type="dxa"/>
          </w:tcPr>
          <w:p>
            <w:pPr>
              <w:autoSpaceDE w:val="0"/>
              <w:autoSpaceDN w:val="0"/>
              <w:adjustRightInd w:val="0"/>
              <w:jc w:val="center"/>
              <w:rPr>
                <w:rFonts w:cs="Times New Roman"/>
                <w:sz w:val="18"/>
                <w:szCs w:val="18"/>
              </w:rPr>
            </w:pPr>
            <w:r>
              <w:rPr>
                <w:rFonts w:cs="Times New Roman"/>
                <w:sz w:val="18"/>
                <w:szCs w:val="18"/>
              </w:rPr>
              <w:t>1.4342***</w:t>
            </w:r>
          </w:p>
        </w:tc>
        <w:tc>
          <w:tcPr>
            <w:tcW w:w="1195" w:type="dxa"/>
          </w:tcPr>
          <w:p>
            <w:pPr>
              <w:autoSpaceDE w:val="0"/>
              <w:autoSpaceDN w:val="0"/>
              <w:adjustRightInd w:val="0"/>
              <w:jc w:val="center"/>
              <w:rPr>
                <w:rFonts w:cs="Times New Roman"/>
                <w:sz w:val="18"/>
                <w:szCs w:val="18"/>
              </w:rPr>
            </w:pPr>
            <w:r>
              <w:rPr>
                <w:rFonts w:cs="Times New Roman"/>
                <w:sz w:val="18"/>
                <w:szCs w:val="18"/>
              </w:rPr>
              <w:t>2.1946**</w:t>
            </w:r>
          </w:p>
        </w:tc>
        <w:tc>
          <w:tcPr>
            <w:tcW w:w="1195" w:type="dxa"/>
          </w:tcPr>
          <w:p>
            <w:pPr>
              <w:autoSpaceDE w:val="0"/>
              <w:autoSpaceDN w:val="0"/>
              <w:adjustRightInd w:val="0"/>
              <w:jc w:val="center"/>
              <w:rPr>
                <w:rFonts w:cs="Times New Roman"/>
                <w:sz w:val="18"/>
                <w:szCs w:val="18"/>
              </w:rPr>
            </w:pPr>
            <w:r>
              <w:rPr>
                <w:rFonts w:cs="Times New Roman"/>
                <w:sz w:val="18"/>
                <w:szCs w:val="18"/>
              </w:rPr>
              <w:t>2.2372**</w:t>
            </w:r>
          </w:p>
        </w:tc>
      </w:tr>
      <w:tr>
        <w:tblPrEx>
          <w:tblCellMar>
            <w:top w:w="0" w:type="dxa"/>
            <w:left w:w="75" w:type="dxa"/>
            <w:bottom w:w="0" w:type="dxa"/>
            <w:right w:w="75" w:type="dxa"/>
          </w:tblCellMar>
        </w:tblPrEx>
        <w:trPr>
          <w:jc w:val="center"/>
        </w:trPr>
        <w:tc>
          <w:tcPr>
            <w:tcW w:w="1897" w:type="dxa"/>
          </w:tcPr>
          <w:p>
            <w:pPr>
              <w:autoSpaceDE w:val="0"/>
              <w:autoSpaceDN w:val="0"/>
              <w:adjustRightInd w:val="0"/>
              <w:jc w:val="both"/>
              <w:rPr>
                <w:rFonts w:cs="Times New Roman"/>
                <w:sz w:val="18"/>
                <w:szCs w:val="18"/>
              </w:rPr>
            </w:pPr>
          </w:p>
        </w:tc>
        <w:tc>
          <w:tcPr>
            <w:tcW w:w="1197" w:type="dxa"/>
          </w:tcPr>
          <w:p>
            <w:pPr>
              <w:autoSpaceDE w:val="0"/>
              <w:autoSpaceDN w:val="0"/>
              <w:adjustRightInd w:val="0"/>
              <w:jc w:val="center"/>
              <w:rPr>
                <w:rFonts w:cs="Times New Roman"/>
                <w:sz w:val="18"/>
                <w:szCs w:val="18"/>
              </w:rPr>
            </w:pPr>
            <w:r>
              <w:rPr>
                <w:rFonts w:cs="Times New Roman"/>
                <w:sz w:val="18"/>
                <w:szCs w:val="18"/>
              </w:rPr>
              <w:t>(0.2575)</w:t>
            </w:r>
          </w:p>
        </w:tc>
        <w:tc>
          <w:tcPr>
            <w:tcW w:w="1197" w:type="dxa"/>
          </w:tcPr>
          <w:p>
            <w:pPr>
              <w:autoSpaceDE w:val="0"/>
              <w:autoSpaceDN w:val="0"/>
              <w:adjustRightInd w:val="0"/>
              <w:jc w:val="center"/>
              <w:rPr>
                <w:rFonts w:cs="Times New Roman"/>
                <w:sz w:val="18"/>
                <w:szCs w:val="18"/>
              </w:rPr>
            </w:pPr>
            <w:r>
              <w:rPr>
                <w:rFonts w:cs="Times New Roman"/>
                <w:sz w:val="18"/>
                <w:szCs w:val="18"/>
              </w:rPr>
              <w:t>(0.3348)</w:t>
            </w:r>
          </w:p>
        </w:tc>
        <w:tc>
          <w:tcPr>
            <w:tcW w:w="1195" w:type="dxa"/>
          </w:tcPr>
          <w:p>
            <w:pPr>
              <w:autoSpaceDE w:val="0"/>
              <w:autoSpaceDN w:val="0"/>
              <w:adjustRightInd w:val="0"/>
              <w:jc w:val="center"/>
              <w:rPr>
                <w:rFonts w:cs="Times New Roman"/>
                <w:sz w:val="18"/>
                <w:szCs w:val="18"/>
              </w:rPr>
            </w:pPr>
            <w:r>
              <w:rPr>
                <w:rFonts w:cs="Times New Roman"/>
                <w:sz w:val="18"/>
                <w:szCs w:val="18"/>
              </w:rPr>
              <w:t>(0.3370)</w:t>
            </w:r>
          </w:p>
        </w:tc>
        <w:tc>
          <w:tcPr>
            <w:tcW w:w="1195" w:type="dxa"/>
          </w:tcPr>
          <w:p>
            <w:pPr>
              <w:autoSpaceDE w:val="0"/>
              <w:autoSpaceDN w:val="0"/>
              <w:adjustRightInd w:val="0"/>
              <w:jc w:val="center"/>
              <w:rPr>
                <w:rFonts w:cs="Times New Roman"/>
                <w:sz w:val="18"/>
                <w:szCs w:val="18"/>
              </w:rPr>
            </w:pPr>
            <w:r>
              <w:rPr>
                <w:rFonts w:cs="Times New Roman"/>
                <w:sz w:val="18"/>
                <w:szCs w:val="18"/>
              </w:rPr>
              <w:t>(0.3026)</w:t>
            </w:r>
          </w:p>
        </w:tc>
        <w:tc>
          <w:tcPr>
            <w:tcW w:w="1195" w:type="dxa"/>
          </w:tcPr>
          <w:p>
            <w:pPr>
              <w:autoSpaceDE w:val="0"/>
              <w:autoSpaceDN w:val="0"/>
              <w:adjustRightInd w:val="0"/>
              <w:jc w:val="center"/>
              <w:rPr>
                <w:rFonts w:cs="Times New Roman"/>
                <w:sz w:val="18"/>
                <w:szCs w:val="18"/>
              </w:rPr>
            </w:pPr>
            <w:r>
              <w:rPr>
                <w:rFonts w:cs="Times New Roman"/>
                <w:sz w:val="18"/>
                <w:szCs w:val="18"/>
              </w:rPr>
              <w:t>(0.9088)</w:t>
            </w:r>
          </w:p>
        </w:tc>
        <w:tc>
          <w:tcPr>
            <w:tcW w:w="1195" w:type="dxa"/>
          </w:tcPr>
          <w:p>
            <w:pPr>
              <w:autoSpaceDE w:val="0"/>
              <w:autoSpaceDN w:val="0"/>
              <w:adjustRightInd w:val="0"/>
              <w:jc w:val="center"/>
              <w:rPr>
                <w:rFonts w:cs="Times New Roman"/>
                <w:sz w:val="18"/>
                <w:szCs w:val="18"/>
              </w:rPr>
            </w:pPr>
            <w:r>
              <w:rPr>
                <w:rFonts w:cs="Times New Roman"/>
                <w:sz w:val="18"/>
                <w:szCs w:val="18"/>
              </w:rPr>
              <w:t>(1.1197)</w:t>
            </w:r>
          </w:p>
        </w:tc>
      </w:tr>
      <w:tr>
        <w:tblPrEx>
          <w:tblCellMar>
            <w:top w:w="0" w:type="dxa"/>
            <w:left w:w="75" w:type="dxa"/>
            <w:bottom w:w="0" w:type="dxa"/>
            <w:right w:w="75" w:type="dxa"/>
          </w:tblCellMar>
        </w:tblPrEx>
        <w:trPr>
          <w:jc w:val="center"/>
        </w:trPr>
        <w:tc>
          <w:tcPr>
            <w:tcW w:w="1897" w:type="dxa"/>
          </w:tcPr>
          <w:p>
            <w:pPr>
              <w:autoSpaceDE w:val="0"/>
              <w:autoSpaceDN w:val="0"/>
              <w:adjustRightInd w:val="0"/>
              <w:jc w:val="both"/>
              <w:rPr>
                <w:rFonts w:cs="Times New Roman"/>
                <w:sz w:val="18"/>
                <w:szCs w:val="18"/>
              </w:rPr>
            </w:pPr>
            <w:r>
              <w:rPr>
                <w:rFonts w:cs="Times New Roman"/>
                <w:sz w:val="18"/>
                <w:szCs w:val="18"/>
              </w:rPr>
              <w:t>N</w:t>
            </w:r>
          </w:p>
        </w:tc>
        <w:tc>
          <w:tcPr>
            <w:tcW w:w="1197" w:type="dxa"/>
          </w:tcPr>
          <w:p>
            <w:pPr>
              <w:autoSpaceDE w:val="0"/>
              <w:autoSpaceDN w:val="0"/>
              <w:adjustRightInd w:val="0"/>
              <w:jc w:val="center"/>
              <w:rPr>
                <w:rFonts w:cs="Times New Roman"/>
                <w:sz w:val="18"/>
                <w:szCs w:val="18"/>
              </w:rPr>
            </w:pPr>
            <w:r>
              <w:rPr>
                <w:rFonts w:cs="Times New Roman"/>
                <w:sz w:val="18"/>
                <w:szCs w:val="18"/>
              </w:rPr>
              <w:t>251</w:t>
            </w:r>
          </w:p>
        </w:tc>
        <w:tc>
          <w:tcPr>
            <w:tcW w:w="1197" w:type="dxa"/>
          </w:tcPr>
          <w:p>
            <w:pPr>
              <w:autoSpaceDE w:val="0"/>
              <w:autoSpaceDN w:val="0"/>
              <w:adjustRightInd w:val="0"/>
              <w:jc w:val="center"/>
              <w:rPr>
                <w:rFonts w:cs="Times New Roman"/>
                <w:sz w:val="18"/>
                <w:szCs w:val="18"/>
              </w:rPr>
            </w:pPr>
            <w:r>
              <w:rPr>
                <w:rFonts w:cs="Times New Roman"/>
                <w:sz w:val="18"/>
                <w:szCs w:val="18"/>
              </w:rPr>
              <w:t>247</w:t>
            </w:r>
          </w:p>
        </w:tc>
        <w:tc>
          <w:tcPr>
            <w:tcW w:w="1195" w:type="dxa"/>
          </w:tcPr>
          <w:p>
            <w:pPr>
              <w:autoSpaceDE w:val="0"/>
              <w:autoSpaceDN w:val="0"/>
              <w:adjustRightInd w:val="0"/>
              <w:jc w:val="center"/>
              <w:rPr>
                <w:rFonts w:cs="Times New Roman"/>
                <w:sz w:val="18"/>
                <w:szCs w:val="18"/>
              </w:rPr>
            </w:pPr>
            <w:r>
              <w:rPr>
                <w:rFonts w:cs="Times New Roman"/>
                <w:sz w:val="18"/>
                <w:szCs w:val="18"/>
              </w:rPr>
              <w:t>252</w:t>
            </w:r>
          </w:p>
        </w:tc>
        <w:tc>
          <w:tcPr>
            <w:tcW w:w="1195" w:type="dxa"/>
          </w:tcPr>
          <w:p>
            <w:pPr>
              <w:autoSpaceDE w:val="0"/>
              <w:autoSpaceDN w:val="0"/>
              <w:adjustRightInd w:val="0"/>
              <w:jc w:val="center"/>
              <w:rPr>
                <w:rFonts w:cs="Times New Roman"/>
                <w:sz w:val="18"/>
                <w:szCs w:val="18"/>
              </w:rPr>
            </w:pPr>
            <w:r>
              <w:rPr>
                <w:rFonts w:cs="Times New Roman"/>
                <w:sz w:val="18"/>
                <w:szCs w:val="18"/>
              </w:rPr>
              <w:t>252</w:t>
            </w:r>
          </w:p>
        </w:tc>
        <w:tc>
          <w:tcPr>
            <w:tcW w:w="1195" w:type="dxa"/>
          </w:tcPr>
          <w:p>
            <w:pPr>
              <w:autoSpaceDE w:val="0"/>
              <w:autoSpaceDN w:val="0"/>
              <w:adjustRightInd w:val="0"/>
              <w:jc w:val="center"/>
              <w:rPr>
                <w:rFonts w:cs="Times New Roman"/>
                <w:sz w:val="18"/>
                <w:szCs w:val="18"/>
              </w:rPr>
            </w:pPr>
            <w:r>
              <w:rPr>
                <w:rFonts w:cs="Times New Roman"/>
                <w:sz w:val="18"/>
                <w:szCs w:val="18"/>
              </w:rPr>
              <w:t>245</w:t>
            </w:r>
          </w:p>
        </w:tc>
        <w:tc>
          <w:tcPr>
            <w:tcW w:w="1195" w:type="dxa"/>
          </w:tcPr>
          <w:p>
            <w:pPr>
              <w:autoSpaceDE w:val="0"/>
              <w:autoSpaceDN w:val="0"/>
              <w:adjustRightInd w:val="0"/>
              <w:jc w:val="center"/>
              <w:rPr>
                <w:rFonts w:cs="Times New Roman"/>
                <w:sz w:val="18"/>
                <w:szCs w:val="18"/>
              </w:rPr>
            </w:pPr>
            <w:r>
              <w:rPr>
                <w:rFonts w:cs="Times New Roman"/>
                <w:sz w:val="18"/>
                <w:szCs w:val="18"/>
              </w:rPr>
              <w:t>245</w:t>
            </w:r>
          </w:p>
        </w:tc>
      </w:tr>
      <w:tr>
        <w:tblPrEx>
          <w:tblCellMar>
            <w:top w:w="0" w:type="dxa"/>
            <w:left w:w="75" w:type="dxa"/>
            <w:bottom w:w="0" w:type="dxa"/>
            <w:right w:w="75" w:type="dxa"/>
          </w:tblCellMar>
        </w:tblPrEx>
        <w:trPr>
          <w:jc w:val="center"/>
        </w:trPr>
        <w:tc>
          <w:tcPr>
            <w:tcW w:w="1897" w:type="dxa"/>
          </w:tcPr>
          <w:p>
            <w:pPr>
              <w:autoSpaceDE w:val="0"/>
              <w:autoSpaceDN w:val="0"/>
              <w:adjustRightInd w:val="0"/>
              <w:jc w:val="both"/>
              <w:rPr>
                <w:rFonts w:cs="Times New Roman"/>
                <w:sz w:val="18"/>
                <w:szCs w:val="18"/>
              </w:rPr>
            </w:pPr>
            <w:r>
              <w:rPr>
                <w:rFonts w:cs="Times New Roman"/>
                <w:sz w:val="18"/>
                <w:szCs w:val="18"/>
              </w:rPr>
              <w:t>Controls</w:t>
            </w:r>
          </w:p>
        </w:tc>
        <w:tc>
          <w:tcPr>
            <w:tcW w:w="1197" w:type="dxa"/>
          </w:tcPr>
          <w:p>
            <w:pPr>
              <w:autoSpaceDE w:val="0"/>
              <w:autoSpaceDN w:val="0"/>
              <w:adjustRightInd w:val="0"/>
              <w:jc w:val="center"/>
              <w:rPr>
                <w:rFonts w:cs="Times New Roman"/>
                <w:sz w:val="18"/>
                <w:szCs w:val="18"/>
              </w:rPr>
            </w:pPr>
            <w:r>
              <w:rPr>
                <w:rFonts w:cs="Times New Roman"/>
                <w:sz w:val="18"/>
                <w:szCs w:val="18"/>
              </w:rPr>
              <w:t>Y</w:t>
            </w:r>
          </w:p>
        </w:tc>
        <w:tc>
          <w:tcPr>
            <w:tcW w:w="1197" w:type="dxa"/>
          </w:tcPr>
          <w:p>
            <w:pPr>
              <w:autoSpaceDE w:val="0"/>
              <w:autoSpaceDN w:val="0"/>
              <w:adjustRightInd w:val="0"/>
              <w:jc w:val="center"/>
              <w:rPr>
                <w:rFonts w:cs="Times New Roman"/>
                <w:sz w:val="18"/>
                <w:szCs w:val="18"/>
              </w:rPr>
            </w:pPr>
            <w:r>
              <w:rPr>
                <w:rFonts w:cs="Times New Roman"/>
                <w:sz w:val="18"/>
                <w:szCs w:val="18"/>
              </w:rPr>
              <w:t>Y</w:t>
            </w:r>
          </w:p>
        </w:tc>
        <w:tc>
          <w:tcPr>
            <w:tcW w:w="1195" w:type="dxa"/>
          </w:tcPr>
          <w:p>
            <w:pPr>
              <w:autoSpaceDE w:val="0"/>
              <w:autoSpaceDN w:val="0"/>
              <w:adjustRightInd w:val="0"/>
              <w:jc w:val="center"/>
              <w:rPr>
                <w:rFonts w:cs="Times New Roman"/>
                <w:sz w:val="18"/>
                <w:szCs w:val="18"/>
              </w:rPr>
            </w:pPr>
            <w:r>
              <w:rPr>
                <w:rFonts w:cs="Times New Roman"/>
                <w:sz w:val="18"/>
                <w:szCs w:val="18"/>
              </w:rPr>
              <w:t>Y</w:t>
            </w:r>
          </w:p>
        </w:tc>
        <w:tc>
          <w:tcPr>
            <w:tcW w:w="1195" w:type="dxa"/>
          </w:tcPr>
          <w:p>
            <w:pPr>
              <w:autoSpaceDE w:val="0"/>
              <w:autoSpaceDN w:val="0"/>
              <w:adjustRightInd w:val="0"/>
              <w:jc w:val="center"/>
              <w:rPr>
                <w:rFonts w:cs="Times New Roman"/>
                <w:sz w:val="18"/>
                <w:szCs w:val="18"/>
              </w:rPr>
            </w:pPr>
            <w:r>
              <w:rPr>
                <w:rFonts w:cs="Times New Roman"/>
                <w:sz w:val="18"/>
                <w:szCs w:val="18"/>
              </w:rPr>
              <w:t>Y</w:t>
            </w:r>
          </w:p>
        </w:tc>
        <w:tc>
          <w:tcPr>
            <w:tcW w:w="1195" w:type="dxa"/>
          </w:tcPr>
          <w:p>
            <w:pPr>
              <w:autoSpaceDE w:val="0"/>
              <w:autoSpaceDN w:val="0"/>
              <w:adjustRightInd w:val="0"/>
              <w:jc w:val="center"/>
              <w:rPr>
                <w:rFonts w:cs="Times New Roman"/>
                <w:sz w:val="18"/>
                <w:szCs w:val="18"/>
              </w:rPr>
            </w:pPr>
            <w:r>
              <w:rPr>
                <w:rFonts w:cs="Times New Roman"/>
                <w:sz w:val="18"/>
                <w:szCs w:val="18"/>
              </w:rPr>
              <w:t>Y</w:t>
            </w:r>
          </w:p>
        </w:tc>
        <w:tc>
          <w:tcPr>
            <w:tcW w:w="1195" w:type="dxa"/>
          </w:tcPr>
          <w:p>
            <w:pPr>
              <w:autoSpaceDE w:val="0"/>
              <w:autoSpaceDN w:val="0"/>
              <w:adjustRightInd w:val="0"/>
              <w:jc w:val="center"/>
              <w:rPr>
                <w:rFonts w:cs="Times New Roman"/>
                <w:sz w:val="18"/>
                <w:szCs w:val="18"/>
              </w:rPr>
            </w:pPr>
            <w:r>
              <w:rPr>
                <w:rFonts w:cs="Times New Roman"/>
                <w:sz w:val="18"/>
                <w:szCs w:val="18"/>
              </w:rPr>
              <w:t>Y</w:t>
            </w:r>
          </w:p>
        </w:tc>
      </w:tr>
      <w:tr>
        <w:tblPrEx>
          <w:tblCellMar>
            <w:top w:w="0" w:type="dxa"/>
            <w:left w:w="75" w:type="dxa"/>
            <w:bottom w:w="0" w:type="dxa"/>
            <w:right w:w="75" w:type="dxa"/>
          </w:tblCellMar>
        </w:tblPrEx>
        <w:trPr>
          <w:jc w:val="center"/>
        </w:trPr>
        <w:tc>
          <w:tcPr>
            <w:tcW w:w="1897" w:type="dxa"/>
            <w:tcBorders>
              <w:bottom w:val="single" w:color="auto" w:sz="6" w:space="0"/>
            </w:tcBorders>
          </w:tcPr>
          <w:p>
            <w:pPr>
              <w:autoSpaceDE w:val="0"/>
              <w:autoSpaceDN w:val="0"/>
              <w:adjustRightInd w:val="0"/>
              <w:jc w:val="both"/>
              <w:rPr>
                <w:rFonts w:cs="Times New Roman"/>
                <w:sz w:val="18"/>
                <w:szCs w:val="18"/>
              </w:rPr>
            </w:pPr>
            <w:r>
              <w:rPr>
                <w:rFonts w:cs="Times New Roman"/>
                <w:sz w:val="18"/>
                <w:szCs w:val="18"/>
              </w:rPr>
              <w:t>Extra Controls</w:t>
            </w:r>
          </w:p>
        </w:tc>
        <w:tc>
          <w:tcPr>
            <w:tcW w:w="1197" w:type="dxa"/>
            <w:tcBorders>
              <w:bottom w:val="single" w:color="auto" w:sz="6" w:space="0"/>
            </w:tcBorders>
          </w:tcPr>
          <w:p>
            <w:pPr>
              <w:autoSpaceDE w:val="0"/>
              <w:autoSpaceDN w:val="0"/>
              <w:adjustRightInd w:val="0"/>
              <w:jc w:val="center"/>
              <w:rPr>
                <w:rFonts w:cs="Times New Roman"/>
                <w:sz w:val="18"/>
                <w:szCs w:val="18"/>
              </w:rPr>
            </w:pPr>
            <w:r>
              <w:rPr>
                <w:rFonts w:cs="Times New Roman"/>
                <w:sz w:val="18"/>
                <w:szCs w:val="18"/>
              </w:rPr>
              <w:t>-</w:t>
            </w:r>
          </w:p>
        </w:tc>
        <w:tc>
          <w:tcPr>
            <w:tcW w:w="1197" w:type="dxa"/>
            <w:tcBorders>
              <w:bottom w:val="single" w:color="auto" w:sz="6" w:space="0"/>
            </w:tcBorders>
          </w:tcPr>
          <w:p>
            <w:pPr>
              <w:autoSpaceDE w:val="0"/>
              <w:autoSpaceDN w:val="0"/>
              <w:adjustRightInd w:val="0"/>
              <w:jc w:val="center"/>
              <w:rPr>
                <w:rFonts w:cs="Times New Roman"/>
                <w:sz w:val="18"/>
                <w:szCs w:val="18"/>
              </w:rPr>
            </w:pPr>
            <w:r>
              <w:rPr>
                <w:rFonts w:cs="Times New Roman"/>
                <w:sz w:val="18"/>
                <w:szCs w:val="18"/>
              </w:rPr>
              <w:t>Province FEs</w:t>
            </w:r>
          </w:p>
        </w:tc>
        <w:tc>
          <w:tcPr>
            <w:tcW w:w="1195" w:type="dxa"/>
            <w:tcBorders>
              <w:bottom w:val="single" w:color="auto" w:sz="6" w:space="0"/>
            </w:tcBorders>
          </w:tcPr>
          <w:p>
            <w:pPr>
              <w:autoSpaceDE w:val="0"/>
              <w:autoSpaceDN w:val="0"/>
              <w:adjustRightInd w:val="0"/>
              <w:jc w:val="center"/>
              <w:rPr>
                <w:rFonts w:cs="Times New Roman"/>
                <w:sz w:val="18"/>
                <w:szCs w:val="18"/>
              </w:rPr>
            </w:pPr>
            <w:r>
              <w:rPr>
                <w:rFonts w:cs="Times New Roman"/>
                <w:i/>
                <w:iCs/>
                <w:sz w:val="18"/>
                <w:szCs w:val="18"/>
              </w:rPr>
              <w:t>Travelcity dummy</w:t>
            </w:r>
          </w:p>
        </w:tc>
        <w:tc>
          <w:tcPr>
            <w:tcW w:w="1195" w:type="dxa"/>
            <w:tcBorders>
              <w:bottom w:val="single" w:color="auto" w:sz="6" w:space="0"/>
            </w:tcBorders>
          </w:tcPr>
          <w:p>
            <w:pPr>
              <w:autoSpaceDE w:val="0"/>
              <w:autoSpaceDN w:val="0"/>
              <w:adjustRightInd w:val="0"/>
              <w:jc w:val="center"/>
              <w:rPr>
                <w:rFonts w:cs="Times New Roman"/>
                <w:sz w:val="18"/>
                <w:szCs w:val="18"/>
              </w:rPr>
            </w:pPr>
            <w:r>
              <w:rPr>
                <w:rFonts w:cs="Times New Roman"/>
                <w:i/>
                <w:iCs/>
                <w:sz w:val="18"/>
                <w:szCs w:val="18"/>
              </w:rPr>
              <w:t>Δrd</w:t>
            </w:r>
          </w:p>
        </w:tc>
        <w:tc>
          <w:tcPr>
            <w:tcW w:w="1195" w:type="dxa"/>
            <w:tcBorders>
              <w:bottom w:val="single" w:color="auto" w:sz="6" w:space="0"/>
            </w:tcBorders>
          </w:tcPr>
          <w:p>
            <w:pPr>
              <w:autoSpaceDE w:val="0"/>
              <w:autoSpaceDN w:val="0"/>
              <w:adjustRightInd w:val="0"/>
              <w:jc w:val="center"/>
              <w:rPr>
                <w:rFonts w:cs="Times New Roman"/>
                <w:i/>
                <w:iCs/>
                <w:sz w:val="18"/>
                <w:szCs w:val="18"/>
              </w:rPr>
            </w:pPr>
            <w:r>
              <w:rPr>
                <w:rFonts w:cs="Times New Roman"/>
                <w:sz w:val="18"/>
                <w:szCs w:val="18"/>
              </w:rPr>
              <w:t>-</w:t>
            </w:r>
          </w:p>
        </w:tc>
        <w:tc>
          <w:tcPr>
            <w:tcW w:w="1195" w:type="dxa"/>
            <w:tcBorders>
              <w:bottom w:val="single" w:color="auto" w:sz="6" w:space="0"/>
            </w:tcBorders>
          </w:tcPr>
          <w:p>
            <w:pPr>
              <w:autoSpaceDE w:val="0"/>
              <w:autoSpaceDN w:val="0"/>
              <w:adjustRightInd w:val="0"/>
              <w:jc w:val="center"/>
              <w:rPr>
                <w:rFonts w:cs="Times New Roman"/>
                <w:i/>
                <w:iCs/>
                <w:sz w:val="18"/>
                <w:szCs w:val="18"/>
              </w:rPr>
            </w:pPr>
            <w:r>
              <w:rPr>
                <w:rFonts w:cs="Times New Roman"/>
                <w:sz w:val="18"/>
                <w:szCs w:val="18"/>
              </w:rPr>
              <w:t>-</w:t>
            </w:r>
          </w:p>
        </w:tc>
      </w:tr>
    </w:tbl>
    <w:p>
      <w:pPr>
        <w:rPr>
          <w:color w:val="000000" w:themeColor="text1"/>
          <w:sz w:val="18"/>
          <w:szCs w:val="18"/>
          <w14:textFill>
            <w14:solidFill>
              <w14:schemeClr w14:val="tx1"/>
            </w14:solidFill>
          </w14:textFill>
        </w:rPr>
      </w:pPr>
    </w:p>
    <w:p>
      <w:pPr>
        <w:pStyle w:val="4"/>
        <w:spacing w:before="156" w:after="156"/>
        <w:ind w:firstLine="420"/>
        <w:jc w:val="both"/>
        <w:rPr>
          <w:rFonts w:cs="Times New Roman"/>
        </w:rPr>
      </w:pPr>
      <w:bookmarkStart w:id="13" w:name="_Toc155566170"/>
      <w:r>
        <w:rPr>
          <w:rFonts w:hint="eastAsia" w:cs="Times New Roman"/>
        </w:rPr>
        <w:t>（五）</w:t>
      </w:r>
      <w:r>
        <w:rPr>
          <w:rFonts w:hint="eastAsia" w:hAnsi="宋体" w:cs="Times New Roman"/>
        </w:rPr>
        <w:t>异质性分析补充解释</w:t>
      </w:r>
      <w:bookmarkEnd w:id="13"/>
    </w:p>
    <w:p>
      <w:pPr>
        <w:ind w:firstLine="420" w:firstLineChars="200"/>
        <w:jc w:val="both"/>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此外，聚焦于中国城市的发展，地方政府在进行城市规划过程中也起到了重要作用。地方政府所面临的财政压力会左右其对城市进行规划与开发的思路，进而影响几何形态松散化对城市增长的影响。一方面，财政压力较小的城市发展的路线相对平稳，基于大拆大建或更为激进地扩张城市以追求短期增长绩效的需求较小，因此这样的城市形态松散化的几率也相对较小。当形态松散化几率较小时，我们可能观测到在这类城市中几何形态对城市增长产生的负向影响也可能相对较小。更为重要的是另一方面，财政压力相对较小的政府，其对于基础设施的供给能力相对更强，面对松散的形态，其往往能够较快地进行基础设施供给，保证二者能够有较好的匹配，这样一来城市内部由于松散形态导致的可达性较差以及舒适度较低的问题可以得到一定的缓解。并且这些城市中出现所谓“断头路”、“烂尾楼”、“鬼城”等城市扩张弊病的可能性较小，本身这些现象往往会给居民生活便利性带来较大的危害，影响其居住舒适度。而财政压力较小的城市内公共设施供给相对更为科学，城市内部人口规划相对更为合理，人们往往更愿意在这样舒适度较高的城市生活，松散化形态的影响会受到缓冲，故在这类城市中形态松散化产生的负向影响相对较小。</w:t>
      </w:r>
    </w:p>
    <w:p>
      <w:pPr>
        <w:ind w:firstLine="420" w:firstLineChars="200"/>
        <w:jc w:val="both"/>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当然，地方政府在城市扩张过程中还有较为显著的特征，即政府领导的变动很可能会影响城市未来的规划发展路径，进而间接的影响城市增长。本文认为城市地方政府领导换届时，城市的发展可能存在两种情况。第一种是与上文中所介绍的地方财政压力异质性的情况相似，地方政府换届之后，新上任的官员往往倾向于较高强度的城市扩张活动，这主要是因为这些官员倾向于采取新的发展思路，在短时间内提振地方经济发展以满足考核要求，因此带动了地方政府在短时间内较高强度的城市扩张、基础设施建设以及跳跃式开发等行为（石光等，2021）。且考虑到与上届官员政策的区别，可能会不顾城市发展政策的连贯性，重新选择开发侧重地区，最终也是可能造成城市中出现所谓“断头路”、“烂尾楼”、“鬼城”等问题，那么城市舒适度可能因此降低。人们更不愿意在这样的城市中生活，自然松散化形态产生的负外部性非但不会受到缓冲，反而会被放大。第二种是官员上任后可能会由于信息不对称以及适应成本的原因选择较为谨慎的开发政策，即短期内放弃高强度的“土地财政式”扩张行为，转而进行集约型的扩张，且更为专注于基础设施的建设。这样一来出现“断头路”、“烂尾楼”、“鬼城”等现象的几率较小，且城市基础设施供给会进一步得到改善，舒适度进一步提升，那么人们则更愿意在这样的城市中生活，故松散化形态的负向效应可能会因此被缓解。因此地方政府的连贯性差异对于几何形态与城市增长的影响可能并不明确。</w:t>
      </w:r>
    </w:p>
    <w:p>
      <w:pPr>
        <w:ind w:firstLine="420" w:firstLineChars="200"/>
        <w:jc w:val="both"/>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最后，在中国地方政府往往会通过调整城市容积率限制来把握城市空间发展的方向，将城市在垂直化发展与横向发展之间进行灵活调整，而针对容积率的土地利用规制措施也是城市集约化扩张的动因之一。如果城市并不侧重纵向扩张而是扁平化发展，平均可建高度较低与平均建筑容纳人口数量较小，会导致城市低密度发展。城市内部出现大量的低矮平房，整体形成分散化趋势，办公以及生活区域也因此出现分散化，这样的低密度的环境会使得城市居民的生活与工作难以获取集聚经济的便利，难以吸引人口的流入。因此如果形态出现松散化，加之城市内部容积率规制又较严格，那么很可能会放大城市形态松散化的负向效应。</w:t>
      </w:r>
    </w:p>
    <w:p>
      <w:pPr>
        <w:pStyle w:val="4"/>
        <w:spacing w:before="156" w:after="156"/>
        <w:ind w:firstLine="420"/>
        <w:jc w:val="both"/>
        <w:rPr>
          <w:rFonts w:cs="Times New Roman"/>
        </w:rPr>
      </w:pPr>
      <w:bookmarkStart w:id="14" w:name="_Toc155566171"/>
      <w:r>
        <w:rPr>
          <w:rFonts w:hint="eastAsia" w:cs="Times New Roman"/>
        </w:rPr>
        <w:t>（六）</w:t>
      </w:r>
      <w:r>
        <w:rPr>
          <w:rFonts w:hint="eastAsia" w:hAnsi="宋体" w:cs="Times New Roman"/>
        </w:rPr>
        <w:t>机制分析</w:t>
      </w:r>
      <w:bookmarkEnd w:id="14"/>
    </w:p>
    <w:p>
      <w:pPr>
        <w:ind w:firstLine="420" w:firstLineChars="200"/>
        <w:jc w:val="both"/>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此外形态的</w:t>
      </w:r>
      <w:r>
        <w:rPr>
          <w:rFonts w:hint="eastAsia"/>
          <w:color w:val="000000" w:themeColor="text1"/>
          <w14:textFill>
            <w14:solidFill>
              <w14:schemeClr w14:val="tx1"/>
            </w14:solidFill>
          </w14:textFill>
        </w:rPr>
        <w:t>松散化</w:t>
      </w:r>
      <w:r>
        <w:rPr>
          <w:rFonts w:hint="eastAsia" w:cs="Times New Roman"/>
          <w:color w:val="000000" w:themeColor="text1"/>
          <w14:textFill>
            <w14:solidFill>
              <w14:schemeClr w14:val="tx1"/>
            </w14:solidFill>
          </w14:textFill>
        </w:rPr>
        <w:t>还可能导致城市内部的公路、供水、供电、供气等管道铺设受阻，对于生活设施的供给产生阻碍。为了对这些机制进行检验，也便于与Harari（2020）针对印度的研究进行比较，我们收集了《中国城市统计年鉴》中人均城市道路面积（</w:t>
      </w:r>
      <w:r>
        <w:rPr>
          <w:rFonts w:hint="eastAsia" w:cs="Times New Roman"/>
          <w:i/>
          <w:color w:val="000000" w:themeColor="text1"/>
          <w14:textFill>
            <w14:solidFill>
              <w14:schemeClr w14:val="tx1"/>
            </w14:solidFill>
          </w14:textFill>
        </w:rPr>
        <w:t>Δlnroad</w:t>
      </w:r>
      <w:r>
        <w:rPr>
          <w:rFonts w:hint="eastAsia" w:cs="Times New Roman"/>
          <w:color w:val="000000" w:themeColor="text1"/>
          <w14:textFill>
            <w14:solidFill>
              <w14:schemeClr w14:val="tx1"/>
            </w14:solidFill>
          </w14:textFill>
        </w:rPr>
        <w:t>）、人均公交车数量（</w:t>
      </w:r>
      <w:r>
        <w:rPr>
          <w:rFonts w:hint="eastAsia" w:cs="Times New Roman"/>
          <w:i/>
          <w:color w:val="000000" w:themeColor="text1"/>
          <w14:textFill>
            <w14:solidFill>
              <w14:schemeClr w14:val="tx1"/>
            </w14:solidFill>
          </w14:textFill>
        </w:rPr>
        <w:t>Δlnbus</w:t>
      </w:r>
      <w:r>
        <w:rPr>
          <w:rFonts w:hint="eastAsia" w:cs="Times New Roman"/>
          <w:color w:val="000000" w:themeColor="text1"/>
          <w14:textFill>
            <w14:solidFill>
              <w14:schemeClr w14:val="tx1"/>
            </w14:solidFill>
          </w14:textFill>
        </w:rPr>
        <w:t>）、人均供水（</w:t>
      </w:r>
      <w:r>
        <w:rPr>
          <w:rFonts w:hint="eastAsia" w:cs="Times New Roman"/>
          <w:i/>
          <w:color w:val="000000" w:themeColor="text1"/>
          <w14:textFill>
            <w14:solidFill>
              <w14:schemeClr w14:val="tx1"/>
            </w14:solidFill>
          </w14:textFill>
        </w:rPr>
        <w:t>Δlnwater</w:t>
      </w:r>
      <w:r>
        <w:rPr>
          <w:rFonts w:hint="eastAsia" w:cs="Times New Roman"/>
          <w:color w:val="000000" w:themeColor="text1"/>
          <w14:textFill>
            <w14:solidFill>
              <w14:schemeClr w14:val="tx1"/>
            </w14:solidFill>
          </w14:textFill>
        </w:rPr>
        <w:t>）、供电（</w:t>
      </w:r>
      <w:r>
        <w:rPr>
          <w:rFonts w:hint="eastAsia" w:cs="Times New Roman"/>
          <w:i/>
          <w:color w:val="000000" w:themeColor="text1"/>
          <w14:textFill>
            <w14:solidFill>
              <w14:schemeClr w14:val="tx1"/>
            </w14:solidFill>
          </w14:textFill>
        </w:rPr>
        <w:t>Δlnelectricity</w:t>
      </w:r>
      <w:r>
        <w:rPr>
          <w:rFonts w:hint="eastAsia" w:cs="Times New Roman"/>
          <w:color w:val="000000" w:themeColor="text1"/>
          <w14:textFill>
            <w14:solidFill>
              <w14:schemeClr w14:val="tx1"/>
            </w14:solidFill>
          </w14:textFill>
        </w:rPr>
        <w:t>）、供气量（</w:t>
      </w:r>
      <w:r>
        <w:rPr>
          <w:rFonts w:hint="eastAsia" w:cs="Times New Roman"/>
          <w:i/>
          <w:color w:val="000000" w:themeColor="text1"/>
          <w14:textFill>
            <w14:solidFill>
              <w14:schemeClr w14:val="tx1"/>
            </w14:solidFill>
          </w14:textFill>
        </w:rPr>
        <w:t>Δlngas</w:t>
      </w:r>
      <w:r>
        <w:rPr>
          <w:rFonts w:hint="eastAsia" w:cs="Times New Roman"/>
          <w:color w:val="000000" w:themeColor="text1"/>
          <w14:textFill>
            <w14:solidFill>
              <w14:schemeClr w14:val="tx1"/>
            </w14:solidFill>
          </w14:textFill>
        </w:rPr>
        <w:t>）、（</w:t>
      </w:r>
      <w:r>
        <w:rPr>
          <w:rFonts w:hint="eastAsia" w:cs="Times New Roman"/>
          <w:i/>
          <w:color w:val="000000" w:themeColor="text1"/>
          <w14:textFill>
            <w14:solidFill>
              <w14:schemeClr w14:val="tx1"/>
            </w14:solidFill>
          </w14:textFill>
        </w:rPr>
        <w:t>Δlnpetrogas</w:t>
      </w:r>
      <w:r>
        <w:rPr>
          <w:rFonts w:hint="eastAsia" w:cs="Times New Roman"/>
          <w:color w:val="000000" w:themeColor="text1"/>
          <w14:textFill>
            <w14:solidFill>
              <w14:schemeClr w14:val="tx1"/>
            </w14:solidFill>
          </w14:textFill>
        </w:rPr>
        <w:t>）等指标作为被解释变量，结果如表</w:t>
      </w:r>
      <w:r>
        <w:rPr>
          <w:rFonts w:hint="eastAsia" w:ascii="仿宋" w:hAnsi="仿宋" w:cs="仿宋"/>
        </w:rPr>
        <w:t>Ⅱ</w:t>
      </w:r>
      <w:r>
        <w:rPr>
          <w:rFonts w:hint="eastAsia" w:cs="Times New Roman"/>
          <w:color w:val="000000" w:themeColor="text1"/>
          <w14:textFill>
            <w14:solidFill>
              <w14:schemeClr w14:val="tx1"/>
            </w14:solidFill>
          </w14:textFill>
        </w:rPr>
        <w:t>8所示。有趣的是，不同于印度的城市现状，我们并未观测到较为稳健的负向效应，甚至部分回归中出现了显著的正向效应。这说明中国地方政府的基础设施供给能力相对较为出众，这也得益于中国早年对于基础设施的着重开发，符合中国“基建大国”的事实。</w:t>
      </w:r>
    </w:p>
    <w:p>
      <w:pPr>
        <w:ind w:firstLine="360" w:firstLineChars="200"/>
        <w:jc w:val="center"/>
        <w:rPr>
          <w:rFonts w:ascii="黑体" w:hAnsi="黑体" w:eastAsia="黑体" w:cs="黑体"/>
          <w:sz w:val="18"/>
          <w:szCs w:val="18"/>
        </w:rPr>
      </w:pPr>
      <w:bookmarkStart w:id="15" w:name="OLE_LINK89"/>
      <w:bookmarkStart w:id="16" w:name="OLE_LINK88"/>
      <w:r>
        <w:rPr>
          <w:rFonts w:hint="eastAsia" w:ascii="黑体" w:hAnsi="黑体" w:eastAsia="黑体" w:cs="黑体"/>
          <w:sz w:val="18"/>
          <w:szCs w:val="18"/>
        </w:rPr>
        <w:t>表</w:t>
      </w:r>
      <w:r>
        <w:rPr>
          <w:rFonts w:hint="eastAsia" w:ascii="黑体" w:hAnsi="黑体" w:eastAsia="黑体" w:cs="黑体"/>
          <w:color w:val="000000" w:themeColor="text1"/>
          <w:sz w:val="18"/>
          <w:szCs w:val="18"/>
          <w14:textFill>
            <w14:solidFill>
              <w14:schemeClr w14:val="tx1"/>
            </w14:solidFill>
          </w14:textFill>
        </w:rPr>
        <w:t>II</w:t>
      </w:r>
      <w:r>
        <w:rPr>
          <w:rFonts w:hint="eastAsia" w:ascii="黑体" w:hAnsi="黑体" w:eastAsia="黑体" w:cs="黑体"/>
          <w:sz w:val="18"/>
          <w:szCs w:val="18"/>
        </w:rPr>
        <w:t>8 机制补充（工具变量回归第二阶段）</w:t>
      </w:r>
    </w:p>
    <w:tbl>
      <w:tblPr>
        <w:tblStyle w:val="12"/>
        <w:tblW w:w="9072" w:type="dxa"/>
        <w:jc w:val="center"/>
        <w:tblLayout w:type="autofit"/>
        <w:tblCellMar>
          <w:top w:w="0" w:type="dxa"/>
          <w:left w:w="75" w:type="dxa"/>
          <w:bottom w:w="0" w:type="dxa"/>
          <w:right w:w="75" w:type="dxa"/>
        </w:tblCellMar>
      </w:tblPr>
      <w:tblGrid>
        <w:gridCol w:w="1283"/>
        <w:gridCol w:w="1204"/>
        <w:gridCol w:w="1335"/>
        <w:gridCol w:w="1312"/>
        <w:gridCol w:w="1335"/>
        <w:gridCol w:w="1224"/>
        <w:gridCol w:w="1379"/>
      </w:tblGrid>
      <w:tr>
        <w:tblPrEx>
          <w:tblCellMar>
            <w:top w:w="0" w:type="dxa"/>
            <w:left w:w="75" w:type="dxa"/>
            <w:bottom w:w="0" w:type="dxa"/>
            <w:right w:w="75" w:type="dxa"/>
          </w:tblCellMar>
        </w:tblPrEx>
        <w:trPr>
          <w:jc w:val="center"/>
        </w:trPr>
        <w:tc>
          <w:tcPr>
            <w:tcW w:w="1283" w:type="dxa"/>
            <w:tcBorders>
              <w:top w:val="single" w:color="auto" w:sz="6" w:space="0"/>
              <w:left w:val="nil"/>
              <w:right w:val="nil"/>
            </w:tcBorders>
          </w:tcPr>
          <w:p>
            <w:pPr>
              <w:autoSpaceDE w:val="0"/>
              <w:autoSpaceDN w:val="0"/>
              <w:adjustRightInd w:val="0"/>
              <w:jc w:val="both"/>
              <w:rPr>
                <w:rFonts w:cs="Times New Roman"/>
                <w:sz w:val="18"/>
                <w:szCs w:val="18"/>
              </w:rPr>
            </w:pPr>
            <w:r>
              <w:rPr>
                <w:rFonts w:hint="eastAsia" w:cs="Times New Roman"/>
                <w:sz w:val="18"/>
                <w:szCs w:val="18"/>
              </w:rPr>
              <w:t>被解释变量</w:t>
            </w:r>
          </w:p>
        </w:tc>
        <w:tc>
          <w:tcPr>
            <w:tcW w:w="1204" w:type="dxa"/>
            <w:tcBorders>
              <w:top w:val="single" w:color="auto" w:sz="6" w:space="0"/>
              <w:left w:val="nil"/>
              <w:bottom w:val="single" w:color="auto" w:sz="6" w:space="0"/>
              <w:right w:val="nil"/>
            </w:tcBorders>
          </w:tcPr>
          <w:p>
            <w:pPr>
              <w:autoSpaceDE w:val="0"/>
              <w:autoSpaceDN w:val="0"/>
              <w:adjustRightInd w:val="0"/>
              <w:jc w:val="center"/>
              <w:rPr>
                <w:rFonts w:cs="Times New Roman"/>
                <w:i/>
                <w:iCs/>
                <w:sz w:val="18"/>
                <w:szCs w:val="18"/>
              </w:rPr>
            </w:pPr>
            <w:r>
              <w:rPr>
                <w:rFonts w:cs="Times New Roman"/>
                <w:i/>
                <w:iCs/>
                <w:sz w:val="18"/>
                <w:szCs w:val="18"/>
              </w:rPr>
              <w:t>Δlnroad</w:t>
            </w:r>
          </w:p>
          <w:p>
            <w:pPr>
              <w:autoSpaceDE w:val="0"/>
              <w:autoSpaceDN w:val="0"/>
              <w:adjustRightInd w:val="0"/>
              <w:jc w:val="center"/>
              <w:rPr>
                <w:rFonts w:cs="Times New Roman"/>
                <w:sz w:val="18"/>
                <w:szCs w:val="18"/>
              </w:rPr>
            </w:pPr>
            <w:r>
              <w:rPr>
                <w:rFonts w:cs="Times New Roman"/>
                <w:sz w:val="18"/>
                <w:szCs w:val="18"/>
              </w:rPr>
              <w:t>(2000-2015)</w:t>
            </w:r>
          </w:p>
        </w:tc>
        <w:tc>
          <w:tcPr>
            <w:tcW w:w="1335" w:type="dxa"/>
            <w:tcBorders>
              <w:top w:val="single" w:color="auto" w:sz="6" w:space="0"/>
              <w:left w:val="nil"/>
              <w:bottom w:val="single" w:color="auto" w:sz="6" w:space="0"/>
              <w:right w:val="nil"/>
            </w:tcBorders>
          </w:tcPr>
          <w:p>
            <w:pPr>
              <w:autoSpaceDE w:val="0"/>
              <w:autoSpaceDN w:val="0"/>
              <w:adjustRightInd w:val="0"/>
              <w:jc w:val="center"/>
              <w:rPr>
                <w:rFonts w:cs="Times New Roman"/>
                <w:i/>
                <w:iCs/>
                <w:sz w:val="18"/>
                <w:szCs w:val="18"/>
              </w:rPr>
            </w:pPr>
            <w:r>
              <w:rPr>
                <w:rFonts w:cs="Times New Roman"/>
                <w:i/>
                <w:iCs/>
                <w:sz w:val="18"/>
                <w:szCs w:val="18"/>
              </w:rPr>
              <w:t>Δlnbus</w:t>
            </w:r>
          </w:p>
          <w:p>
            <w:pPr>
              <w:autoSpaceDE w:val="0"/>
              <w:autoSpaceDN w:val="0"/>
              <w:adjustRightInd w:val="0"/>
              <w:jc w:val="center"/>
              <w:rPr>
                <w:rFonts w:cs="Times New Roman"/>
                <w:i/>
                <w:iCs/>
                <w:sz w:val="18"/>
                <w:szCs w:val="18"/>
              </w:rPr>
            </w:pPr>
            <w:r>
              <w:rPr>
                <w:rFonts w:cs="Times New Roman"/>
                <w:sz w:val="18"/>
                <w:szCs w:val="18"/>
              </w:rPr>
              <w:t>(2000-2015)</w:t>
            </w:r>
          </w:p>
        </w:tc>
        <w:tc>
          <w:tcPr>
            <w:tcW w:w="1312" w:type="dxa"/>
            <w:tcBorders>
              <w:top w:val="single" w:color="auto" w:sz="6" w:space="0"/>
              <w:left w:val="nil"/>
              <w:bottom w:val="single" w:color="auto" w:sz="6" w:space="0"/>
              <w:right w:val="nil"/>
            </w:tcBorders>
          </w:tcPr>
          <w:p>
            <w:pPr>
              <w:autoSpaceDE w:val="0"/>
              <w:autoSpaceDN w:val="0"/>
              <w:adjustRightInd w:val="0"/>
              <w:jc w:val="center"/>
              <w:rPr>
                <w:rFonts w:cs="Times New Roman"/>
                <w:i/>
                <w:iCs/>
                <w:sz w:val="18"/>
                <w:szCs w:val="18"/>
              </w:rPr>
            </w:pPr>
            <w:r>
              <w:rPr>
                <w:rFonts w:cs="Times New Roman"/>
                <w:i/>
                <w:iCs/>
                <w:sz w:val="18"/>
                <w:szCs w:val="18"/>
              </w:rPr>
              <w:t>Δlnwater</w:t>
            </w:r>
          </w:p>
          <w:p>
            <w:pPr>
              <w:autoSpaceDE w:val="0"/>
              <w:autoSpaceDN w:val="0"/>
              <w:adjustRightInd w:val="0"/>
              <w:jc w:val="center"/>
              <w:rPr>
                <w:rFonts w:cs="Times New Roman"/>
                <w:sz w:val="18"/>
                <w:szCs w:val="18"/>
              </w:rPr>
            </w:pPr>
            <w:r>
              <w:rPr>
                <w:rFonts w:cs="Times New Roman"/>
                <w:sz w:val="18"/>
                <w:szCs w:val="18"/>
              </w:rPr>
              <w:t>(2000-2015)</w:t>
            </w:r>
          </w:p>
        </w:tc>
        <w:tc>
          <w:tcPr>
            <w:tcW w:w="1335" w:type="dxa"/>
            <w:tcBorders>
              <w:top w:val="single" w:color="auto" w:sz="6" w:space="0"/>
              <w:left w:val="nil"/>
              <w:bottom w:val="single" w:color="auto" w:sz="6" w:space="0"/>
              <w:right w:val="nil"/>
            </w:tcBorders>
          </w:tcPr>
          <w:p>
            <w:pPr>
              <w:autoSpaceDE w:val="0"/>
              <w:autoSpaceDN w:val="0"/>
              <w:adjustRightInd w:val="0"/>
              <w:jc w:val="center"/>
              <w:rPr>
                <w:rFonts w:cs="Times New Roman"/>
                <w:i/>
                <w:iCs/>
                <w:sz w:val="18"/>
                <w:szCs w:val="18"/>
              </w:rPr>
            </w:pPr>
            <w:r>
              <w:rPr>
                <w:rFonts w:cs="Times New Roman"/>
                <w:i/>
                <w:iCs/>
                <w:sz w:val="18"/>
                <w:szCs w:val="18"/>
              </w:rPr>
              <w:t>Δlnelectricity</w:t>
            </w:r>
          </w:p>
          <w:p>
            <w:pPr>
              <w:autoSpaceDE w:val="0"/>
              <w:autoSpaceDN w:val="0"/>
              <w:adjustRightInd w:val="0"/>
              <w:jc w:val="center"/>
              <w:rPr>
                <w:rFonts w:cs="Times New Roman"/>
                <w:i/>
                <w:iCs/>
                <w:sz w:val="18"/>
                <w:szCs w:val="18"/>
              </w:rPr>
            </w:pPr>
            <w:r>
              <w:rPr>
                <w:rFonts w:cs="Times New Roman"/>
                <w:sz w:val="18"/>
                <w:szCs w:val="18"/>
              </w:rPr>
              <w:t>(2000-2015)</w:t>
            </w:r>
          </w:p>
        </w:tc>
        <w:tc>
          <w:tcPr>
            <w:tcW w:w="1224" w:type="dxa"/>
            <w:tcBorders>
              <w:top w:val="single" w:color="auto" w:sz="6" w:space="0"/>
              <w:left w:val="nil"/>
              <w:bottom w:val="single" w:color="auto" w:sz="6" w:space="0"/>
              <w:right w:val="nil"/>
            </w:tcBorders>
          </w:tcPr>
          <w:p>
            <w:pPr>
              <w:autoSpaceDE w:val="0"/>
              <w:autoSpaceDN w:val="0"/>
              <w:adjustRightInd w:val="0"/>
              <w:jc w:val="center"/>
              <w:rPr>
                <w:rFonts w:cs="Times New Roman"/>
                <w:i/>
                <w:iCs/>
                <w:sz w:val="18"/>
                <w:szCs w:val="18"/>
              </w:rPr>
            </w:pPr>
            <w:r>
              <w:rPr>
                <w:rFonts w:cs="Times New Roman"/>
                <w:i/>
                <w:iCs/>
                <w:sz w:val="18"/>
                <w:szCs w:val="18"/>
              </w:rPr>
              <w:t>Δlngas</w:t>
            </w:r>
          </w:p>
          <w:p>
            <w:pPr>
              <w:autoSpaceDE w:val="0"/>
              <w:autoSpaceDN w:val="0"/>
              <w:adjustRightInd w:val="0"/>
              <w:jc w:val="center"/>
              <w:rPr>
                <w:rFonts w:cs="Times New Roman"/>
                <w:sz w:val="18"/>
                <w:szCs w:val="18"/>
              </w:rPr>
            </w:pPr>
            <w:r>
              <w:rPr>
                <w:rFonts w:cs="Times New Roman"/>
                <w:sz w:val="18"/>
                <w:szCs w:val="18"/>
              </w:rPr>
              <w:t>(2003-2015)</w:t>
            </w:r>
          </w:p>
        </w:tc>
        <w:tc>
          <w:tcPr>
            <w:tcW w:w="1379" w:type="dxa"/>
            <w:tcBorders>
              <w:top w:val="single" w:color="auto" w:sz="6" w:space="0"/>
              <w:left w:val="nil"/>
              <w:bottom w:val="single" w:color="auto" w:sz="6" w:space="0"/>
              <w:right w:val="nil"/>
            </w:tcBorders>
          </w:tcPr>
          <w:p>
            <w:pPr>
              <w:autoSpaceDE w:val="0"/>
              <w:autoSpaceDN w:val="0"/>
              <w:adjustRightInd w:val="0"/>
              <w:jc w:val="center"/>
              <w:rPr>
                <w:rFonts w:cs="Times New Roman"/>
                <w:i/>
                <w:iCs/>
                <w:sz w:val="18"/>
                <w:szCs w:val="18"/>
              </w:rPr>
            </w:pPr>
            <w:r>
              <w:rPr>
                <w:rFonts w:cs="Times New Roman"/>
                <w:i/>
                <w:iCs/>
                <w:sz w:val="18"/>
                <w:szCs w:val="18"/>
              </w:rPr>
              <w:t>Δlnpetrongas</w:t>
            </w:r>
          </w:p>
          <w:p>
            <w:pPr>
              <w:autoSpaceDE w:val="0"/>
              <w:autoSpaceDN w:val="0"/>
              <w:adjustRightInd w:val="0"/>
              <w:jc w:val="center"/>
              <w:rPr>
                <w:rFonts w:cs="Times New Roman"/>
                <w:sz w:val="18"/>
                <w:szCs w:val="18"/>
              </w:rPr>
            </w:pPr>
            <w:r>
              <w:rPr>
                <w:rFonts w:cs="Times New Roman"/>
                <w:sz w:val="18"/>
                <w:szCs w:val="18"/>
              </w:rPr>
              <w:t>(2003-2015)</w:t>
            </w:r>
          </w:p>
        </w:tc>
      </w:tr>
      <w:tr>
        <w:tblPrEx>
          <w:tblCellMar>
            <w:top w:w="0" w:type="dxa"/>
            <w:left w:w="75" w:type="dxa"/>
            <w:bottom w:w="0" w:type="dxa"/>
            <w:right w:w="75" w:type="dxa"/>
          </w:tblCellMar>
        </w:tblPrEx>
        <w:trPr>
          <w:jc w:val="center"/>
        </w:trPr>
        <w:tc>
          <w:tcPr>
            <w:tcW w:w="1283" w:type="dxa"/>
            <w:tcBorders>
              <w:left w:val="nil"/>
              <w:bottom w:val="single" w:color="auto" w:sz="6" w:space="0"/>
              <w:right w:val="nil"/>
            </w:tcBorders>
          </w:tcPr>
          <w:p>
            <w:pPr>
              <w:autoSpaceDE w:val="0"/>
              <w:autoSpaceDN w:val="0"/>
              <w:adjustRightInd w:val="0"/>
              <w:jc w:val="both"/>
              <w:rPr>
                <w:rFonts w:cs="Times New Roman"/>
                <w:sz w:val="18"/>
                <w:szCs w:val="18"/>
              </w:rPr>
            </w:pPr>
            <w:r>
              <w:rPr>
                <w:rFonts w:hint="eastAsia" w:cs="Times New Roman"/>
                <w:sz w:val="18"/>
                <w:szCs w:val="18"/>
              </w:rPr>
              <w:t>解释变量</w:t>
            </w:r>
          </w:p>
        </w:tc>
        <w:tc>
          <w:tcPr>
            <w:tcW w:w="1204" w:type="dxa"/>
            <w:tcBorders>
              <w:top w:val="single" w:color="auto" w:sz="6" w:space="0"/>
              <w:left w:val="nil"/>
              <w:bottom w:val="single" w:color="auto" w:sz="6" w:space="0"/>
              <w:right w:val="nil"/>
            </w:tcBorders>
          </w:tcPr>
          <w:p>
            <w:pPr>
              <w:autoSpaceDE w:val="0"/>
              <w:autoSpaceDN w:val="0"/>
              <w:adjustRightInd w:val="0"/>
              <w:jc w:val="center"/>
              <w:rPr>
                <w:rFonts w:cs="Times New Roman"/>
                <w:sz w:val="18"/>
                <w:szCs w:val="18"/>
              </w:rPr>
            </w:pPr>
            <w:r>
              <w:rPr>
                <w:rFonts w:cs="Times New Roman"/>
                <w:sz w:val="18"/>
                <w:szCs w:val="18"/>
              </w:rPr>
              <w:t>(1)</w:t>
            </w:r>
          </w:p>
        </w:tc>
        <w:tc>
          <w:tcPr>
            <w:tcW w:w="1335" w:type="dxa"/>
            <w:tcBorders>
              <w:top w:val="single" w:color="auto" w:sz="6" w:space="0"/>
              <w:left w:val="nil"/>
              <w:bottom w:val="single" w:color="auto" w:sz="6" w:space="0"/>
              <w:right w:val="nil"/>
            </w:tcBorders>
          </w:tcPr>
          <w:p>
            <w:pPr>
              <w:autoSpaceDE w:val="0"/>
              <w:autoSpaceDN w:val="0"/>
              <w:adjustRightInd w:val="0"/>
              <w:jc w:val="center"/>
              <w:rPr>
                <w:rFonts w:cs="Times New Roman"/>
                <w:sz w:val="18"/>
                <w:szCs w:val="18"/>
              </w:rPr>
            </w:pPr>
            <w:r>
              <w:rPr>
                <w:rFonts w:cs="Times New Roman"/>
                <w:sz w:val="18"/>
                <w:szCs w:val="18"/>
              </w:rPr>
              <w:t>(2)</w:t>
            </w:r>
          </w:p>
        </w:tc>
        <w:tc>
          <w:tcPr>
            <w:tcW w:w="1312" w:type="dxa"/>
            <w:tcBorders>
              <w:top w:val="single" w:color="auto" w:sz="6" w:space="0"/>
              <w:left w:val="nil"/>
              <w:bottom w:val="single" w:color="auto" w:sz="6" w:space="0"/>
              <w:right w:val="nil"/>
            </w:tcBorders>
          </w:tcPr>
          <w:p>
            <w:pPr>
              <w:autoSpaceDE w:val="0"/>
              <w:autoSpaceDN w:val="0"/>
              <w:adjustRightInd w:val="0"/>
              <w:jc w:val="center"/>
              <w:rPr>
                <w:rFonts w:cs="Times New Roman"/>
                <w:sz w:val="18"/>
                <w:szCs w:val="18"/>
              </w:rPr>
            </w:pPr>
            <w:r>
              <w:rPr>
                <w:rFonts w:cs="Times New Roman"/>
                <w:sz w:val="18"/>
                <w:szCs w:val="18"/>
              </w:rPr>
              <w:t>(3)</w:t>
            </w:r>
          </w:p>
        </w:tc>
        <w:tc>
          <w:tcPr>
            <w:tcW w:w="1335" w:type="dxa"/>
            <w:tcBorders>
              <w:top w:val="single" w:color="auto" w:sz="6" w:space="0"/>
              <w:left w:val="nil"/>
              <w:bottom w:val="single" w:color="auto" w:sz="6" w:space="0"/>
              <w:right w:val="nil"/>
            </w:tcBorders>
          </w:tcPr>
          <w:p>
            <w:pPr>
              <w:autoSpaceDE w:val="0"/>
              <w:autoSpaceDN w:val="0"/>
              <w:adjustRightInd w:val="0"/>
              <w:jc w:val="center"/>
              <w:rPr>
                <w:rFonts w:cs="Times New Roman"/>
                <w:sz w:val="18"/>
                <w:szCs w:val="18"/>
              </w:rPr>
            </w:pPr>
            <w:r>
              <w:rPr>
                <w:rFonts w:cs="Times New Roman"/>
                <w:sz w:val="18"/>
                <w:szCs w:val="18"/>
              </w:rPr>
              <w:t>(4)</w:t>
            </w:r>
          </w:p>
        </w:tc>
        <w:tc>
          <w:tcPr>
            <w:tcW w:w="1224" w:type="dxa"/>
            <w:tcBorders>
              <w:top w:val="single" w:color="auto" w:sz="6" w:space="0"/>
              <w:left w:val="nil"/>
              <w:bottom w:val="single" w:color="auto" w:sz="6" w:space="0"/>
              <w:right w:val="nil"/>
            </w:tcBorders>
          </w:tcPr>
          <w:p>
            <w:pPr>
              <w:autoSpaceDE w:val="0"/>
              <w:autoSpaceDN w:val="0"/>
              <w:adjustRightInd w:val="0"/>
              <w:jc w:val="center"/>
              <w:rPr>
                <w:rFonts w:cs="Times New Roman"/>
                <w:i/>
                <w:iCs/>
                <w:sz w:val="18"/>
                <w:szCs w:val="18"/>
              </w:rPr>
            </w:pPr>
            <w:r>
              <w:rPr>
                <w:rFonts w:cs="Times New Roman"/>
                <w:sz w:val="18"/>
                <w:szCs w:val="18"/>
              </w:rPr>
              <w:t>(5)</w:t>
            </w:r>
          </w:p>
        </w:tc>
        <w:tc>
          <w:tcPr>
            <w:tcW w:w="1379" w:type="dxa"/>
            <w:tcBorders>
              <w:top w:val="single" w:color="auto" w:sz="6" w:space="0"/>
              <w:left w:val="nil"/>
              <w:bottom w:val="single" w:color="auto" w:sz="6" w:space="0"/>
              <w:right w:val="nil"/>
            </w:tcBorders>
          </w:tcPr>
          <w:p>
            <w:pPr>
              <w:autoSpaceDE w:val="0"/>
              <w:autoSpaceDN w:val="0"/>
              <w:adjustRightInd w:val="0"/>
              <w:jc w:val="center"/>
              <w:rPr>
                <w:rFonts w:cs="Times New Roman"/>
                <w:sz w:val="18"/>
                <w:szCs w:val="18"/>
              </w:rPr>
            </w:pPr>
            <w:r>
              <w:rPr>
                <w:rFonts w:cs="Times New Roman"/>
                <w:sz w:val="18"/>
                <w:szCs w:val="18"/>
              </w:rPr>
              <w:t>(6)</w:t>
            </w:r>
          </w:p>
        </w:tc>
      </w:tr>
      <w:tr>
        <w:tblPrEx>
          <w:tblCellMar>
            <w:top w:w="0" w:type="dxa"/>
            <w:left w:w="75" w:type="dxa"/>
            <w:bottom w:w="0" w:type="dxa"/>
            <w:right w:w="75" w:type="dxa"/>
          </w:tblCellMar>
        </w:tblPrEx>
        <w:trPr>
          <w:jc w:val="center"/>
        </w:trPr>
        <w:tc>
          <w:tcPr>
            <w:tcW w:w="1283" w:type="dxa"/>
          </w:tcPr>
          <w:p>
            <w:pPr>
              <w:autoSpaceDE w:val="0"/>
              <w:autoSpaceDN w:val="0"/>
              <w:adjustRightInd w:val="0"/>
              <w:jc w:val="both"/>
              <w:rPr>
                <w:rFonts w:cs="Times New Roman"/>
                <w:sz w:val="18"/>
                <w:szCs w:val="18"/>
              </w:rPr>
            </w:pPr>
            <w:r>
              <w:rPr>
                <w:rFonts w:cs="Times New Roman"/>
                <w:i/>
                <w:iCs/>
                <w:sz w:val="18"/>
                <w:szCs w:val="18"/>
              </w:rPr>
              <w:t>Δurbanshape</w:t>
            </w:r>
          </w:p>
        </w:tc>
        <w:tc>
          <w:tcPr>
            <w:tcW w:w="1204" w:type="dxa"/>
          </w:tcPr>
          <w:p>
            <w:pPr>
              <w:autoSpaceDE w:val="0"/>
              <w:autoSpaceDN w:val="0"/>
              <w:adjustRightInd w:val="0"/>
              <w:jc w:val="center"/>
              <w:rPr>
                <w:rFonts w:cs="Times New Roman"/>
                <w:sz w:val="18"/>
                <w:szCs w:val="18"/>
              </w:rPr>
            </w:pPr>
            <w:r>
              <w:rPr>
                <w:rFonts w:cs="Times New Roman"/>
                <w:sz w:val="18"/>
                <w:szCs w:val="18"/>
              </w:rPr>
              <w:t>0.0623</w:t>
            </w:r>
          </w:p>
        </w:tc>
        <w:tc>
          <w:tcPr>
            <w:tcW w:w="1335" w:type="dxa"/>
          </w:tcPr>
          <w:p>
            <w:pPr>
              <w:autoSpaceDE w:val="0"/>
              <w:autoSpaceDN w:val="0"/>
              <w:adjustRightInd w:val="0"/>
              <w:jc w:val="center"/>
              <w:rPr>
                <w:rFonts w:cs="Times New Roman"/>
                <w:sz w:val="18"/>
                <w:szCs w:val="18"/>
              </w:rPr>
            </w:pPr>
            <w:r>
              <w:rPr>
                <w:rFonts w:cs="Times New Roman"/>
                <w:sz w:val="18"/>
                <w:szCs w:val="18"/>
              </w:rPr>
              <w:t>-0.0030</w:t>
            </w:r>
          </w:p>
        </w:tc>
        <w:tc>
          <w:tcPr>
            <w:tcW w:w="1312" w:type="dxa"/>
          </w:tcPr>
          <w:p>
            <w:pPr>
              <w:autoSpaceDE w:val="0"/>
              <w:autoSpaceDN w:val="0"/>
              <w:adjustRightInd w:val="0"/>
              <w:jc w:val="center"/>
              <w:rPr>
                <w:rFonts w:cs="Times New Roman"/>
                <w:sz w:val="18"/>
                <w:szCs w:val="18"/>
              </w:rPr>
            </w:pPr>
            <w:r>
              <w:rPr>
                <w:rFonts w:cs="Times New Roman"/>
                <w:sz w:val="18"/>
                <w:szCs w:val="18"/>
              </w:rPr>
              <w:t>0.0781</w:t>
            </w:r>
          </w:p>
        </w:tc>
        <w:tc>
          <w:tcPr>
            <w:tcW w:w="1335" w:type="dxa"/>
          </w:tcPr>
          <w:p>
            <w:pPr>
              <w:autoSpaceDE w:val="0"/>
              <w:autoSpaceDN w:val="0"/>
              <w:adjustRightInd w:val="0"/>
              <w:jc w:val="center"/>
              <w:rPr>
                <w:rFonts w:cs="Times New Roman"/>
                <w:sz w:val="18"/>
                <w:szCs w:val="18"/>
              </w:rPr>
            </w:pPr>
            <w:r>
              <w:rPr>
                <w:rFonts w:cs="Times New Roman"/>
                <w:sz w:val="18"/>
                <w:szCs w:val="18"/>
              </w:rPr>
              <w:t>-0.0949</w:t>
            </w:r>
          </w:p>
        </w:tc>
        <w:tc>
          <w:tcPr>
            <w:tcW w:w="1224" w:type="dxa"/>
          </w:tcPr>
          <w:p>
            <w:pPr>
              <w:autoSpaceDE w:val="0"/>
              <w:autoSpaceDN w:val="0"/>
              <w:adjustRightInd w:val="0"/>
              <w:jc w:val="center"/>
              <w:rPr>
                <w:rFonts w:cs="Times New Roman"/>
                <w:sz w:val="18"/>
                <w:szCs w:val="18"/>
              </w:rPr>
            </w:pPr>
            <w:r>
              <w:rPr>
                <w:rFonts w:cs="Times New Roman"/>
                <w:sz w:val="18"/>
                <w:szCs w:val="18"/>
              </w:rPr>
              <w:t>0.1399</w:t>
            </w:r>
          </w:p>
        </w:tc>
        <w:tc>
          <w:tcPr>
            <w:tcW w:w="1379" w:type="dxa"/>
          </w:tcPr>
          <w:p>
            <w:pPr>
              <w:autoSpaceDE w:val="0"/>
              <w:autoSpaceDN w:val="0"/>
              <w:adjustRightInd w:val="0"/>
              <w:jc w:val="center"/>
              <w:rPr>
                <w:rFonts w:cs="Times New Roman"/>
                <w:sz w:val="18"/>
                <w:szCs w:val="18"/>
              </w:rPr>
            </w:pPr>
            <w:r>
              <w:rPr>
                <w:rFonts w:cs="Times New Roman"/>
                <w:sz w:val="18"/>
                <w:szCs w:val="18"/>
              </w:rPr>
              <w:t>0.1900*</w:t>
            </w:r>
          </w:p>
        </w:tc>
      </w:tr>
      <w:tr>
        <w:tblPrEx>
          <w:tblCellMar>
            <w:top w:w="0" w:type="dxa"/>
            <w:left w:w="75" w:type="dxa"/>
            <w:bottom w:w="0" w:type="dxa"/>
            <w:right w:w="75" w:type="dxa"/>
          </w:tblCellMar>
        </w:tblPrEx>
        <w:trPr>
          <w:jc w:val="center"/>
        </w:trPr>
        <w:tc>
          <w:tcPr>
            <w:tcW w:w="1283" w:type="dxa"/>
          </w:tcPr>
          <w:p>
            <w:pPr>
              <w:autoSpaceDE w:val="0"/>
              <w:autoSpaceDN w:val="0"/>
              <w:adjustRightInd w:val="0"/>
              <w:jc w:val="both"/>
              <w:rPr>
                <w:rFonts w:cs="Times New Roman"/>
                <w:sz w:val="18"/>
                <w:szCs w:val="18"/>
              </w:rPr>
            </w:pPr>
          </w:p>
        </w:tc>
        <w:tc>
          <w:tcPr>
            <w:tcW w:w="1204" w:type="dxa"/>
          </w:tcPr>
          <w:p>
            <w:pPr>
              <w:autoSpaceDE w:val="0"/>
              <w:autoSpaceDN w:val="0"/>
              <w:adjustRightInd w:val="0"/>
              <w:jc w:val="center"/>
              <w:rPr>
                <w:rFonts w:cs="Times New Roman"/>
                <w:sz w:val="18"/>
                <w:szCs w:val="18"/>
              </w:rPr>
            </w:pPr>
            <w:r>
              <w:rPr>
                <w:rFonts w:cs="Times New Roman"/>
                <w:sz w:val="18"/>
                <w:szCs w:val="18"/>
              </w:rPr>
              <w:t>(0.0547)</w:t>
            </w:r>
          </w:p>
        </w:tc>
        <w:tc>
          <w:tcPr>
            <w:tcW w:w="1335" w:type="dxa"/>
          </w:tcPr>
          <w:p>
            <w:pPr>
              <w:autoSpaceDE w:val="0"/>
              <w:autoSpaceDN w:val="0"/>
              <w:adjustRightInd w:val="0"/>
              <w:jc w:val="center"/>
              <w:rPr>
                <w:rFonts w:cs="Times New Roman"/>
                <w:sz w:val="18"/>
                <w:szCs w:val="18"/>
              </w:rPr>
            </w:pPr>
            <w:r>
              <w:rPr>
                <w:rFonts w:cs="Times New Roman"/>
                <w:sz w:val="18"/>
                <w:szCs w:val="18"/>
              </w:rPr>
              <w:t>(0.0862)</w:t>
            </w:r>
          </w:p>
        </w:tc>
        <w:tc>
          <w:tcPr>
            <w:tcW w:w="1312" w:type="dxa"/>
          </w:tcPr>
          <w:p>
            <w:pPr>
              <w:autoSpaceDE w:val="0"/>
              <w:autoSpaceDN w:val="0"/>
              <w:adjustRightInd w:val="0"/>
              <w:jc w:val="center"/>
              <w:rPr>
                <w:rFonts w:cs="Times New Roman"/>
                <w:sz w:val="18"/>
                <w:szCs w:val="18"/>
              </w:rPr>
            </w:pPr>
            <w:r>
              <w:rPr>
                <w:rFonts w:cs="Times New Roman"/>
                <w:sz w:val="18"/>
                <w:szCs w:val="18"/>
              </w:rPr>
              <w:t>(0.0826)</w:t>
            </w:r>
          </w:p>
        </w:tc>
        <w:tc>
          <w:tcPr>
            <w:tcW w:w="1335" w:type="dxa"/>
          </w:tcPr>
          <w:p>
            <w:pPr>
              <w:autoSpaceDE w:val="0"/>
              <w:autoSpaceDN w:val="0"/>
              <w:adjustRightInd w:val="0"/>
              <w:jc w:val="center"/>
              <w:rPr>
                <w:rFonts w:cs="Times New Roman"/>
                <w:sz w:val="18"/>
                <w:szCs w:val="18"/>
              </w:rPr>
            </w:pPr>
            <w:r>
              <w:rPr>
                <w:rFonts w:cs="Times New Roman"/>
                <w:sz w:val="18"/>
                <w:szCs w:val="18"/>
              </w:rPr>
              <w:t>(0.0929)</w:t>
            </w:r>
          </w:p>
        </w:tc>
        <w:tc>
          <w:tcPr>
            <w:tcW w:w="1224" w:type="dxa"/>
          </w:tcPr>
          <w:p>
            <w:pPr>
              <w:autoSpaceDE w:val="0"/>
              <w:autoSpaceDN w:val="0"/>
              <w:adjustRightInd w:val="0"/>
              <w:jc w:val="center"/>
              <w:rPr>
                <w:rFonts w:cs="Times New Roman"/>
                <w:sz w:val="18"/>
                <w:szCs w:val="18"/>
              </w:rPr>
            </w:pPr>
            <w:r>
              <w:rPr>
                <w:rFonts w:cs="Times New Roman"/>
                <w:sz w:val="18"/>
                <w:szCs w:val="18"/>
              </w:rPr>
              <w:t>(0.1629)</w:t>
            </w:r>
          </w:p>
        </w:tc>
        <w:tc>
          <w:tcPr>
            <w:tcW w:w="1379" w:type="dxa"/>
          </w:tcPr>
          <w:p>
            <w:pPr>
              <w:autoSpaceDE w:val="0"/>
              <w:autoSpaceDN w:val="0"/>
              <w:adjustRightInd w:val="0"/>
              <w:jc w:val="center"/>
              <w:rPr>
                <w:rFonts w:cs="Times New Roman"/>
                <w:sz w:val="18"/>
                <w:szCs w:val="18"/>
              </w:rPr>
            </w:pPr>
            <w:r>
              <w:rPr>
                <w:rFonts w:cs="Times New Roman"/>
                <w:sz w:val="18"/>
                <w:szCs w:val="18"/>
              </w:rPr>
              <w:t>(0.1058)</w:t>
            </w:r>
          </w:p>
        </w:tc>
      </w:tr>
      <w:tr>
        <w:tblPrEx>
          <w:tblCellMar>
            <w:top w:w="0" w:type="dxa"/>
            <w:left w:w="75" w:type="dxa"/>
            <w:bottom w:w="0" w:type="dxa"/>
            <w:right w:w="75" w:type="dxa"/>
          </w:tblCellMar>
        </w:tblPrEx>
        <w:trPr>
          <w:jc w:val="center"/>
        </w:trPr>
        <w:tc>
          <w:tcPr>
            <w:tcW w:w="1283" w:type="dxa"/>
          </w:tcPr>
          <w:p>
            <w:pPr>
              <w:autoSpaceDE w:val="0"/>
              <w:autoSpaceDN w:val="0"/>
              <w:adjustRightInd w:val="0"/>
              <w:jc w:val="both"/>
              <w:rPr>
                <w:rFonts w:cs="Times New Roman"/>
                <w:sz w:val="18"/>
                <w:szCs w:val="18"/>
              </w:rPr>
            </w:pPr>
            <w:r>
              <w:rPr>
                <w:rFonts w:cs="Times New Roman"/>
                <w:i/>
                <w:iCs/>
                <w:sz w:val="18"/>
                <w:szCs w:val="18"/>
              </w:rPr>
              <w:t>Δlnarea</w:t>
            </w:r>
          </w:p>
        </w:tc>
        <w:tc>
          <w:tcPr>
            <w:tcW w:w="1204" w:type="dxa"/>
          </w:tcPr>
          <w:p>
            <w:pPr>
              <w:autoSpaceDE w:val="0"/>
              <w:autoSpaceDN w:val="0"/>
              <w:adjustRightInd w:val="0"/>
              <w:jc w:val="center"/>
              <w:rPr>
                <w:rFonts w:cs="Times New Roman"/>
                <w:sz w:val="18"/>
                <w:szCs w:val="18"/>
              </w:rPr>
            </w:pPr>
            <w:r>
              <w:rPr>
                <w:rFonts w:cs="Times New Roman"/>
                <w:sz w:val="18"/>
                <w:szCs w:val="18"/>
              </w:rPr>
              <w:t>-0.0455</w:t>
            </w:r>
          </w:p>
        </w:tc>
        <w:tc>
          <w:tcPr>
            <w:tcW w:w="1335" w:type="dxa"/>
          </w:tcPr>
          <w:p>
            <w:pPr>
              <w:autoSpaceDE w:val="0"/>
              <w:autoSpaceDN w:val="0"/>
              <w:adjustRightInd w:val="0"/>
              <w:jc w:val="center"/>
              <w:rPr>
                <w:rFonts w:cs="Times New Roman"/>
                <w:sz w:val="18"/>
                <w:szCs w:val="18"/>
              </w:rPr>
            </w:pPr>
            <w:r>
              <w:rPr>
                <w:rFonts w:cs="Times New Roman"/>
                <w:sz w:val="18"/>
                <w:szCs w:val="18"/>
              </w:rPr>
              <w:t>-0.0221</w:t>
            </w:r>
          </w:p>
        </w:tc>
        <w:tc>
          <w:tcPr>
            <w:tcW w:w="1312" w:type="dxa"/>
          </w:tcPr>
          <w:p>
            <w:pPr>
              <w:autoSpaceDE w:val="0"/>
              <w:autoSpaceDN w:val="0"/>
              <w:adjustRightInd w:val="0"/>
              <w:jc w:val="center"/>
              <w:rPr>
                <w:rFonts w:cs="Times New Roman"/>
                <w:sz w:val="18"/>
                <w:szCs w:val="18"/>
              </w:rPr>
            </w:pPr>
            <w:r>
              <w:rPr>
                <w:rFonts w:cs="Times New Roman"/>
                <w:sz w:val="18"/>
                <w:szCs w:val="18"/>
              </w:rPr>
              <w:t>-1.0007***</w:t>
            </w:r>
          </w:p>
        </w:tc>
        <w:tc>
          <w:tcPr>
            <w:tcW w:w="1335" w:type="dxa"/>
          </w:tcPr>
          <w:p>
            <w:pPr>
              <w:autoSpaceDE w:val="0"/>
              <w:autoSpaceDN w:val="0"/>
              <w:adjustRightInd w:val="0"/>
              <w:jc w:val="center"/>
              <w:rPr>
                <w:rFonts w:cs="Times New Roman"/>
                <w:sz w:val="18"/>
                <w:szCs w:val="18"/>
              </w:rPr>
            </w:pPr>
            <w:r>
              <w:rPr>
                <w:rFonts w:cs="Times New Roman"/>
                <w:sz w:val="18"/>
                <w:szCs w:val="18"/>
              </w:rPr>
              <w:t>-0.2492</w:t>
            </w:r>
          </w:p>
        </w:tc>
        <w:tc>
          <w:tcPr>
            <w:tcW w:w="1224" w:type="dxa"/>
          </w:tcPr>
          <w:p>
            <w:pPr>
              <w:autoSpaceDE w:val="0"/>
              <w:autoSpaceDN w:val="0"/>
              <w:adjustRightInd w:val="0"/>
              <w:jc w:val="center"/>
              <w:rPr>
                <w:rFonts w:cs="Times New Roman"/>
                <w:sz w:val="18"/>
                <w:szCs w:val="18"/>
              </w:rPr>
            </w:pPr>
            <w:r>
              <w:rPr>
                <w:rFonts w:cs="Times New Roman"/>
                <w:sz w:val="18"/>
                <w:szCs w:val="18"/>
              </w:rPr>
              <w:t>0.1552</w:t>
            </w:r>
          </w:p>
        </w:tc>
        <w:tc>
          <w:tcPr>
            <w:tcW w:w="1379" w:type="dxa"/>
          </w:tcPr>
          <w:p>
            <w:pPr>
              <w:autoSpaceDE w:val="0"/>
              <w:autoSpaceDN w:val="0"/>
              <w:adjustRightInd w:val="0"/>
              <w:jc w:val="center"/>
              <w:rPr>
                <w:rFonts w:cs="Times New Roman"/>
                <w:sz w:val="18"/>
                <w:szCs w:val="18"/>
              </w:rPr>
            </w:pPr>
            <w:r>
              <w:rPr>
                <w:rFonts w:cs="Times New Roman"/>
                <w:sz w:val="18"/>
                <w:szCs w:val="18"/>
              </w:rPr>
              <w:t>-0.7096**</w:t>
            </w:r>
          </w:p>
        </w:tc>
      </w:tr>
      <w:tr>
        <w:tblPrEx>
          <w:tblCellMar>
            <w:top w:w="0" w:type="dxa"/>
            <w:left w:w="75" w:type="dxa"/>
            <w:bottom w:w="0" w:type="dxa"/>
            <w:right w:w="75" w:type="dxa"/>
          </w:tblCellMar>
        </w:tblPrEx>
        <w:trPr>
          <w:jc w:val="center"/>
        </w:trPr>
        <w:tc>
          <w:tcPr>
            <w:tcW w:w="1283" w:type="dxa"/>
          </w:tcPr>
          <w:p>
            <w:pPr>
              <w:autoSpaceDE w:val="0"/>
              <w:autoSpaceDN w:val="0"/>
              <w:adjustRightInd w:val="0"/>
              <w:jc w:val="both"/>
              <w:rPr>
                <w:rFonts w:cs="Times New Roman"/>
                <w:sz w:val="18"/>
                <w:szCs w:val="18"/>
              </w:rPr>
            </w:pPr>
          </w:p>
        </w:tc>
        <w:tc>
          <w:tcPr>
            <w:tcW w:w="1204" w:type="dxa"/>
          </w:tcPr>
          <w:p>
            <w:pPr>
              <w:autoSpaceDE w:val="0"/>
              <w:autoSpaceDN w:val="0"/>
              <w:adjustRightInd w:val="0"/>
              <w:jc w:val="center"/>
              <w:rPr>
                <w:rFonts w:cs="Times New Roman"/>
                <w:sz w:val="18"/>
                <w:szCs w:val="18"/>
              </w:rPr>
            </w:pPr>
            <w:r>
              <w:rPr>
                <w:rFonts w:cs="Times New Roman"/>
                <w:sz w:val="18"/>
                <w:szCs w:val="18"/>
              </w:rPr>
              <w:t>(0.1679)</w:t>
            </w:r>
          </w:p>
        </w:tc>
        <w:tc>
          <w:tcPr>
            <w:tcW w:w="1335" w:type="dxa"/>
          </w:tcPr>
          <w:p>
            <w:pPr>
              <w:autoSpaceDE w:val="0"/>
              <w:autoSpaceDN w:val="0"/>
              <w:adjustRightInd w:val="0"/>
              <w:jc w:val="center"/>
              <w:rPr>
                <w:rFonts w:cs="Times New Roman"/>
                <w:sz w:val="18"/>
                <w:szCs w:val="18"/>
              </w:rPr>
            </w:pPr>
            <w:r>
              <w:rPr>
                <w:rFonts w:cs="Times New Roman"/>
                <w:sz w:val="18"/>
                <w:szCs w:val="18"/>
              </w:rPr>
              <w:t>(0.2500)</w:t>
            </w:r>
          </w:p>
        </w:tc>
        <w:tc>
          <w:tcPr>
            <w:tcW w:w="1312" w:type="dxa"/>
          </w:tcPr>
          <w:p>
            <w:pPr>
              <w:autoSpaceDE w:val="0"/>
              <w:autoSpaceDN w:val="0"/>
              <w:adjustRightInd w:val="0"/>
              <w:jc w:val="center"/>
              <w:rPr>
                <w:rFonts w:cs="Times New Roman"/>
                <w:sz w:val="18"/>
                <w:szCs w:val="18"/>
              </w:rPr>
            </w:pPr>
            <w:r>
              <w:rPr>
                <w:rFonts w:cs="Times New Roman"/>
                <w:sz w:val="18"/>
                <w:szCs w:val="18"/>
              </w:rPr>
              <w:t>(0.3696)</w:t>
            </w:r>
          </w:p>
        </w:tc>
        <w:tc>
          <w:tcPr>
            <w:tcW w:w="1335" w:type="dxa"/>
          </w:tcPr>
          <w:p>
            <w:pPr>
              <w:autoSpaceDE w:val="0"/>
              <w:autoSpaceDN w:val="0"/>
              <w:adjustRightInd w:val="0"/>
              <w:jc w:val="center"/>
              <w:rPr>
                <w:rFonts w:cs="Times New Roman"/>
                <w:sz w:val="18"/>
                <w:szCs w:val="18"/>
              </w:rPr>
            </w:pPr>
            <w:r>
              <w:rPr>
                <w:rFonts w:cs="Times New Roman"/>
                <w:sz w:val="18"/>
                <w:szCs w:val="18"/>
              </w:rPr>
              <w:t>(0.3365)</w:t>
            </w:r>
          </w:p>
        </w:tc>
        <w:tc>
          <w:tcPr>
            <w:tcW w:w="1224" w:type="dxa"/>
          </w:tcPr>
          <w:p>
            <w:pPr>
              <w:autoSpaceDE w:val="0"/>
              <w:autoSpaceDN w:val="0"/>
              <w:adjustRightInd w:val="0"/>
              <w:jc w:val="center"/>
              <w:rPr>
                <w:rFonts w:cs="Times New Roman"/>
                <w:sz w:val="18"/>
                <w:szCs w:val="18"/>
              </w:rPr>
            </w:pPr>
            <w:r>
              <w:rPr>
                <w:rFonts w:cs="Times New Roman"/>
                <w:sz w:val="18"/>
                <w:szCs w:val="18"/>
              </w:rPr>
              <w:t>(0.3640)</w:t>
            </w:r>
          </w:p>
        </w:tc>
        <w:tc>
          <w:tcPr>
            <w:tcW w:w="1379" w:type="dxa"/>
          </w:tcPr>
          <w:p>
            <w:pPr>
              <w:autoSpaceDE w:val="0"/>
              <w:autoSpaceDN w:val="0"/>
              <w:adjustRightInd w:val="0"/>
              <w:jc w:val="center"/>
              <w:rPr>
                <w:rFonts w:cs="Times New Roman"/>
                <w:sz w:val="18"/>
                <w:szCs w:val="18"/>
              </w:rPr>
            </w:pPr>
            <w:r>
              <w:rPr>
                <w:rFonts w:cs="Times New Roman"/>
                <w:sz w:val="18"/>
                <w:szCs w:val="18"/>
              </w:rPr>
              <w:t>(0.3470)</w:t>
            </w:r>
          </w:p>
        </w:tc>
      </w:tr>
      <w:tr>
        <w:tblPrEx>
          <w:tblCellMar>
            <w:top w:w="0" w:type="dxa"/>
            <w:left w:w="75" w:type="dxa"/>
            <w:bottom w:w="0" w:type="dxa"/>
            <w:right w:w="75" w:type="dxa"/>
          </w:tblCellMar>
        </w:tblPrEx>
        <w:trPr>
          <w:jc w:val="center"/>
        </w:trPr>
        <w:tc>
          <w:tcPr>
            <w:tcW w:w="1283" w:type="dxa"/>
          </w:tcPr>
          <w:p>
            <w:pPr>
              <w:autoSpaceDE w:val="0"/>
              <w:autoSpaceDN w:val="0"/>
              <w:adjustRightInd w:val="0"/>
              <w:jc w:val="both"/>
              <w:rPr>
                <w:rFonts w:cs="Times New Roman"/>
                <w:sz w:val="18"/>
                <w:szCs w:val="18"/>
              </w:rPr>
            </w:pPr>
            <w:r>
              <w:rPr>
                <w:rFonts w:cs="Times New Roman"/>
                <w:sz w:val="18"/>
                <w:szCs w:val="18"/>
              </w:rPr>
              <w:t>N</w:t>
            </w:r>
          </w:p>
        </w:tc>
        <w:tc>
          <w:tcPr>
            <w:tcW w:w="1204" w:type="dxa"/>
          </w:tcPr>
          <w:p>
            <w:pPr>
              <w:autoSpaceDE w:val="0"/>
              <w:autoSpaceDN w:val="0"/>
              <w:adjustRightInd w:val="0"/>
              <w:jc w:val="center"/>
              <w:rPr>
                <w:rFonts w:cs="Times New Roman"/>
                <w:sz w:val="18"/>
                <w:szCs w:val="18"/>
              </w:rPr>
            </w:pPr>
            <w:r>
              <w:rPr>
                <w:rFonts w:cs="Times New Roman"/>
                <w:sz w:val="18"/>
                <w:szCs w:val="18"/>
              </w:rPr>
              <w:t>218</w:t>
            </w:r>
          </w:p>
        </w:tc>
        <w:tc>
          <w:tcPr>
            <w:tcW w:w="1335" w:type="dxa"/>
          </w:tcPr>
          <w:p>
            <w:pPr>
              <w:autoSpaceDE w:val="0"/>
              <w:autoSpaceDN w:val="0"/>
              <w:adjustRightInd w:val="0"/>
              <w:jc w:val="center"/>
              <w:rPr>
                <w:rFonts w:cs="Times New Roman"/>
                <w:sz w:val="18"/>
                <w:szCs w:val="18"/>
              </w:rPr>
            </w:pPr>
            <w:r>
              <w:rPr>
                <w:rFonts w:cs="Times New Roman"/>
                <w:sz w:val="18"/>
                <w:szCs w:val="18"/>
              </w:rPr>
              <w:t>210</w:t>
            </w:r>
          </w:p>
        </w:tc>
        <w:tc>
          <w:tcPr>
            <w:tcW w:w="1312" w:type="dxa"/>
          </w:tcPr>
          <w:p>
            <w:pPr>
              <w:autoSpaceDE w:val="0"/>
              <w:autoSpaceDN w:val="0"/>
              <w:adjustRightInd w:val="0"/>
              <w:jc w:val="center"/>
              <w:rPr>
                <w:rFonts w:cs="Times New Roman"/>
                <w:sz w:val="18"/>
                <w:szCs w:val="18"/>
              </w:rPr>
            </w:pPr>
            <w:r>
              <w:rPr>
                <w:rFonts w:cs="Times New Roman"/>
                <w:sz w:val="18"/>
                <w:szCs w:val="18"/>
              </w:rPr>
              <w:t>227</w:t>
            </w:r>
          </w:p>
        </w:tc>
        <w:tc>
          <w:tcPr>
            <w:tcW w:w="1335" w:type="dxa"/>
          </w:tcPr>
          <w:p>
            <w:pPr>
              <w:autoSpaceDE w:val="0"/>
              <w:autoSpaceDN w:val="0"/>
              <w:adjustRightInd w:val="0"/>
              <w:jc w:val="center"/>
              <w:rPr>
                <w:rFonts w:cs="Times New Roman"/>
                <w:sz w:val="18"/>
                <w:szCs w:val="18"/>
              </w:rPr>
            </w:pPr>
            <w:r>
              <w:rPr>
                <w:rFonts w:cs="Times New Roman"/>
                <w:sz w:val="18"/>
                <w:szCs w:val="18"/>
              </w:rPr>
              <w:t>203</w:t>
            </w:r>
          </w:p>
        </w:tc>
        <w:tc>
          <w:tcPr>
            <w:tcW w:w="1224" w:type="dxa"/>
          </w:tcPr>
          <w:p>
            <w:pPr>
              <w:autoSpaceDE w:val="0"/>
              <w:autoSpaceDN w:val="0"/>
              <w:adjustRightInd w:val="0"/>
              <w:jc w:val="center"/>
              <w:rPr>
                <w:rFonts w:cs="Times New Roman"/>
                <w:sz w:val="18"/>
                <w:szCs w:val="18"/>
              </w:rPr>
            </w:pPr>
            <w:r>
              <w:rPr>
                <w:rFonts w:cs="Times New Roman"/>
                <w:sz w:val="18"/>
                <w:szCs w:val="18"/>
              </w:rPr>
              <w:t>152</w:t>
            </w:r>
          </w:p>
        </w:tc>
        <w:tc>
          <w:tcPr>
            <w:tcW w:w="1379" w:type="dxa"/>
          </w:tcPr>
          <w:p>
            <w:pPr>
              <w:autoSpaceDE w:val="0"/>
              <w:autoSpaceDN w:val="0"/>
              <w:adjustRightInd w:val="0"/>
              <w:jc w:val="center"/>
              <w:rPr>
                <w:rFonts w:cs="Times New Roman"/>
                <w:sz w:val="18"/>
                <w:szCs w:val="18"/>
              </w:rPr>
            </w:pPr>
            <w:r>
              <w:rPr>
                <w:rFonts w:cs="Times New Roman"/>
                <w:sz w:val="18"/>
                <w:szCs w:val="18"/>
              </w:rPr>
              <w:t>222</w:t>
            </w:r>
          </w:p>
        </w:tc>
      </w:tr>
      <w:tr>
        <w:tblPrEx>
          <w:tblCellMar>
            <w:top w:w="0" w:type="dxa"/>
            <w:left w:w="75" w:type="dxa"/>
            <w:bottom w:w="0" w:type="dxa"/>
            <w:right w:w="75" w:type="dxa"/>
          </w:tblCellMar>
        </w:tblPrEx>
        <w:trPr>
          <w:jc w:val="center"/>
        </w:trPr>
        <w:tc>
          <w:tcPr>
            <w:tcW w:w="1283" w:type="dxa"/>
            <w:tcBorders>
              <w:bottom w:val="single" w:color="auto" w:sz="4" w:space="0"/>
            </w:tcBorders>
          </w:tcPr>
          <w:p>
            <w:pPr>
              <w:autoSpaceDE w:val="0"/>
              <w:autoSpaceDN w:val="0"/>
              <w:adjustRightInd w:val="0"/>
              <w:jc w:val="both"/>
              <w:rPr>
                <w:rFonts w:cs="Times New Roman"/>
                <w:sz w:val="18"/>
                <w:szCs w:val="18"/>
              </w:rPr>
            </w:pPr>
            <w:r>
              <w:rPr>
                <w:rFonts w:cs="Times New Roman"/>
                <w:sz w:val="18"/>
                <w:szCs w:val="18"/>
              </w:rPr>
              <w:t>Controls</w:t>
            </w:r>
          </w:p>
        </w:tc>
        <w:tc>
          <w:tcPr>
            <w:tcW w:w="1204" w:type="dxa"/>
            <w:tcBorders>
              <w:bottom w:val="single" w:color="auto" w:sz="4" w:space="0"/>
            </w:tcBorders>
          </w:tcPr>
          <w:p>
            <w:pPr>
              <w:autoSpaceDE w:val="0"/>
              <w:autoSpaceDN w:val="0"/>
              <w:adjustRightInd w:val="0"/>
              <w:jc w:val="center"/>
              <w:rPr>
                <w:rFonts w:cs="Times New Roman"/>
                <w:sz w:val="18"/>
                <w:szCs w:val="18"/>
              </w:rPr>
            </w:pPr>
            <w:r>
              <w:rPr>
                <w:rFonts w:cs="Times New Roman"/>
                <w:sz w:val="18"/>
                <w:szCs w:val="18"/>
              </w:rPr>
              <w:t>Y</w:t>
            </w:r>
          </w:p>
        </w:tc>
        <w:tc>
          <w:tcPr>
            <w:tcW w:w="1335" w:type="dxa"/>
            <w:tcBorders>
              <w:bottom w:val="single" w:color="auto" w:sz="4" w:space="0"/>
            </w:tcBorders>
          </w:tcPr>
          <w:p>
            <w:pPr>
              <w:autoSpaceDE w:val="0"/>
              <w:autoSpaceDN w:val="0"/>
              <w:adjustRightInd w:val="0"/>
              <w:jc w:val="center"/>
              <w:rPr>
                <w:rFonts w:cs="Times New Roman"/>
                <w:sz w:val="18"/>
                <w:szCs w:val="18"/>
              </w:rPr>
            </w:pPr>
            <w:r>
              <w:rPr>
                <w:rFonts w:cs="Times New Roman"/>
                <w:sz w:val="18"/>
                <w:szCs w:val="18"/>
              </w:rPr>
              <w:t>Y</w:t>
            </w:r>
          </w:p>
        </w:tc>
        <w:tc>
          <w:tcPr>
            <w:tcW w:w="1312" w:type="dxa"/>
            <w:tcBorders>
              <w:bottom w:val="single" w:color="auto" w:sz="4" w:space="0"/>
            </w:tcBorders>
          </w:tcPr>
          <w:p>
            <w:pPr>
              <w:autoSpaceDE w:val="0"/>
              <w:autoSpaceDN w:val="0"/>
              <w:adjustRightInd w:val="0"/>
              <w:jc w:val="center"/>
              <w:rPr>
                <w:rFonts w:cs="Times New Roman"/>
                <w:sz w:val="18"/>
                <w:szCs w:val="18"/>
              </w:rPr>
            </w:pPr>
            <w:r>
              <w:rPr>
                <w:rFonts w:cs="Times New Roman"/>
                <w:sz w:val="18"/>
                <w:szCs w:val="18"/>
              </w:rPr>
              <w:t>Y</w:t>
            </w:r>
          </w:p>
        </w:tc>
        <w:tc>
          <w:tcPr>
            <w:tcW w:w="1335" w:type="dxa"/>
            <w:tcBorders>
              <w:bottom w:val="single" w:color="auto" w:sz="4" w:space="0"/>
            </w:tcBorders>
          </w:tcPr>
          <w:p>
            <w:pPr>
              <w:autoSpaceDE w:val="0"/>
              <w:autoSpaceDN w:val="0"/>
              <w:adjustRightInd w:val="0"/>
              <w:jc w:val="center"/>
              <w:rPr>
                <w:rFonts w:cs="Times New Roman"/>
                <w:sz w:val="18"/>
                <w:szCs w:val="18"/>
              </w:rPr>
            </w:pPr>
            <w:r>
              <w:rPr>
                <w:rFonts w:cs="Times New Roman"/>
                <w:sz w:val="18"/>
                <w:szCs w:val="18"/>
              </w:rPr>
              <w:t>Y</w:t>
            </w:r>
          </w:p>
        </w:tc>
        <w:tc>
          <w:tcPr>
            <w:tcW w:w="1224" w:type="dxa"/>
            <w:tcBorders>
              <w:bottom w:val="single" w:color="auto" w:sz="4" w:space="0"/>
            </w:tcBorders>
          </w:tcPr>
          <w:p>
            <w:pPr>
              <w:autoSpaceDE w:val="0"/>
              <w:autoSpaceDN w:val="0"/>
              <w:adjustRightInd w:val="0"/>
              <w:jc w:val="center"/>
              <w:rPr>
                <w:rFonts w:cs="Times New Roman"/>
                <w:sz w:val="18"/>
                <w:szCs w:val="18"/>
              </w:rPr>
            </w:pPr>
            <w:r>
              <w:rPr>
                <w:rFonts w:cs="Times New Roman"/>
                <w:sz w:val="18"/>
                <w:szCs w:val="18"/>
              </w:rPr>
              <w:t>Y</w:t>
            </w:r>
          </w:p>
        </w:tc>
        <w:tc>
          <w:tcPr>
            <w:tcW w:w="1379" w:type="dxa"/>
            <w:tcBorders>
              <w:bottom w:val="single" w:color="auto" w:sz="4" w:space="0"/>
            </w:tcBorders>
          </w:tcPr>
          <w:p>
            <w:pPr>
              <w:autoSpaceDE w:val="0"/>
              <w:autoSpaceDN w:val="0"/>
              <w:adjustRightInd w:val="0"/>
              <w:jc w:val="center"/>
              <w:rPr>
                <w:rFonts w:cs="Times New Roman"/>
                <w:sz w:val="18"/>
                <w:szCs w:val="18"/>
              </w:rPr>
            </w:pPr>
            <w:r>
              <w:rPr>
                <w:rFonts w:cs="Times New Roman"/>
                <w:sz w:val="18"/>
                <w:szCs w:val="18"/>
              </w:rPr>
              <w:t>Y</w:t>
            </w:r>
          </w:p>
        </w:tc>
      </w:tr>
      <w:bookmarkEnd w:id="15"/>
      <w:bookmarkEnd w:id="16"/>
    </w:tbl>
    <w:p>
      <w:pPr>
        <w:ind w:firstLine="420" w:firstLineChars="200"/>
        <w:jc w:val="both"/>
        <w:rPr>
          <w:rFonts w:cs="Times New Roman"/>
          <w:color w:val="000000" w:themeColor="text1"/>
          <w14:textFill>
            <w14:solidFill>
              <w14:schemeClr w14:val="tx1"/>
            </w14:solidFill>
          </w14:textFill>
        </w:rPr>
      </w:pPr>
    </w:p>
    <w:p>
      <w:pPr>
        <w:pStyle w:val="3"/>
        <w:spacing w:before="312" w:after="312"/>
        <w:jc w:val="center"/>
        <w:rPr>
          <w:color w:val="000000" w:themeColor="text1"/>
          <w14:textFill>
            <w14:solidFill>
              <w14:schemeClr w14:val="tx1"/>
            </w14:solidFill>
          </w14:textFill>
        </w:rPr>
      </w:pPr>
      <w:bookmarkStart w:id="17" w:name="_Toc155566172"/>
      <w:r>
        <w:rPr>
          <w:rFonts w:hint="eastAsia"/>
          <w:color w:val="000000" w:themeColor="text1"/>
          <w14:textFill>
            <w14:solidFill>
              <w14:schemeClr w14:val="tx1"/>
            </w14:solidFill>
          </w14:textFill>
        </w:rPr>
        <w:t>参考文献</w:t>
      </w:r>
      <w:bookmarkEnd w:id="17"/>
    </w:p>
    <w:p>
      <w:pPr>
        <w:numPr>
          <w:ilvl w:val="0"/>
          <w:numId w:val="1"/>
        </w:numPr>
        <w:rPr>
          <w:color w:val="000000" w:themeColor="text1"/>
          <w14:textFill>
            <w14:solidFill>
              <w14:schemeClr w14:val="tx1"/>
            </w14:solidFill>
          </w14:textFill>
        </w:rPr>
      </w:pPr>
      <w:r>
        <w:rPr>
          <w:color w:val="000000" w:themeColor="text1"/>
          <w14:textFill>
            <w14:solidFill>
              <w14:schemeClr w14:val="tx1"/>
            </w14:solidFill>
          </w14:textFill>
        </w:rPr>
        <w:t xml:space="preserve">Angel, S., Parent, J., </w:t>
      </w:r>
      <w:r>
        <w:rPr>
          <w:rFonts w:hint="eastAsia"/>
          <w:color w:val="000000" w:themeColor="text1"/>
          <w14:textFill>
            <w14:solidFill>
              <w14:schemeClr w14:val="tx1"/>
            </w14:solidFill>
          </w14:textFill>
        </w:rPr>
        <w:t>and</w:t>
      </w:r>
      <w:r>
        <w:rPr>
          <w:color w:val="000000" w:themeColor="text1"/>
          <w14:textFill>
            <w14:solidFill>
              <w14:schemeClr w14:val="tx1"/>
            </w14:solidFill>
          </w14:textFill>
        </w:rPr>
        <w:t xml:space="preserve"> Civco, D. L. (2010). Ten compactness properties of circles: measuring shape in geography. The Canadian Geographer/Le Géographecanadien, 54(4), 441-461.</w:t>
      </w:r>
    </w:p>
    <w:p>
      <w:pPr>
        <w:numPr>
          <w:ilvl w:val="0"/>
          <w:numId w:val="1"/>
        </w:numPr>
        <w:rPr>
          <w:color w:val="000000" w:themeColor="text1"/>
          <w14:textFill>
            <w14:solidFill>
              <w14:schemeClr w14:val="tx1"/>
            </w14:solidFill>
          </w14:textFill>
        </w:rPr>
      </w:pPr>
      <w:r>
        <w:rPr>
          <w:color w:val="000000" w:themeColor="text1"/>
          <w14:textFill>
            <w14:solidFill>
              <w14:schemeClr w14:val="tx1"/>
            </w14:solidFill>
          </w14:textFill>
        </w:rPr>
        <w:t>Ahlfeldt, G. M., and Pietrostefani, E. (2019). The economic effects of density: A synthesis. Journal of Urban Economics, 111, 93-107.</w:t>
      </w:r>
    </w:p>
    <w:p>
      <w:pPr>
        <w:numPr>
          <w:ilvl w:val="0"/>
          <w:numId w:val="1"/>
        </w:numPr>
        <w:rPr>
          <w:color w:val="000000" w:themeColor="text1"/>
          <w14:textFill>
            <w14:solidFill>
              <w14:schemeClr w14:val="tx1"/>
            </w14:solidFill>
          </w14:textFill>
        </w:rPr>
      </w:pPr>
      <w:r>
        <w:rPr>
          <w:color w:val="000000" w:themeColor="text1"/>
          <w14:textFill>
            <w14:solidFill>
              <w14:schemeClr w14:val="tx1"/>
            </w14:solidFill>
          </w14:textFill>
        </w:rPr>
        <w:t>Cantera, A. (2019). Measuring urban footprint to understand city behavior. https://medium.com/urbandataanalytics/measuring-urban-footprint-to-understand-city-behavior-42d45384442c.</w:t>
      </w:r>
    </w:p>
    <w:p>
      <w:pPr>
        <w:numPr>
          <w:ilvl w:val="0"/>
          <w:numId w:val="1"/>
        </w:numPr>
        <w:rPr>
          <w:color w:val="000000" w:themeColor="text1"/>
          <w14:textFill>
            <w14:solidFill>
              <w14:schemeClr w14:val="tx1"/>
            </w14:solidFill>
          </w14:textFill>
        </w:rPr>
      </w:pPr>
      <w:r>
        <w:rPr>
          <w:color w:val="000000" w:themeColor="text1"/>
          <w14:textFill>
            <w14:solidFill>
              <w14:schemeClr w14:val="tx1"/>
            </w14:solidFill>
          </w14:textFill>
        </w:rPr>
        <w:t xml:space="preserve">Carlino, G. A., Chatterjee, S., </w:t>
      </w:r>
      <w:r>
        <w:rPr>
          <w:rFonts w:hint="eastAsia"/>
          <w:color w:val="000000" w:themeColor="text1"/>
          <w14:textFill>
            <w14:solidFill>
              <w14:schemeClr w14:val="tx1"/>
            </w14:solidFill>
          </w14:textFill>
        </w:rPr>
        <w:t>and</w:t>
      </w:r>
      <w:r>
        <w:rPr>
          <w:color w:val="000000" w:themeColor="text1"/>
          <w14:textFill>
            <w14:solidFill>
              <w14:schemeClr w14:val="tx1"/>
            </w14:solidFill>
          </w14:textFill>
        </w:rPr>
        <w:t xml:space="preserve"> Hunt, R. M. (2007). Urban density and the rate of invention. Journal of Urban Economics, 61(3), 389-419.</w:t>
      </w:r>
    </w:p>
    <w:p>
      <w:pPr>
        <w:numPr>
          <w:ilvl w:val="0"/>
          <w:numId w:val="1"/>
        </w:numPr>
        <w:rPr>
          <w:color w:val="000000" w:themeColor="text1"/>
          <w14:textFill>
            <w14:solidFill>
              <w14:schemeClr w14:val="tx1"/>
            </w14:solidFill>
          </w14:textFill>
        </w:rPr>
      </w:pPr>
      <w:r>
        <w:rPr>
          <w:color w:val="000000" w:themeColor="text1"/>
          <w14:textFill>
            <w14:solidFill>
              <w14:schemeClr w14:val="tx1"/>
            </w14:solidFill>
          </w14:textFill>
        </w:rPr>
        <w:t>Carlino, G. and Kerr, W. R. (2015). Agglomeration and Innovation. In Handbook of Regional and Urban Economics, pages 349–404. Elsevier.</w:t>
      </w:r>
    </w:p>
    <w:p>
      <w:pPr>
        <w:numPr>
          <w:ilvl w:val="0"/>
          <w:numId w:val="1"/>
        </w:numPr>
        <w:rPr>
          <w:color w:val="000000" w:themeColor="text1"/>
          <w14:textFill>
            <w14:solidFill>
              <w14:schemeClr w14:val="tx1"/>
            </w14:solidFill>
          </w14:textFill>
        </w:rPr>
      </w:pPr>
      <w:r>
        <w:rPr>
          <w:color w:val="000000" w:themeColor="text1"/>
          <w14:textFill>
            <w14:solidFill>
              <w14:schemeClr w14:val="tx1"/>
            </w14:solidFill>
          </w14:textFill>
        </w:rPr>
        <w:t>Carozzi, F., and Roth, S. (2020). Dirty density: Air quality and the density of American cities.</w:t>
      </w:r>
    </w:p>
    <w:p>
      <w:pPr>
        <w:numPr>
          <w:ilvl w:val="0"/>
          <w:numId w:val="1"/>
        </w:numPr>
        <w:rPr>
          <w:color w:val="000000" w:themeColor="text1"/>
          <w14:textFill>
            <w14:solidFill>
              <w14:schemeClr w14:val="tx1"/>
            </w14:solidFill>
          </w14:textFill>
        </w:rPr>
      </w:pPr>
      <w:r>
        <w:rPr>
          <w:color w:val="000000" w:themeColor="text1"/>
          <w14:textFill>
            <w14:solidFill>
              <w14:schemeClr w14:val="tx1"/>
            </w14:solidFill>
          </w14:textFill>
        </w:rPr>
        <w:t>Cervero, R. (2001). Efficient urbanisation: economic performance and the shape of the metropolis. Urban Studies, 38(10), 1651-1671.</w:t>
      </w:r>
    </w:p>
    <w:p>
      <w:pPr>
        <w:numPr>
          <w:ilvl w:val="0"/>
          <w:numId w:val="1"/>
        </w:numPr>
        <w:rPr>
          <w:color w:val="000000" w:themeColor="text1"/>
          <w14:textFill>
            <w14:solidFill>
              <w14:schemeClr w14:val="tx1"/>
            </w14:solidFill>
          </w14:textFill>
        </w:rPr>
      </w:pPr>
      <w:r>
        <w:rPr>
          <w:color w:val="000000" w:themeColor="text1"/>
          <w14:textFill>
            <w14:solidFill>
              <w14:schemeClr w14:val="tx1"/>
            </w14:solidFill>
          </w14:textFill>
        </w:rPr>
        <w:t>Ciccone, A., and Hall C. (1996). Productivity and the Density of Economic Activity. American Economic Review, 86(1):54-70.</w:t>
      </w:r>
    </w:p>
    <w:p>
      <w:pPr>
        <w:numPr>
          <w:ilvl w:val="0"/>
          <w:numId w:val="1"/>
        </w:numPr>
        <w:rPr>
          <w:color w:val="000000" w:themeColor="text1"/>
          <w14:textFill>
            <w14:solidFill>
              <w14:schemeClr w14:val="tx1"/>
            </w14:solidFill>
          </w14:textFill>
        </w:rPr>
      </w:pPr>
      <w:r>
        <w:rPr>
          <w:color w:val="000000" w:themeColor="text1"/>
          <w14:textFill>
            <w14:solidFill>
              <w14:schemeClr w14:val="tx1"/>
            </w14:solidFill>
          </w14:textFill>
        </w:rPr>
        <w:t>Combes, P. P., and Gobillon, L. (2015). The empirics of agglomeration economies. In Handbook of regional and urban economics (Vol. 5, pp. 247-348). Elsevier.</w:t>
      </w:r>
    </w:p>
    <w:p>
      <w:pPr>
        <w:numPr>
          <w:ilvl w:val="0"/>
          <w:numId w:val="1"/>
        </w:numPr>
        <w:rPr>
          <w:color w:val="000000" w:themeColor="text1"/>
          <w14:textFill>
            <w14:solidFill>
              <w14:schemeClr w14:val="tx1"/>
            </w14:solidFill>
          </w14:textFill>
        </w:rPr>
      </w:pPr>
      <w:r>
        <w:rPr>
          <w:color w:val="000000" w:themeColor="text1"/>
          <w14:textFill>
            <w14:solidFill>
              <w14:schemeClr w14:val="tx1"/>
            </w14:solidFill>
          </w14:textFill>
        </w:rPr>
        <w:t>Combes, P. P., Duranton, G., and Gobillon, L. (2008). Spatial wage disparities: Sorting matters!. Journal of urban economics, 63(2), 723-742.</w:t>
      </w:r>
    </w:p>
    <w:p>
      <w:pPr>
        <w:numPr>
          <w:ilvl w:val="0"/>
          <w:numId w:val="1"/>
        </w:numPr>
        <w:rPr>
          <w:color w:val="000000" w:themeColor="text1"/>
          <w14:textFill>
            <w14:solidFill>
              <w14:schemeClr w14:val="tx1"/>
            </w14:solidFill>
          </w14:textFill>
        </w:rPr>
      </w:pPr>
      <w:r>
        <w:rPr>
          <w:color w:val="000000" w:themeColor="text1"/>
          <w14:textFill>
            <w14:solidFill>
              <w14:schemeClr w14:val="tx1"/>
            </w14:solidFill>
          </w14:textFill>
        </w:rPr>
        <w:t>Combes, P. P., Duranton, G., Gobillon, L., and Roux, S. (2010). Estimating agglomeration effects with history, geology, and wordker fixed effects. The Economics of Agglomeration, Nationla Bureau of Economic Research, Cambridge, MA.</w:t>
      </w:r>
    </w:p>
    <w:p>
      <w:pPr>
        <w:numPr>
          <w:ilvl w:val="0"/>
          <w:numId w:val="1"/>
        </w:numPr>
        <w:rPr>
          <w:color w:val="000000" w:themeColor="text1"/>
          <w14:textFill>
            <w14:solidFill>
              <w14:schemeClr w14:val="tx1"/>
            </w14:solidFill>
          </w14:textFill>
        </w:rPr>
      </w:pPr>
      <w:r>
        <w:rPr>
          <w:color w:val="000000" w:themeColor="text1"/>
          <w14:textFill>
            <w14:solidFill>
              <w14:schemeClr w14:val="tx1"/>
            </w14:solidFill>
          </w14:textFill>
        </w:rPr>
        <w:t>Du, R., and Zhang, J. (2019). Walled cities and urban density in China. Papers in Regional Science, 98(3), 1517-1539.</w:t>
      </w:r>
    </w:p>
    <w:p>
      <w:pPr>
        <w:numPr>
          <w:ilvl w:val="0"/>
          <w:numId w:val="1"/>
        </w:numPr>
        <w:rPr>
          <w:color w:val="000000" w:themeColor="text1"/>
          <w14:textFill>
            <w14:solidFill>
              <w14:schemeClr w14:val="tx1"/>
            </w14:solidFill>
          </w14:textFill>
        </w:rPr>
      </w:pPr>
      <w:r>
        <w:rPr>
          <w:color w:val="000000" w:themeColor="text1"/>
          <w14:textFill>
            <w14:solidFill>
              <w14:schemeClr w14:val="tx1"/>
            </w14:solidFill>
          </w14:textFill>
        </w:rPr>
        <w:t xml:space="preserve">Duranton, G., </w:t>
      </w:r>
      <w:r>
        <w:rPr>
          <w:rFonts w:hint="eastAsia"/>
          <w:color w:val="000000" w:themeColor="text1"/>
          <w14:textFill>
            <w14:solidFill>
              <w14:schemeClr w14:val="tx1"/>
            </w14:solidFill>
          </w14:textFill>
        </w:rPr>
        <w:t>and</w:t>
      </w:r>
      <w:r>
        <w:rPr>
          <w:color w:val="000000" w:themeColor="text1"/>
          <w14:textFill>
            <w14:solidFill>
              <w14:schemeClr w14:val="tx1"/>
            </w14:solidFill>
          </w14:textFill>
        </w:rPr>
        <w:t xml:space="preserve"> Puga, D. (2001). Nursery cities: urban diversity, process innovation, and the life cycle of products. American Economic Review, 91(5), 1454-1477.</w:t>
      </w:r>
    </w:p>
    <w:p>
      <w:pPr>
        <w:numPr>
          <w:ilvl w:val="0"/>
          <w:numId w:val="1"/>
        </w:numPr>
        <w:rPr>
          <w:color w:val="000000" w:themeColor="text1"/>
          <w14:textFill>
            <w14:solidFill>
              <w14:schemeClr w14:val="tx1"/>
            </w14:solidFill>
          </w14:textFill>
        </w:rPr>
      </w:pPr>
      <w:r>
        <w:rPr>
          <w:color w:val="000000" w:themeColor="text1"/>
          <w14:textFill>
            <w14:solidFill>
              <w14:schemeClr w14:val="tx1"/>
            </w14:solidFill>
          </w14:textFill>
        </w:rPr>
        <w:t xml:space="preserve">Duranton, G., </w:t>
      </w:r>
      <w:r>
        <w:rPr>
          <w:rFonts w:hint="eastAsia"/>
          <w:color w:val="000000" w:themeColor="text1"/>
          <w14:textFill>
            <w14:solidFill>
              <w14:schemeClr w14:val="tx1"/>
            </w14:solidFill>
          </w14:textFill>
        </w:rPr>
        <w:t>and</w:t>
      </w:r>
      <w:r>
        <w:rPr>
          <w:color w:val="000000" w:themeColor="text1"/>
          <w14:textFill>
            <w14:solidFill>
              <w14:schemeClr w14:val="tx1"/>
            </w14:solidFill>
          </w14:textFill>
        </w:rPr>
        <w:t xml:space="preserve"> Puga, D. (2004). Micro-foundations of urban agglomeration economies. In Handbook of regional and urban economics (Vol. 4, pp. 2063-2117). Elsevier.</w:t>
      </w:r>
    </w:p>
    <w:p>
      <w:pPr>
        <w:numPr>
          <w:ilvl w:val="0"/>
          <w:numId w:val="1"/>
        </w:numPr>
        <w:rPr>
          <w:color w:val="000000" w:themeColor="text1"/>
          <w14:textFill>
            <w14:solidFill>
              <w14:schemeClr w14:val="tx1"/>
            </w14:solidFill>
          </w14:textFill>
        </w:rPr>
      </w:pPr>
      <w:r>
        <w:rPr>
          <w:color w:val="000000" w:themeColor="text1"/>
          <w14:textFill>
            <w14:solidFill>
              <w14:schemeClr w14:val="tx1"/>
            </w14:solidFill>
          </w14:textFill>
        </w:rPr>
        <w:t xml:space="preserve">Duranton, G., </w:t>
      </w:r>
      <w:r>
        <w:rPr>
          <w:rFonts w:hint="eastAsia"/>
          <w:color w:val="000000" w:themeColor="text1"/>
          <w14:textFill>
            <w14:solidFill>
              <w14:schemeClr w14:val="tx1"/>
            </w14:solidFill>
          </w14:textFill>
        </w:rPr>
        <w:t>and</w:t>
      </w:r>
      <w:r>
        <w:rPr>
          <w:color w:val="000000" w:themeColor="text1"/>
          <w14:textFill>
            <w14:solidFill>
              <w14:schemeClr w14:val="tx1"/>
            </w14:solidFill>
          </w14:textFill>
        </w:rPr>
        <w:t xml:space="preserve"> Puga, D. (2020). The economics of urban density. Journal of Economic Perspectives, 34(3), 3-26.</w:t>
      </w:r>
    </w:p>
    <w:p>
      <w:pPr>
        <w:numPr>
          <w:ilvl w:val="0"/>
          <w:numId w:val="1"/>
        </w:numPr>
        <w:rPr>
          <w:color w:val="000000" w:themeColor="text1"/>
          <w14:textFill>
            <w14:solidFill>
              <w14:schemeClr w14:val="tx1"/>
            </w14:solidFill>
          </w14:textFill>
        </w:rPr>
      </w:pPr>
      <w:r>
        <w:rPr>
          <w:color w:val="000000" w:themeColor="text1"/>
          <w14:textFill>
            <w14:solidFill>
              <w14:schemeClr w14:val="tx1"/>
            </w14:solidFill>
          </w14:textFill>
        </w:rPr>
        <w:t>Duranton, G., and Turner, M. A. (2018). Urban form and driving: Evidence from US cities. Journal of Urban Economics, 108, 170-191.</w:t>
      </w:r>
    </w:p>
    <w:p>
      <w:pPr>
        <w:numPr>
          <w:ilvl w:val="0"/>
          <w:numId w:val="1"/>
        </w:numPr>
        <w:rPr>
          <w:color w:val="000000" w:themeColor="text1"/>
          <w14:textFill>
            <w14:solidFill>
              <w14:schemeClr w14:val="tx1"/>
            </w14:solidFill>
          </w14:textFill>
        </w:rPr>
      </w:pPr>
      <w:r>
        <w:rPr>
          <w:color w:val="000000" w:themeColor="text1"/>
          <w14:textFill>
            <w14:solidFill>
              <w14:schemeClr w14:val="tx1"/>
            </w14:solidFill>
          </w14:textFill>
        </w:rPr>
        <w:t xml:space="preserve">Faberman, R. J., </w:t>
      </w:r>
      <w:r>
        <w:rPr>
          <w:rFonts w:hint="eastAsia"/>
          <w:color w:val="000000" w:themeColor="text1"/>
          <w14:textFill>
            <w14:solidFill>
              <w14:schemeClr w14:val="tx1"/>
            </w14:solidFill>
          </w14:textFill>
        </w:rPr>
        <w:t>and</w:t>
      </w:r>
      <w:r>
        <w:rPr>
          <w:color w:val="000000" w:themeColor="text1"/>
          <w14:textFill>
            <w14:solidFill>
              <w14:schemeClr w14:val="tx1"/>
            </w14:solidFill>
          </w14:textFill>
        </w:rPr>
        <w:t xml:space="preserve"> Freedman, M. (2016). The urban density premium across establishments. Journal of Urban Economics, 93, 71-84.</w:t>
      </w:r>
    </w:p>
    <w:p>
      <w:pPr>
        <w:numPr>
          <w:ilvl w:val="0"/>
          <w:numId w:val="1"/>
        </w:numPr>
        <w:rPr>
          <w:color w:val="000000" w:themeColor="text1"/>
          <w14:textFill>
            <w14:solidFill>
              <w14:schemeClr w14:val="tx1"/>
            </w14:solidFill>
          </w14:textFill>
        </w:rPr>
      </w:pPr>
      <w:r>
        <w:rPr>
          <w:color w:val="000000" w:themeColor="text1"/>
          <w14:textFill>
            <w14:solidFill>
              <w14:schemeClr w14:val="tx1"/>
            </w14:solidFill>
          </w14:textFill>
        </w:rPr>
        <w:t xml:space="preserve">Fallah, B. N., Partridge, M. D., </w:t>
      </w:r>
      <w:r>
        <w:rPr>
          <w:rFonts w:hint="eastAsia"/>
          <w:color w:val="000000" w:themeColor="text1"/>
          <w14:textFill>
            <w14:solidFill>
              <w14:schemeClr w14:val="tx1"/>
            </w14:solidFill>
          </w14:textFill>
        </w:rPr>
        <w:t>and</w:t>
      </w:r>
      <w:r>
        <w:rPr>
          <w:color w:val="000000" w:themeColor="text1"/>
          <w14:textFill>
            <w14:solidFill>
              <w14:schemeClr w14:val="tx1"/>
            </w14:solidFill>
          </w14:textFill>
        </w:rPr>
        <w:t xml:space="preserve"> Olfert, M. R. (2011). Urban sprawl and productivity: Evidence from US metropolitan areas. Papers in Regional Science, 90(3), 451-472.</w:t>
      </w:r>
    </w:p>
    <w:p>
      <w:pPr>
        <w:numPr>
          <w:ilvl w:val="0"/>
          <w:numId w:val="1"/>
        </w:numPr>
        <w:rPr>
          <w:color w:val="000000" w:themeColor="text1"/>
          <w14:textFill>
            <w14:solidFill>
              <w14:schemeClr w14:val="tx1"/>
            </w14:solidFill>
          </w14:textFill>
        </w:rPr>
      </w:pPr>
      <w:r>
        <w:rPr>
          <w:color w:val="000000" w:themeColor="text1"/>
          <w14:textFill>
            <w14:solidFill>
              <w14:schemeClr w14:val="tx1"/>
            </w14:solidFill>
          </w14:textFill>
        </w:rPr>
        <w:t xml:space="preserve">Fujita, M., </w:t>
      </w:r>
      <w:r>
        <w:rPr>
          <w:rFonts w:hint="eastAsia"/>
          <w:color w:val="000000" w:themeColor="text1"/>
          <w14:textFill>
            <w14:solidFill>
              <w14:schemeClr w14:val="tx1"/>
            </w14:solidFill>
          </w14:textFill>
        </w:rPr>
        <w:t>and</w:t>
      </w:r>
      <w:r>
        <w:rPr>
          <w:color w:val="000000" w:themeColor="text1"/>
          <w14:textFill>
            <w14:solidFill>
              <w14:schemeClr w14:val="tx1"/>
            </w14:solidFill>
          </w14:textFill>
        </w:rPr>
        <w:t xml:space="preserve"> Thisse, J. F. (2002). Agglomeration and market interaction. Available at SSRN 315966.</w:t>
      </w:r>
    </w:p>
    <w:p>
      <w:pPr>
        <w:numPr>
          <w:ilvl w:val="0"/>
          <w:numId w:val="1"/>
        </w:numPr>
        <w:rPr>
          <w:color w:val="000000" w:themeColor="text1"/>
          <w14:textFill>
            <w14:solidFill>
              <w14:schemeClr w14:val="tx1"/>
            </w14:solidFill>
          </w14:textFill>
        </w:rPr>
      </w:pPr>
      <w:r>
        <w:rPr>
          <w:color w:val="000000" w:themeColor="text1"/>
          <w14:textFill>
            <w14:solidFill>
              <w14:schemeClr w14:val="tx1"/>
            </w14:solidFill>
          </w14:textFill>
        </w:rPr>
        <w:t xml:space="preserve">Giuliano, G., </w:t>
      </w:r>
      <w:r>
        <w:rPr>
          <w:rFonts w:hint="eastAsia"/>
          <w:color w:val="000000" w:themeColor="text1"/>
          <w14:textFill>
            <w14:solidFill>
              <w14:schemeClr w14:val="tx1"/>
            </w14:solidFill>
          </w14:textFill>
        </w:rPr>
        <w:t>and</w:t>
      </w:r>
      <w:r>
        <w:rPr>
          <w:color w:val="000000" w:themeColor="text1"/>
          <w14:textFill>
            <w14:solidFill>
              <w14:schemeClr w14:val="tx1"/>
            </w14:solidFill>
          </w14:textFill>
        </w:rPr>
        <w:t xml:space="preserve"> Small, K. A. (1991). Subcenters in the Los Angeles region. Regional science and urban economics, 21(2), 163-182.</w:t>
      </w:r>
    </w:p>
    <w:p>
      <w:pPr>
        <w:numPr>
          <w:ilvl w:val="0"/>
          <w:numId w:val="1"/>
        </w:numPr>
        <w:rPr>
          <w:color w:val="000000" w:themeColor="text1"/>
          <w14:textFill>
            <w14:solidFill>
              <w14:schemeClr w14:val="tx1"/>
            </w14:solidFill>
          </w14:textFill>
        </w:rPr>
      </w:pPr>
      <w:r>
        <w:rPr>
          <w:color w:val="000000" w:themeColor="text1"/>
          <w14:textFill>
            <w14:solidFill>
              <w14:schemeClr w14:val="tx1"/>
            </w14:solidFill>
          </w14:textFill>
        </w:rPr>
        <w:t>Glaeser, E. L. (1999). Learning in cities. Journal of urban Economics, 46(2), 254-277.</w:t>
      </w:r>
    </w:p>
    <w:p>
      <w:pPr>
        <w:numPr>
          <w:ilvl w:val="0"/>
          <w:numId w:val="1"/>
        </w:numPr>
        <w:rPr>
          <w:color w:val="000000" w:themeColor="text1"/>
          <w14:textFill>
            <w14:solidFill>
              <w14:schemeClr w14:val="tx1"/>
            </w14:solidFill>
          </w14:textFill>
        </w:rPr>
      </w:pPr>
      <w:r>
        <w:rPr>
          <w:color w:val="000000" w:themeColor="text1"/>
          <w14:textFill>
            <w14:solidFill>
              <w14:schemeClr w14:val="tx1"/>
            </w14:solidFill>
          </w14:textFill>
        </w:rPr>
        <w:t>Glaeser, E. L., and Mare, D. C. (2001). Cities and skills. Journal of labor economics, 19(2), 316-342.</w:t>
      </w:r>
    </w:p>
    <w:p>
      <w:pPr>
        <w:numPr>
          <w:ilvl w:val="0"/>
          <w:numId w:val="1"/>
        </w:numPr>
        <w:rPr>
          <w:color w:val="000000" w:themeColor="text1"/>
          <w14:textFill>
            <w14:solidFill>
              <w14:schemeClr w14:val="tx1"/>
            </w14:solidFill>
          </w14:textFill>
        </w:rPr>
      </w:pPr>
      <w:r>
        <w:rPr>
          <w:color w:val="000000" w:themeColor="text1"/>
          <w14:textFill>
            <w14:solidFill>
              <w14:schemeClr w14:val="tx1"/>
            </w14:solidFill>
          </w14:textFill>
        </w:rPr>
        <w:t>Glaeser, E. L., Kallal, H. D., Scheinkman, J. A., &amp; Shleifer, A. (1992). Growth in cities. Journal of political economy, 100(6), 1126-1152.</w:t>
      </w:r>
    </w:p>
    <w:p>
      <w:pPr>
        <w:numPr>
          <w:ilvl w:val="0"/>
          <w:numId w:val="1"/>
        </w:numPr>
        <w:rPr>
          <w:color w:val="000000" w:themeColor="text1"/>
          <w14:textFill>
            <w14:solidFill>
              <w14:schemeClr w14:val="tx1"/>
            </w14:solidFill>
          </w14:textFill>
        </w:rPr>
      </w:pPr>
      <w:r>
        <w:rPr>
          <w:color w:val="000000" w:themeColor="text1"/>
          <w14:textFill>
            <w14:solidFill>
              <w14:schemeClr w14:val="tx1"/>
            </w14:solidFill>
          </w14:textFill>
        </w:rPr>
        <w:t>Glaeser E L, Kahn M E. Sprawl and urban growth[M]//Handbook of regional and urban economics. Elsevier, 2004, 4: 2481-2527.</w:t>
      </w:r>
    </w:p>
    <w:p>
      <w:pPr>
        <w:numPr>
          <w:ilvl w:val="0"/>
          <w:numId w:val="1"/>
        </w:numPr>
        <w:rPr>
          <w:color w:val="000000" w:themeColor="text1"/>
          <w14:textFill>
            <w14:solidFill>
              <w14:schemeClr w14:val="tx1"/>
            </w14:solidFill>
          </w14:textFill>
        </w:rPr>
      </w:pPr>
      <w:r>
        <w:rPr>
          <w:color w:val="000000" w:themeColor="text1"/>
          <w14:textFill>
            <w14:solidFill>
              <w14:schemeClr w14:val="tx1"/>
            </w14:solidFill>
          </w14:textFill>
        </w:rPr>
        <w:t>Gonzalez-Navarro, M., and Turner, M. A. (2018). Subways and urban growth: Evidence from earth. Journal of Urban Economics, 108, 85-106.</w:t>
      </w:r>
    </w:p>
    <w:p>
      <w:pPr>
        <w:numPr>
          <w:ilvl w:val="0"/>
          <w:numId w:val="1"/>
        </w:numPr>
        <w:rPr>
          <w:color w:val="000000" w:themeColor="text1"/>
          <w14:textFill>
            <w14:solidFill>
              <w14:schemeClr w14:val="tx1"/>
            </w14:solidFill>
          </w14:textFill>
        </w:rPr>
      </w:pPr>
      <w:r>
        <w:rPr>
          <w:color w:val="000000" w:themeColor="text1"/>
          <w14:textFill>
            <w14:solidFill>
              <w14:schemeClr w14:val="tx1"/>
            </w14:solidFill>
          </w14:textFill>
        </w:rPr>
        <w:t>Harari, M. (2020). Cities in bad shape: Urban geometry in India. American Economic Review, 110(8), 2377-2421.</w:t>
      </w:r>
    </w:p>
    <w:p>
      <w:pPr>
        <w:numPr>
          <w:ilvl w:val="0"/>
          <w:numId w:val="1"/>
        </w:numPr>
        <w:rPr>
          <w:color w:val="000000" w:themeColor="text1"/>
          <w14:textFill>
            <w14:solidFill>
              <w14:schemeClr w14:val="tx1"/>
            </w14:solidFill>
          </w14:textFill>
        </w:rPr>
      </w:pPr>
      <w:r>
        <w:rPr>
          <w:color w:val="000000" w:themeColor="text1"/>
          <w14:textFill>
            <w14:solidFill>
              <w14:schemeClr w14:val="tx1"/>
            </w14:solidFill>
          </w14:textFill>
        </w:rPr>
        <w:t>Henderson, J. V. (2003). Marshall's scale economies. Journal of urban economics, 53(1), 1-28.</w:t>
      </w:r>
    </w:p>
    <w:p>
      <w:pPr>
        <w:numPr>
          <w:ilvl w:val="0"/>
          <w:numId w:val="1"/>
        </w:numPr>
        <w:rPr>
          <w:color w:val="000000" w:themeColor="text1"/>
          <w14:textFill>
            <w14:solidFill>
              <w14:schemeClr w14:val="tx1"/>
            </w14:solidFill>
          </w14:textFill>
        </w:rPr>
      </w:pPr>
      <w:r>
        <w:rPr>
          <w:color w:val="000000" w:themeColor="text1"/>
          <w14:textFill>
            <w14:solidFill>
              <w14:schemeClr w14:val="tx1"/>
            </w14:solidFill>
          </w14:textFill>
        </w:rPr>
        <w:t xml:space="preserve">Henderson, J. V., Nigmatulina, D., </w:t>
      </w:r>
      <w:r>
        <w:rPr>
          <w:rFonts w:hint="eastAsia"/>
          <w:color w:val="000000" w:themeColor="text1"/>
          <w14:textFill>
            <w14:solidFill>
              <w14:schemeClr w14:val="tx1"/>
            </w14:solidFill>
          </w14:textFill>
        </w:rPr>
        <w:t>and</w:t>
      </w:r>
      <w:r>
        <w:rPr>
          <w:color w:val="000000" w:themeColor="text1"/>
          <w14:textFill>
            <w14:solidFill>
              <w14:schemeClr w14:val="tx1"/>
            </w14:solidFill>
          </w14:textFill>
        </w:rPr>
        <w:t xml:space="preserve"> Kriticos, S. (20</w:t>
      </w:r>
      <w:r>
        <w:rPr>
          <w:rFonts w:hint="eastAsia"/>
          <w:color w:val="000000" w:themeColor="text1"/>
          <w14:textFill>
            <w14:solidFill>
              <w14:schemeClr w14:val="tx1"/>
            </w14:solidFill>
          </w14:textFill>
        </w:rPr>
        <w:t>21</w:t>
      </w:r>
      <w:r>
        <w:rPr>
          <w:color w:val="000000" w:themeColor="text1"/>
          <w14:textFill>
            <w14:solidFill>
              <w14:schemeClr w14:val="tx1"/>
            </w14:solidFill>
          </w14:textFill>
        </w:rPr>
        <w:t>). Measuring urban economic density. Journal of Urban Economics, 103188.</w:t>
      </w:r>
    </w:p>
    <w:p>
      <w:pPr>
        <w:numPr>
          <w:ilvl w:val="0"/>
          <w:numId w:val="1"/>
        </w:numPr>
        <w:rPr>
          <w:color w:val="000000" w:themeColor="text1"/>
          <w14:textFill>
            <w14:solidFill>
              <w14:schemeClr w14:val="tx1"/>
            </w14:solidFill>
          </w14:textFill>
        </w:rPr>
      </w:pPr>
      <w:r>
        <w:rPr>
          <w:rFonts w:hint="eastAsia"/>
          <w:color w:val="000000" w:themeColor="text1"/>
          <w14:textFill>
            <w14:solidFill>
              <w14:schemeClr w14:val="tx1"/>
            </w14:solidFill>
          </w14:textFill>
        </w:rPr>
        <w:t>华杰媛,孙斌栋，“中国大都市区多中心空间结构经济绩效测度”，《城市问题》，2015年第9):68-73.</w:t>
      </w:r>
    </w:p>
    <w:p>
      <w:pPr>
        <w:numPr>
          <w:ilvl w:val="0"/>
          <w:numId w:val="1"/>
        </w:numPr>
        <w:rPr>
          <w:color w:val="000000" w:themeColor="text1"/>
          <w14:textFill>
            <w14:solidFill>
              <w14:schemeClr w14:val="tx1"/>
            </w14:solidFill>
          </w14:textFill>
        </w:rPr>
      </w:pPr>
      <w:r>
        <w:rPr>
          <w:color w:val="000000" w:themeColor="text1"/>
          <w14:textFill>
            <w14:solidFill>
              <w14:schemeClr w14:val="tx1"/>
            </w14:solidFill>
          </w14:textFill>
        </w:rPr>
        <w:t xml:space="preserve">Ioannides, Y. M., </w:t>
      </w:r>
      <w:r>
        <w:rPr>
          <w:rFonts w:hint="eastAsia"/>
          <w:color w:val="000000" w:themeColor="text1"/>
          <w14:textFill>
            <w14:solidFill>
              <w14:schemeClr w14:val="tx1"/>
            </w14:solidFill>
          </w14:textFill>
        </w:rPr>
        <w:t>and</w:t>
      </w:r>
      <w:r>
        <w:rPr>
          <w:color w:val="000000" w:themeColor="text1"/>
          <w14:textFill>
            <w14:solidFill>
              <w14:schemeClr w14:val="tx1"/>
            </w14:solidFill>
          </w14:textFill>
        </w:rPr>
        <w:t xml:space="preserve"> Zhang, J. (2017). Walled cities in late imperial China. Journal of Urban Economics, 97, 71-88.</w:t>
      </w:r>
    </w:p>
    <w:p>
      <w:pPr>
        <w:numPr>
          <w:ilvl w:val="0"/>
          <w:numId w:val="1"/>
        </w:numPr>
        <w:rPr>
          <w:color w:val="000000" w:themeColor="text1"/>
          <w14:textFill>
            <w14:solidFill>
              <w14:schemeClr w14:val="tx1"/>
            </w14:solidFill>
          </w14:textFill>
        </w:rPr>
      </w:pPr>
      <w:r>
        <w:rPr>
          <w:color w:val="000000" w:themeColor="text1"/>
          <w14:textFill>
            <w14:solidFill>
              <w14:schemeClr w14:val="tx1"/>
            </w14:solidFill>
          </w14:textFill>
        </w:rPr>
        <w:t>Karpoff, J. M., and Wittry, M. D. (2018). Institutional and legal context in natural experiments: The case of state antitakeover laws. The Journal of Finance, 73(2), 657-714.</w:t>
      </w:r>
    </w:p>
    <w:p>
      <w:pPr>
        <w:numPr>
          <w:ilvl w:val="0"/>
          <w:numId w:val="1"/>
        </w:numPr>
        <w:rPr>
          <w:color w:val="000000" w:themeColor="text1"/>
          <w14:textFill>
            <w14:solidFill>
              <w14:schemeClr w14:val="tx1"/>
            </w14:solidFill>
          </w14:textFill>
        </w:rPr>
      </w:pPr>
      <w:r>
        <w:rPr>
          <w:color w:val="000000" w:themeColor="text1"/>
          <w14:textFill>
            <w14:solidFill>
              <w14:schemeClr w14:val="tx1"/>
            </w14:solidFill>
          </w14:textFill>
        </w:rPr>
        <w:t>Knudsen, B., Florida, R., Gates, G., &amp;Stolarick, K. (2007). Urban density, creativity and innovation. May2007.</w:t>
      </w:r>
    </w:p>
    <w:p>
      <w:pPr>
        <w:numPr>
          <w:ilvl w:val="0"/>
          <w:numId w:val="1"/>
        </w:numPr>
        <w:rPr>
          <w:color w:val="000000" w:themeColor="text1"/>
          <w14:textFill>
            <w14:solidFill>
              <w14:schemeClr w14:val="tx1"/>
            </w14:solidFill>
          </w14:textFill>
        </w:rPr>
      </w:pPr>
      <w:r>
        <w:rPr>
          <w:color w:val="000000" w:themeColor="text1"/>
          <w14:textFill>
            <w14:solidFill>
              <w14:schemeClr w14:val="tx1"/>
            </w14:solidFill>
          </w14:textFill>
        </w:rPr>
        <w:t>Krugman, P. (1991). Increasing returns and economic geography. Journal of political economy, 99(3), 483-499.</w:t>
      </w:r>
    </w:p>
    <w:p>
      <w:pPr>
        <w:numPr>
          <w:ilvl w:val="0"/>
          <w:numId w:val="1"/>
        </w:numPr>
        <w:rPr>
          <w:color w:val="000000" w:themeColor="text1"/>
          <w14:textFill>
            <w14:solidFill>
              <w14:schemeClr w14:val="tx1"/>
            </w14:solidFill>
          </w14:textFill>
        </w:rPr>
      </w:pPr>
      <w:r>
        <w:rPr>
          <w:color w:val="000000" w:themeColor="text1"/>
          <w14:textFill>
            <w14:solidFill>
              <w14:schemeClr w14:val="tx1"/>
            </w14:solidFill>
          </w14:textFill>
        </w:rPr>
        <w:t xml:space="preserve">Lee, B., </w:t>
      </w:r>
      <w:r>
        <w:rPr>
          <w:rFonts w:hint="eastAsia"/>
          <w:color w:val="000000" w:themeColor="text1"/>
          <w14:textFill>
            <w14:solidFill>
              <w14:schemeClr w14:val="tx1"/>
            </w14:solidFill>
          </w14:textFill>
        </w:rPr>
        <w:t>and</w:t>
      </w:r>
      <w:r>
        <w:rPr>
          <w:color w:val="000000" w:themeColor="text1"/>
          <w14:textFill>
            <w14:solidFill>
              <w14:schemeClr w14:val="tx1"/>
            </w14:solidFill>
          </w14:textFill>
        </w:rPr>
        <w:t xml:space="preserve"> Gordon, P. (2007, February). Urban spatial structure and economic growth in US metropolitan areas. In 46th annual meetings of the western regional science association, at Newport Beach, CA.</w:t>
      </w:r>
    </w:p>
    <w:p>
      <w:pPr>
        <w:numPr>
          <w:ilvl w:val="0"/>
          <w:numId w:val="1"/>
        </w:numPr>
        <w:rPr>
          <w:color w:val="000000" w:themeColor="text1"/>
          <w14:textFill>
            <w14:solidFill>
              <w14:schemeClr w14:val="tx1"/>
            </w14:solidFill>
          </w14:textFill>
        </w:rPr>
      </w:pPr>
      <w:r>
        <w:rPr>
          <w:color w:val="000000" w:themeColor="text1"/>
          <w14:textFill>
            <w14:solidFill>
              <w14:schemeClr w14:val="tx1"/>
            </w14:solidFill>
          </w14:textFill>
        </w:rPr>
        <w:t xml:space="preserve">Lee, B., </w:t>
      </w:r>
      <w:r>
        <w:rPr>
          <w:rFonts w:hint="eastAsia"/>
          <w:color w:val="000000" w:themeColor="text1"/>
          <w14:textFill>
            <w14:solidFill>
              <w14:schemeClr w14:val="tx1"/>
            </w14:solidFill>
          </w14:textFill>
        </w:rPr>
        <w:t>and</w:t>
      </w:r>
      <w:r>
        <w:rPr>
          <w:color w:val="000000" w:themeColor="text1"/>
          <w14:textFill>
            <w14:solidFill>
              <w14:schemeClr w14:val="tx1"/>
            </w14:solidFill>
          </w14:textFill>
        </w:rPr>
        <w:t xml:space="preserve"> Gordon, P. (2011). Urban structure: its role in urban growth, net new business formation and industrial churn. Région et Dévelopment, 33, 137-159.</w:t>
      </w:r>
    </w:p>
    <w:p>
      <w:pPr>
        <w:numPr>
          <w:ilvl w:val="0"/>
          <w:numId w:val="1"/>
        </w:numPr>
        <w:rPr>
          <w:color w:val="000000" w:themeColor="text1"/>
          <w14:textFill>
            <w14:solidFill>
              <w14:schemeClr w14:val="tx1"/>
            </w14:solidFill>
          </w14:textFill>
        </w:rPr>
      </w:pPr>
      <w:r>
        <w:rPr>
          <w:color w:val="000000" w:themeColor="text1"/>
          <w14:textFill>
            <w14:solidFill>
              <w14:schemeClr w14:val="tx1"/>
            </w14:solidFill>
          </w14:textFill>
        </w:rPr>
        <w:t xml:space="preserve">Li, W., Sun, B., </w:t>
      </w:r>
      <w:r>
        <w:rPr>
          <w:rFonts w:hint="eastAsia"/>
          <w:color w:val="000000" w:themeColor="text1"/>
          <w14:textFill>
            <w14:solidFill>
              <w14:schemeClr w14:val="tx1"/>
            </w14:solidFill>
          </w14:textFill>
        </w:rPr>
        <w:t>and</w:t>
      </w:r>
      <w:r>
        <w:rPr>
          <w:color w:val="000000" w:themeColor="text1"/>
          <w14:textFill>
            <w14:solidFill>
              <w14:schemeClr w14:val="tx1"/>
            </w14:solidFill>
          </w14:textFill>
        </w:rPr>
        <w:t xml:space="preserve"> Zhang, T. (2019). Spatial structure and labour productivity: Evidence from prefectures in China. Urban Studies, 56(8), 1516-1532.</w:t>
      </w:r>
    </w:p>
    <w:p>
      <w:pPr>
        <w:numPr>
          <w:ilvl w:val="0"/>
          <w:numId w:val="1"/>
        </w:numPr>
        <w:rPr>
          <w:color w:val="000000" w:themeColor="text1"/>
          <w14:textFill>
            <w14:solidFill>
              <w14:schemeClr w14:val="tx1"/>
            </w14:solidFill>
          </w14:textFill>
        </w:rPr>
      </w:pPr>
      <w:r>
        <w:rPr>
          <w:color w:val="000000" w:themeColor="text1"/>
          <w14:textFill>
            <w14:solidFill>
              <w14:schemeClr w14:val="tx1"/>
            </w14:solidFill>
          </w14:textFill>
        </w:rPr>
        <w:t xml:space="preserve">Li, Y., </w:t>
      </w:r>
      <w:r>
        <w:rPr>
          <w:rFonts w:hint="eastAsia"/>
          <w:color w:val="000000" w:themeColor="text1"/>
          <w14:textFill>
            <w14:solidFill>
              <w14:schemeClr w14:val="tx1"/>
            </w14:solidFill>
          </w14:textFill>
        </w:rPr>
        <w:t>and</w:t>
      </w:r>
      <w:r>
        <w:rPr>
          <w:color w:val="000000" w:themeColor="text1"/>
          <w14:textFill>
            <w14:solidFill>
              <w14:schemeClr w14:val="tx1"/>
            </w14:solidFill>
          </w14:textFill>
        </w:rPr>
        <w:t xml:space="preserve"> Liu, X. (2018). How did urban polycentricity and dispersion affect economic productivity? A case study of 306 Chinese cities. Landscape and Urban Planning, 173, 51-59.</w:t>
      </w:r>
    </w:p>
    <w:p>
      <w:pPr>
        <w:numPr>
          <w:ilvl w:val="0"/>
          <w:numId w:val="1"/>
        </w:numPr>
        <w:rPr>
          <w:color w:val="000000" w:themeColor="text1"/>
          <w14:textFill>
            <w14:solidFill>
              <w14:schemeClr w14:val="tx1"/>
            </w14:solidFill>
          </w14:textFill>
        </w:rPr>
      </w:pPr>
      <w:r>
        <w:rPr>
          <w:color w:val="000000" w:themeColor="text1"/>
          <w14:textFill>
            <w14:solidFill>
              <w14:schemeClr w14:val="tx1"/>
            </w14:solidFill>
          </w14:textFill>
        </w:rPr>
        <w:t xml:space="preserve">Li, Y., Xiong, W., </w:t>
      </w:r>
      <w:r>
        <w:rPr>
          <w:rFonts w:hint="eastAsia"/>
          <w:color w:val="000000" w:themeColor="text1"/>
          <w14:textFill>
            <w14:solidFill>
              <w14:schemeClr w14:val="tx1"/>
            </w14:solidFill>
          </w14:textFill>
        </w:rPr>
        <w:t>and</w:t>
      </w:r>
      <w:r>
        <w:rPr>
          <w:color w:val="000000" w:themeColor="text1"/>
          <w14:textFill>
            <w14:solidFill>
              <w14:schemeClr w14:val="tx1"/>
            </w14:solidFill>
          </w14:textFill>
        </w:rPr>
        <w:t xml:space="preserve"> Wang, X. (2019). Does polycentric and compact development alleviate urban traffic congestion? A case study of 98 Chinese cities. Cities, 88, 100-111.</w:t>
      </w:r>
    </w:p>
    <w:p>
      <w:pPr>
        <w:numPr>
          <w:ilvl w:val="0"/>
          <w:numId w:val="1"/>
        </w:numPr>
        <w:rPr>
          <w:color w:val="000000" w:themeColor="text1"/>
          <w14:textFill>
            <w14:solidFill>
              <w14:schemeClr w14:val="tx1"/>
            </w14:solidFill>
          </w14:textFill>
        </w:rPr>
      </w:pPr>
      <w:r>
        <w:rPr>
          <w:rFonts w:hint="eastAsia"/>
          <w:color w:val="000000" w:themeColor="text1"/>
          <w14:textFill>
            <w14:solidFill>
              <w14:schemeClr w14:val="tx1"/>
            </w14:solidFill>
          </w14:textFill>
        </w:rPr>
        <w:t>梁婧,张庆华,龚六堂，“城市规模与劳动生产率:中国城市规模是否过小?——基于中国城市数据的研究”，《经济学(季刊)》，2015年第3):1053-1072.</w:t>
      </w:r>
    </w:p>
    <w:p>
      <w:pPr>
        <w:numPr>
          <w:ilvl w:val="0"/>
          <w:numId w:val="1"/>
        </w:numPr>
        <w:rPr>
          <w:color w:val="000000" w:themeColor="text1"/>
          <w14:textFill>
            <w14:solidFill>
              <w14:schemeClr w14:val="tx1"/>
            </w14:solidFill>
          </w14:textFill>
        </w:rPr>
      </w:pPr>
      <w:r>
        <w:rPr>
          <w:rFonts w:hint="eastAsia"/>
          <w:color w:val="000000" w:themeColor="text1"/>
          <w14:textFill>
            <w14:solidFill>
              <w14:schemeClr w14:val="tx1"/>
            </w14:solidFill>
          </w14:textFill>
        </w:rPr>
        <w:t>刘修岩,李松林,秦蒙，“城市空间结构与地区经济效率——兼论中国城镇化发展道路的模式选择”，《管理世界》，2017年第1):51-64.</w:t>
      </w:r>
    </w:p>
    <w:p>
      <w:pPr>
        <w:numPr>
          <w:ilvl w:val="0"/>
          <w:numId w:val="1"/>
        </w:numPr>
        <w:rPr>
          <w:color w:val="000000" w:themeColor="text1"/>
          <w14:textFill>
            <w14:solidFill>
              <w14:schemeClr w14:val="tx1"/>
            </w14:solidFill>
          </w14:textFill>
        </w:rPr>
      </w:pPr>
      <w:r>
        <w:rPr>
          <w:rFonts w:hint="eastAsia"/>
          <w:color w:val="000000" w:themeColor="text1"/>
          <w14:textFill>
            <w14:solidFill>
              <w14:schemeClr w14:val="tx1"/>
            </w14:solidFill>
          </w14:textFill>
        </w:rPr>
        <w:t>刘修岩,秦蒙,李松林，“城市空间结构与劳动者工资收入”，《世界经济》，2019年第4):123-148.</w:t>
      </w:r>
    </w:p>
    <w:p>
      <w:pPr>
        <w:numPr>
          <w:ilvl w:val="0"/>
          <w:numId w:val="1"/>
        </w:numPr>
        <w:rPr>
          <w:color w:val="000000" w:themeColor="text1"/>
          <w14:textFill>
            <w14:solidFill>
              <w14:schemeClr w14:val="tx1"/>
            </w14:solidFill>
          </w14:textFill>
        </w:rPr>
      </w:pPr>
      <w:r>
        <w:rPr>
          <w:color w:val="000000" w:themeColor="text1"/>
          <w14:textFill>
            <w14:solidFill>
              <w14:schemeClr w14:val="tx1"/>
            </w14:solidFill>
          </w14:textFill>
        </w:rPr>
        <w:t xml:space="preserve">Lobo, J., </w:t>
      </w:r>
      <w:r>
        <w:rPr>
          <w:rFonts w:hint="eastAsia"/>
          <w:color w:val="000000" w:themeColor="text1"/>
          <w14:textFill>
            <w14:solidFill>
              <w14:schemeClr w14:val="tx1"/>
            </w14:solidFill>
          </w14:textFill>
        </w:rPr>
        <w:t>and</w:t>
      </w:r>
      <w:r>
        <w:rPr>
          <w:color w:val="000000" w:themeColor="text1"/>
          <w14:textFill>
            <w14:solidFill>
              <w14:schemeClr w14:val="tx1"/>
            </w14:solidFill>
          </w14:textFill>
        </w:rPr>
        <w:t xml:space="preserve"> Strumsky, D. (2008). Metropolitan patenting, inventor agglomeration and social networks: A tale of two effects. Journal of Urban Economics, 63(3), 871-884.</w:t>
      </w:r>
    </w:p>
    <w:p>
      <w:pPr>
        <w:numPr>
          <w:ilvl w:val="0"/>
          <w:numId w:val="1"/>
        </w:numPr>
        <w:rPr>
          <w:color w:val="000000" w:themeColor="text1"/>
          <w14:textFill>
            <w14:solidFill>
              <w14:schemeClr w14:val="tx1"/>
            </w14:solidFill>
          </w14:textFill>
        </w:rPr>
      </w:pPr>
      <w:r>
        <w:rPr>
          <w:color w:val="000000" w:themeColor="text1"/>
          <w14:textFill>
            <w14:solidFill>
              <w14:schemeClr w14:val="tx1"/>
            </w14:solidFill>
          </w14:textFill>
        </w:rPr>
        <w:t>McMillen, D. P. Nonparametric employment subcenter identification[J]. Journal of Urban economics, 2001, 50(3), 448-473.</w:t>
      </w:r>
    </w:p>
    <w:p>
      <w:pPr>
        <w:numPr>
          <w:ilvl w:val="0"/>
          <w:numId w:val="1"/>
        </w:numPr>
        <w:rPr>
          <w:color w:val="000000" w:themeColor="text1"/>
          <w14:textFill>
            <w14:solidFill>
              <w14:schemeClr w14:val="tx1"/>
            </w14:solidFill>
          </w14:textFill>
        </w:rPr>
      </w:pPr>
      <w:r>
        <w:rPr>
          <w:color w:val="000000" w:themeColor="text1"/>
          <w14:textFill>
            <w14:solidFill>
              <w14:schemeClr w14:val="tx1"/>
            </w14:solidFill>
          </w14:textFill>
        </w:rPr>
        <w:t xml:space="preserve">Nunn, N., </w:t>
      </w:r>
      <w:r>
        <w:rPr>
          <w:rFonts w:hint="eastAsia"/>
          <w:color w:val="000000" w:themeColor="text1"/>
          <w14:textFill>
            <w14:solidFill>
              <w14:schemeClr w14:val="tx1"/>
            </w14:solidFill>
          </w14:textFill>
        </w:rPr>
        <w:t>and</w:t>
      </w:r>
      <w:r>
        <w:rPr>
          <w:color w:val="000000" w:themeColor="text1"/>
          <w14:textFill>
            <w14:solidFill>
              <w14:schemeClr w14:val="tx1"/>
            </w14:solidFill>
          </w14:textFill>
        </w:rPr>
        <w:t xml:space="preserve"> Puga, D. (2012). Ruggedness: The blessing of bad geography in Africa. Review of Economics and Statistics, 94(1), 20-36.</w:t>
      </w:r>
    </w:p>
    <w:p>
      <w:pPr>
        <w:numPr>
          <w:ilvl w:val="0"/>
          <w:numId w:val="1"/>
        </w:numPr>
        <w:rPr>
          <w:color w:val="000000" w:themeColor="text1"/>
          <w14:textFill>
            <w14:solidFill>
              <w14:schemeClr w14:val="tx1"/>
            </w14:solidFill>
          </w14:textFill>
        </w:rPr>
      </w:pPr>
      <w:r>
        <w:rPr>
          <w:rFonts w:hint="eastAsia"/>
          <w:color w:val="000000" w:themeColor="text1"/>
          <w14:textFill>
            <w14:solidFill>
              <w14:schemeClr w14:val="tx1"/>
            </w14:solidFill>
          </w14:textFill>
        </w:rPr>
        <w:t>秦蒙,刘修岩,李松林.城市蔓延如何影响地区经济增长?——基于夜间灯光数据的研究[J].经济学(季刊),2019,18(02):527-550.</w:t>
      </w:r>
    </w:p>
    <w:p>
      <w:pPr>
        <w:numPr>
          <w:ilvl w:val="0"/>
          <w:numId w:val="1"/>
        </w:numPr>
        <w:rPr>
          <w:color w:val="000000" w:themeColor="text1"/>
          <w14:textFill>
            <w14:solidFill>
              <w14:schemeClr w14:val="tx1"/>
            </w14:solidFill>
          </w14:textFill>
        </w:rPr>
      </w:pPr>
      <w:r>
        <w:rPr>
          <w:color w:val="000000" w:themeColor="text1"/>
          <w14:textFill>
            <w14:solidFill>
              <w14:schemeClr w14:val="tx1"/>
            </w14:solidFill>
          </w14:textFill>
        </w:rPr>
        <w:t>Rosenthal, S. S., and Strange, W. C. (2008). The attenuation of human capital spillovers. Journal of Urban Economics, 64(2), 373-389.</w:t>
      </w:r>
    </w:p>
    <w:p>
      <w:pPr>
        <w:numPr>
          <w:ilvl w:val="0"/>
          <w:numId w:val="1"/>
        </w:numPr>
        <w:rPr>
          <w:color w:val="000000" w:themeColor="text1"/>
          <w14:textFill>
            <w14:solidFill>
              <w14:schemeClr w14:val="tx1"/>
            </w14:solidFill>
          </w14:textFill>
        </w:rPr>
      </w:pPr>
      <w:r>
        <w:rPr>
          <w:color w:val="000000" w:themeColor="text1"/>
          <w14:textFill>
            <w14:solidFill>
              <w14:schemeClr w14:val="tx1"/>
            </w14:solidFill>
          </w14:textFill>
        </w:rPr>
        <w:t>Sedgley, N., and Elmslie, B. (2004). The geographic concentration of knowledge: Scale, agglomeration, and congestion in innovation across US states. International Regional Science Review, 27(2), 111-137.</w:t>
      </w:r>
    </w:p>
    <w:p>
      <w:pPr>
        <w:numPr>
          <w:ilvl w:val="0"/>
          <w:numId w:val="1"/>
        </w:numPr>
        <w:rPr>
          <w:color w:val="000000" w:themeColor="text1"/>
          <w14:textFill>
            <w14:solidFill>
              <w14:schemeClr w14:val="tx1"/>
            </w14:solidFill>
          </w14:textFill>
        </w:rPr>
      </w:pPr>
      <w:r>
        <w:rPr>
          <w:rFonts w:hint="eastAsia"/>
          <w:color w:val="000000" w:themeColor="text1"/>
          <w14:textFill>
            <w14:solidFill>
              <w14:schemeClr w14:val="tx1"/>
            </w14:solidFill>
          </w14:textFill>
        </w:rPr>
        <w:t>石光,岳阳,张过.政府换届周期对城市空间扩张的影响[J].世界经济,2021,44(04):178-200.</w:t>
      </w:r>
    </w:p>
    <w:p>
      <w:pPr>
        <w:numPr>
          <w:ilvl w:val="0"/>
          <w:numId w:val="1"/>
        </w:numPr>
        <w:rPr>
          <w:color w:val="000000" w:themeColor="text1"/>
          <w14:textFill>
            <w14:solidFill>
              <w14:schemeClr w14:val="tx1"/>
            </w14:solidFill>
          </w14:textFill>
        </w:rPr>
      </w:pPr>
      <w:r>
        <w:rPr>
          <w:rFonts w:hint="eastAsia"/>
          <w:color w:val="000000" w:themeColor="text1"/>
          <w14:textFill>
            <w14:solidFill>
              <w14:schemeClr w14:val="tx1"/>
            </w14:solidFill>
          </w14:textFill>
        </w:rPr>
        <w:t>孙斌栋,王旭辉,蔡寅寅.特大城市多中心空间结构的经济绩效——中国实证研究[J].城市规划,2015,39(8):39-45.</w:t>
      </w:r>
    </w:p>
    <w:p>
      <w:pPr>
        <w:numPr>
          <w:ilvl w:val="0"/>
          <w:numId w:val="1"/>
        </w:numPr>
        <w:rPr>
          <w:color w:val="000000" w:themeColor="text1"/>
          <w14:textFill>
            <w14:solidFill>
              <w14:schemeClr w14:val="tx1"/>
            </w14:solidFill>
          </w14:textFill>
        </w:rPr>
      </w:pPr>
      <w:r>
        <w:rPr>
          <w:color w:val="000000" w:themeColor="text1"/>
          <w14:textFill>
            <w14:solidFill>
              <w14:schemeClr w14:val="tx1"/>
            </w14:solidFill>
          </w14:textFill>
        </w:rPr>
        <w:t xml:space="preserve">Sun, B., He, Z., Zhang, T., </w:t>
      </w:r>
      <w:r>
        <w:rPr>
          <w:rFonts w:hint="eastAsia"/>
          <w:color w:val="000000" w:themeColor="text1"/>
          <w14:textFill>
            <w14:solidFill>
              <w14:schemeClr w14:val="tx1"/>
            </w14:solidFill>
          </w14:textFill>
        </w:rPr>
        <w:t>and</w:t>
      </w:r>
      <w:r>
        <w:rPr>
          <w:color w:val="000000" w:themeColor="text1"/>
          <w14:textFill>
            <w14:solidFill>
              <w14:schemeClr w14:val="tx1"/>
            </w14:solidFill>
          </w14:textFill>
        </w:rPr>
        <w:t xml:space="preserve"> Wang, R. (2016). Urban spatial structure and commute duration: An empirical study of China. International Journal of Sustainable Transportation, 10(7), 638-644.</w:t>
      </w:r>
    </w:p>
    <w:p>
      <w:pPr>
        <w:numPr>
          <w:ilvl w:val="0"/>
          <w:numId w:val="1"/>
        </w:numPr>
        <w:rPr>
          <w:color w:val="000000" w:themeColor="text1"/>
          <w14:textFill>
            <w14:solidFill>
              <w14:schemeClr w14:val="tx1"/>
            </w14:solidFill>
          </w14:textFill>
        </w:rPr>
      </w:pPr>
      <w:r>
        <w:rPr>
          <w:color w:val="000000" w:themeColor="text1"/>
          <w14:textFill>
            <w14:solidFill>
              <w14:schemeClr w14:val="tx1"/>
            </w14:solidFill>
          </w14:textFill>
        </w:rPr>
        <w:t>Van Meeteren, M., Poorthuis, A., Derudder, B., &amp;Witlox, F. (2016). Pacifying Babel’s Tower: A scientometric analysis of polycentricity in urban research. Urban Studies, 53(6), 1278-1298.</w:t>
      </w:r>
    </w:p>
    <w:p>
      <w:pPr>
        <w:numPr>
          <w:ilvl w:val="0"/>
          <w:numId w:val="1"/>
        </w:numPr>
        <w:rPr>
          <w:color w:val="000000" w:themeColor="text1"/>
          <w14:textFill>
            <w14:solidFill>
              <w14:schemeClr w14:val="tx1"/>
            </w14:solidFill>
          </w14:textFill>
        </w:rPr>
      </w:pPr>
      <w:r>
        <w:rPr>
          <w:rFonts w:hint="eastAsia"/>
          <w:color w:val="000000" w:themeColor="text1"/>
          <w14:textFill>
            <w14:solidFill>
              <w14:schemeClr w14:val="tx1"/>
            </w14:solidFill>
          </w14:textFill>
        </w:rPr>
        <w:t>王峤,刘修岩,李迎成.空间结构、城市规模与中国城市的创新绩效[J].中国工业经济,2021(05):114-132.</w:t>
      </w:r>
    </w:p>
    <w:p>
      <w:pPr>
        <w:numPr>
          <w:ilvl w:val="0"/>
          <w:numId w:val="1"/>
        </w:numPr>
        <w:rPr>
          <w:color w:val="000000" w:themeColor="text1"/>
          <w14:textFill>
            <w14:solidFill>
              <w14:schemeClr w14:val="tx1"/>
            </w14:solidFill>
          </w14:textFill>
        </w:rPr>
      </w:pPr>
      <w:r>
        <w:rPr>
          <w:rFonts w:hint="eastAsia"/>
          <w:color w:val="000000" w:themeColor="text1"/>
          <w14:textFill>
            <w14:solidFill>
              <w14:schemeClr w14:val="tx1"/>
            </w14:solidFill>
          </w14:textFill>
        </w:rPr>
        <w:t>王永进,张国峰.人口集聚、沟通外部性与企业自主创新[J].财贸经济,2015(5):132-146.</w:t>
      </w:r>
    </w:p>
    <w:p>
      <w:pPr>
        <w:numPr>
          <w:ilvl w:val="0"/>
          <w:numId w:val="1"/>
        </w:numPr>
        <w:rPr>
          <w:color w:val="000000" w:themeColor="text1"/>
          <w14:textFill>
            <w14:solidFill>
              <w14:schemeClr w14:val="tx1"/>
            </w14:solidFill>
          </w14:textFill>
        </w:rPr>
      </w:pPr>
      <w:r>
        <w:rPr>
          <w:color w:val="000000" w:themeColor="text1"/>
          <w14:textFill>
            <w14:solidFill>
              <w14:schemeClr w14:val="tx1"/>
            </w14:solidFill>
          </w14:textFill>
        </w:rPr>
        <w:t xml:space="preserve">Xiao, H., Wu, A., </w:t>
      </w:r>
      <w:r>
        <w:rPr>
          <w:rFonts w:hint="eastAsia"/>
          <w:color w:val="000000" w:themeColor="text1"/>
          <w14:textFill>
            <w14:solidFill>
              <w14:schemeClr w14:val="tx1"/>
            </w14:solidFill>
          </w14:textFill>
        </w:rPr>
        <w:t>and</w:t>
      </w:r>
      <w:r>
        <w:rPr>
          <w:color w:val="000000" w:themeColor="text1"/>
          <w14:textFill>
            <w14:solidFill>
              <w14:schemeClr w14:val="tx1"/>
            </w14:solidFill>
          </w14:textFill>
        </w:rPr>
        <w:t xml:space="preserve"> Kim, J. (2021). Commuting and innovation: Are closer inventors more productive?. Journal of Urban Economics, 121, 103300. </w:t>
      </w:r>
    </w:p>
    <w:p>
      <w:pPr>
        <w:numPr>
          <w:ilvl w:val="0"/>
          <w:numId w:val="1"/>
        </w:numPr>
        <w:rPr>
          <w:color w:val="000000" w:themeColor="text1"/>
          <w14:textFill>
            <w14:solidFill>
              <w14:schemeClr w14:val="tx1"/>
            </w14:solidFill>
          </w14:textFill>
        </w:rPr>
      </w:pPr>
      <w:r>
        <w:rPr>
          <w:color w:val="000000" w:themeColor="text1"/>
          <w14:textFill>
            <w14:solidFill>
              <w14:schemeClr w14:val="tx1"/>
            </w14:solidFill>
          </w14:textFill>
        </w:rPr>
        <w:t xml:space="preserve">Yang, R., </w:t>
      </w:r>
      <w:r>
        <w:rPr>
          <w:rFonts w:hint="eastAsia"/>
          <w:color w:val="000000" w:themeColor="text1"/>
          <w14:textFill>
            <w14:solidFill>
              <w14:schemeClr w14:val="tx1"/>
            </w14:solidFill>
          </w14:textFill>
        </w:rPr>
        <w:t>and</w:t>
      </w:r>
      <w:r>
        <w:rPr>
          <w:color w:val="000000" w:themeColor="text1"/>
          <w14:textFill>
            <w14:solidFill>
              <w14:schemeClr w14:val="tx1"/>
            </w14:solidFill>
          </w14:textFill>
        </w:rPr>
        <w:t>Jargowsky, P. A. (2006). Suburban development and economic segregation in the 1990s. Journal of Urban Affairs, 28(3), 253-273.</w:t>
      </w:r>
    </w:p>
    <w:p>
      <w:pPr>
        <w:numPr>
          <w:ilvl w:val="0"/>
          <w:numId w:val="1"/>
        </w:numPr>
        <w:rPr>
          <w:color w:val="000000" w:themeColor="text1"/>
          <w14:textFill>
            <w14:solidFill>
              <w14:schemeClr w14:val="tx1"/>
            </w14:solidFill>
          </w14:textFill>
        </w:rPr>
      </w:pPr>
      <w:r>
        <w:rPr>
          <w:rFonts w:hint="eastAsia"/>
          <w:color w:val="000000" w:themeColor="text1"/>
          <w14:textFill>
            <w14:solidFill>
              <w14:schemeClr w14:val="tx1"/>
            </w14:solidFill>
          </w14:textFill>
        </w:rPr>
        <w:t>张浩然.日照间距约束、人口密度与中国城市增长[J].经济学(季刊),2018,17(01):333-354.</w:t>
      </w:r>
    </w:p>
    <w:p>
      <w:pPr>
        <w:numPr>
          <w:ilvl w:val="0"/>
          <w:numId w:val="1"/>
        </w:numPr>
        <w:rPr>
          <w:color w:val="000000" w:themeColor="text1"/>
          <w14:textFill>
            <w14:solidFill>
              <w14:schemeClr w14:val="tx1"/>
            </w14:solidFill>
          </w14:textFill>
        </w:rPr>
      </w:pPr>
      <w:r>
        <w:rPr>
          <w:color w:val="000000" w:themeColor="text1"/>
          <w14:textFill>
            <w14:solidFill>
              <w14:schemeClr w14:val="tx1"/>
            </w14:solidFill>
          </w14:textFill>
        </w:rPr>
        <w:t xml:space="preserve">Zhang, T., Sun, B., </w:t>
      </w:r>
      <w:r>
        <w:rPr>
          <w:rFonts w:hint="eastAsia"/>
          <w:color w:val="000000" w:themeColor="text1"/>
          <w14:textFill>
            <w14:solidFill>
              <w14:schemeClr w14:val="tx1"/>
            </w14:solidFill>
          </w14:textFill>
        </w:rPr>
        <w:t>and</w:t>
      </w:r>
      <w:r>
        <w:rPr>
          <w:color w:val="000000" w:themeColor="text1"/>
          <w14:textFill>
            <w14:solidFill>
              <w14:schemeClr w14:val="tx1"/>
            </w14:solidFill>
          </w14:textFill>
        </w:rPr>
        <w:t xml:space="preserve"> Li, W. (2017). The economic performance of urban structure: From the perspective of Polycentricity and Monocentricity. Cities, 68, 18-24.</w:t>
      </w:r>
    </w:p>
    <w:p>
      <w:pPr>
        <w:ind w:firstLine="420" w:firstLineChars="200"/>
        <w:jc w:val="both"/>
        <w:rPr>
          <w:rFonts w:cs="Times New Roman"/>
          <w:color w:val="000000" w:themeColor="text1"/>
          <w14:textFill>
            <w14:solidFill>
              <w14:schemeClr w14:val="tx1"/>
            </w14:solidFill>
          </w14:textFill>
        </w:rPr>
      </w:pPr>
    </w:p>
    <w:p>
      <w:pPr>
        <w:ind w:firstLine="420" w:firstLineChars="200"/>
        <w:jc w:val="both"/>
        <w:rPr>
          <w:rFonts w:cs="Times New Roman"/>
          <w:color w:val="000000" w:themeColor="text1"/>
          <w14:textFill>
            <w14:solidFill>
              <w14:schemeClr w14:val="tx1"/>
            </w14:solidFill>
          </w14:textFill>
        </w:rPr>
      </w:pPr>
    </w:p>
    <w:p>
      <w:pPr>
        <w:ind w:firstLine="420" w:firstLineChars="200"/>
        <w:jc w:val="both"/>
        <w:rPr>
          <w:rFonts w:cs="Times New Roman"/>
          <w:color w:val="000000" w:themeColor="text1"/>
          <w14:textFill>
            <w14:solidFill>
              <w14:schemeClr w14:val="tx1"/>
            </w14:solidFill>
          </w14:textFill>
        </w:rPr>
      </w:pPr>
    </w:p>
    <w:p>
      <w:pPr>
        <w:widowControl w:val="0"/>
        <w:spacing w:line="360" w:lineRule="auto"/>
        <w:ind w:left="-2" w:leftChars="-1"/>
        <w:rPr>
          <w:rFonts w:ascii="宋体" w:hAnsi="宋体" w:eastAsia="宋体"/>
          <w:b/>
          <w:szCs w:val="21"/>
        </w:rPr>
      </w:pPr>
      <w:r>
        <w:rPr>
          <w:rFonts w:hint="eastAsia" w:ascii="宋体" w:hAnsi="宋体" w:eastAsia="宋体"/>
          <w:b/>
          <w:szCs w:val="22"/>
        </w:rPr>
        <w:t>注：该附录是期刊所发表论文的组成部分，同样视为作者公开发表的内容。如研究中使用该附录中的内容，</w:t>
      </w:r>
      <w:r>
        <w:rPr>
          <w:rFonts w:hint="eastAsia" w:ascii="宋体" w:hAnsi="宋体" w:eastAsia="宋体"/>
          <w:b/>
          <w:szCs w:val="21"/>
        </w:rPr>
        <w:t>请务必在研究成果上注明附录下载出处。</w:t>
      </w:r>
    </w:p>
    <w:p>
      <w:pPr>
        <w:ind w:firstLine="420" w:firstLineChars="200"/>
        <w:jc w:val="both"/>
        <w:rPr>
          <w:rFonts w:cs="Times New Roman"/>
          <w:color w:val="000000" w:themeColor="text1"/>
          <w14:textFill>
            <w14:solidFill>
              <w14:schemeClr w14:val="tx1"/>
            </w14:solidFill>
          </w14:textFill>
        </w:rPr>
      </w:pPr>
    </w:p>
    <w:sectPr>
      <w:headerReference r:id="rId5" w:type="default"/>
      <w:footerReference r:id="rId6" w:type="default"/>
      <w:footnotePr>
        <w:numRestart w:val="eachPage"/>
      </w:footnotePr>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Segoe UI Emoji">
    <w:panose1 w:val="020B0502040204020203"/>
    <w:charset w:val="00"/>
    <w:family w:val="swiss"/>
    <w:pitch w:val="default"/>
    <w:sig w:usb0="00000001" w:usb1="02000000" w:usb2="0000000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30">
    <w:p>
      <w:r>
        <w:separator/>
      </w:r>
    </w:p>
  </w:footnote>
  <w:footnote w:type="continuationSeparator" w:id="31">
    <w:p>
      <w:r>
        <w:continuationSeparator/>
      </w:r>
    </w:p>
  </w:footnote>
  <w:footnote w:id="0">
    <w:p>
      <w:pPr>
        <w:pStyle w:val="10"/>
      </w:pPr>
      <w:r>
        <w:rPr>
          <w:rStyle w:val="15"/>
        </w:rPr>
        <w:footnoteRef/>
      </w:r>
      <w:r>
        <w:rPr>
          <w:rFonts w:hint="eastAsia"/>
        </w:rPr>
        <w:t>可以理解为形态在样本期内的紧凑化或松散化引起的城市增长差异。</w:t>
      </w:r>
    </w:p>
  </w:footnote>
  <w:footnote w:id="1">
    <w:p>
      <w:pPr>
        <w:pStyle w:val="10"/>
      </w:pPr>
      <w:r>
        <w:rPr>
          <w:rStyle w:val="15"/>
        </w:rPr>
        <w:footnoteRef/>
      </w:r>
      <w:r>
        <w:rPr>
          <w:rFonts w:hint="eastAsia"/>
        </w:rPr>
        <w:t>城市足迹衡量一个城市在领土内的扩张，使我们能够量化影响和土壤消耗的程度，并帮助我们了解人的空间分布和服务在一个确定的大都市区（</w:t>
      </w:r>
      <w:r>
        <w:t>Cantera</w:t>
      </w:r>
      <w:r>
        <w:rPr>
          <w:rFonts w:hint="eastAsia"/>
        </w:rPr>
        <w:t>，2</w:t>
      </w:r>
      <w:r>
        <w:t>019</w:t>
      </w:r>
      <w:r>
        <w:rPr>
          <w:rFonts w:hint="eastAsia"/>
        </w:rPr>
        <w:t>）。</w:t>
      </w:r>
    </w:p>
  </w:footnote>
  <w:footnote w:id="2">
    <w:p>
      <w:pPr>
        <w:pStyle w:val="10"/>
      </w:pPr>
      <w:r>
        <w:rPr>
          <w:rStyle w:val="15"/>
        </w:rPr>
        <w:footnoteRef/>
      </w:r>
      <w:r>
        <w:rPr>
          <w:rFonts w:hint="eastAsia"/>
        </w:rPr>
        <w:t>这一图层是欧洲空间局根据人类居住区图层（</w:t>
      </w:r>
      <w:r>
        <w:t>Global Human Settlement Layer</w:t>
      </w:r>
      <w:r>
        <w:rPr>
          <w:rFonts w:hint="eastAsia"/>
        </w:rPr>
        <w:t>）以及城市足迹图层（</w:t>
      </w:r>
      <w:r>
        <w:t>Global Urban Footprint</w:t>
      </w:r>
      <w:r>
        <w:rPr>
          <w:rFonts w:hint="eastAsia"/>
        </w:rPr>
        <w:t>）进行整合得出，能够较为准确地捕捉城市范围。</w:t>
      </w:r>
    </w:p>
  </w:footnote>
  <w:footnote w:id="3">
    <w:p>
      <w:pPr>
        <w:pStyle w:val="10"/>
      </w:pPr>
      <w:r>
        <w:rPr>
          <w:rStyle w:val="15"/>
        </w:rPr>
        <w:footnoteRef/>
      </w:r>
      <w:r>
        <w:rPr>
          <w:rFonts w:hint="eastAsia"/>
        </w:rPr>
        <w:t>附录中我们分别展示了使用</w:t>
      </w:r>
      <w:r>
        <w:rPr>
          <w:rFonts w:hint="eastAsia" w:ascii="宋体" w:hAnsi="宋体" w:cs="宋体"/>
        </w:rPr>
        <w:t>欧洲空间局（</w:t>
      </w:r>
      <w:r>
        <w:t>European Space Agency</w:t>
      </w:r>
      <w:r>
        <w:rPr>
          <w:rFonts w:hint="eastAsia" w:ascii="宋体" w:hAnsi="宋体" w:cs="宋体"/>
        </w:rPr>
        <w:t>）的陆地覆盖数据以及</w:t>
      </w:r>
      <w:r>
        <w:rPr>
          <w:rFonts w:cs="Times New Roman"/>
        </w:rPr>
        <w:t>worldpop</w:t>
      </w:r>
      <w:r>
        <w:rPr>
          <w:rFonts w:hint="eastAsia" w:ascii="宋体" w:hAnsi="宋体" w:cs="宋体"/>
        </w:rPr>
        <w:t>人口分布数据提取的城市形态。</w:t>
      </w:r>
    </w:p>
  </w:footnote>
  <w:footnote w:id="4">
    <w:p>
      <w:pPr>
        <w:pStyle w:val="10"/>
      </w:pPr>
      <w:r>
        <w:rPr>
          <w:rStyle w:val="15"/>
        </w:rPr>
        <w:footnoteRef/>
      </w:r>
      <w:r>
        <w:rPr>
          <w:rFonts w:hint="eastAsia"/>
        </w:rPr>
        <w:t>这一概念也是参照Harari（2</w:t>
      </w:r>
      <w:r>
        <w:t>020</w:t>
      </w:r>
      <w:r>
        <w:rPr>
          <w:rFonts w:hint="eastAsia"/>
        </w:rPr>
        <w:t>）的思想，我们可以认为城市内部主要的经济活动是发生在这一城市范围内。</w:t>
      </w:r>
    </w:p>
  </w:footnote>
  <w:footnote w:id="5">
    <w:p>
      <w:pPr>
        <w:pStyle w:val="10"/>
      </w:pPr>
      <w:r>
        <w:rPr>
          <w:rStyle w:val="15"/>
        </w:rPr>
        <w:footnoteRef/>
      </w:r>
      <w:r>
        <w:rPr>
          <w:rFonts w:hint="eastAsia"/>
        </w:rPr>
        <w:t>本文并未使用城市租金数据来测量城市的住宅市场发展，主要是由于无法获得较广城市层面的租金数据。</w:t>
      </w:r>
    </w:p>
  </w:footnote>
  <w:footnote w:id="6">
    <w:p>
      <w:pPr>
        <w:pStyle w:val="10"/>
      </w:pPr>
      <w:r>
        <w:rPr>
          <w:rStyle w:val="15"/>
        </w:rPr>
        <w:footnoteRef/>
      </w:r>
      <w:r>
        <w:rPr>
          <w:rFonts w:hint="eastAsia"/>
        </w:rPr>
        <w:t>经过反复的校准后我们发现，2</w:t>
      </w:r>
      <w:r>
        <w:t>013</w:t>
      </w:r>
      <w:r>
        <w:rPr>
          <w:rFonts w:hint="eastAsia"/>
        </w:rPr>
        <w:t>年以后的灯光数据由于卫星测度差异存在较为明显的数据断层，因此我们仅取2</w:t>
      </w:r>
      <w:r>
        <w:t>013</w:t>
      </w:r>
      <w:r>
        <w:rPr>
          <w:rFonts w:hint="eastAsia"/>
        </w:rPr>
        <w:t>年以前的样本。</w:t>
      </w:r>
    </w:p>
  </w:footnote>
  <w:footnote w:id="7">
    <w:p>
      <w:pPr>
        <w:pStyle w:val="10"/>
      </w:pPr>
      <w:r>
        <w:rPr>
          <w:rStyle w:val="15"/>
        </w:rPr>
        <w:footnoteRef/>
      </w:r>
      <w:r>
        <w:rPr>
          <w:rFonts w:hint="eastAsia"/>
        </w:rPr>
        <w:t>示例选自上海市2</w:t>
      </w:r>
      <w:r>
        <w:t>015</w:t>
      </w:r>
      <w:r>
        <w:rPr>
          <w:rFonts w:hint="eastAsia"/>
        </w:rPr>
        <w:t>年的城市区域。</w:t>
      </w:r>
    </w:p>
  </w:footnote>
  <w:footnote w:id="8">
    <w:p>
      <w:pPr>
        <w:pStyle w:val="10"/>
      </w:pPr>
      <w:r>
        <w:rPr>
          <w:rStyle w:val="15"/>
        </w:rPr>
        <w:footnoteRef/>
      </w:r>
      <w:r>
        <w:rPr>
          <w:rFonts w:hint="eastAsia"/>
        </w:rPr>
        <w:t>阈值的选择难以形成统一的标准，阈值过高可能会导致部分城市区域被低估，甚至出现部分城市所有区域都被鉴别为非城市区域，阈值过低会导致城市区域被高估，如果是根据不同城市设置不同的阈值，而阈值标准没有较为准确的参照标准。</w:t>
      </w:r>
    </w:p>
  </w:footnote>
  <w:footnote w:id="9">
    <w:p>
      <w:pPr>
        <w:pStyle w:val="10"/>
        <w:jc w:val="both"/>
      </w:pPr>
      <w:r>
        <w:rPr>
          <w:rStyle w:val="15"/>
        </w:rPr>
        <w:footnoteRef/>
      </w:r>
      <w:r>
        <w:rPr>
          <w:rFonts w:hint="eastAsia"/>
          <w:color w:val="000000" w:themeColor="text1"/>
          <w14:textFill>
            <w14:solidFill>
              <w14:schemeClr w14:val="tx1"/>
            </w14:solidFill>
          </w14:textFill>
        </w:rPr>
        <w:t>这里需要说明，由于中国城市的区划会由于政策调整出现变动，因此本文统一采用中国科学院资源环境科学与数据中心公布的2</w:t>
      </w:r>
      <w:r>
        <w:rPr>
          <w:color w:val="000000" w:themeColor="text1"/>
          <w14:textFill>
            <w14:solidFill>
              <w14:schemeClr w14:val="tx1"/>
            </w14:solidFill>
          </w14:textFill>
        </w:rPr>
        <w:t>015</w:t>
      </w:r>
      <w:r>
        <w:rPr>
          <w:rFonts w:hint="eastAsia"/>
          <w:color w:val="000000" w:themeColor="text1"/>
          <w14:textFill>
            <w14:solidFill>
              <w14:schemeClr w14:val="tx1"/>
            </w14:solidFill>
          </w14:textFill>
        </w:rPr>
        <w:t>年制的中国行政区划地图进行统一标准，对于撤销的地级市等均在样本中进行了剔除，而对于在样本期内重新设立的地级市也进行了剔除。</w:t>
      </w:r>
    </w:p>
  </w:footnote>
  <w:footnote w:id="10">
    <w:p>
      <w:pPr>
        <w:pStyle w:val="10"/>
        <w:jc w:val="both"/>
      </w:pPr>
      <w:r>
        <w:rPr>
          <w:rStyle w:val="15"/>
        </w:rPr>
        <w:footnoteRef/>
      </w:r>
      <w:r>
        <w:rPr>
          <w:rFonts w:hint="eastAsia"/>
          <w:color w:val="000000" w:themeColor="text1"/>
          <w14:textFill>
            <w14:solidFill>
              <w14:schemeClr w14:val="tx1"/>
            </w14:solidFill>
          </w14:textFill>
        </w:rPr>
        <w:t>城市层面的抗震设防烈度和设计基本地震加速度数据来自于由中国国家建设部颁发的《建筑抗震设计规范》（GB 50011－2001）附录：http://www.morgain.com/Help/GB50011-2001/CodeForSeismicDesignOfBuldings.htm。</w:t>
      </w:r>
      <w:r>
        <w:rPr>
          <w:rFonts w:hint="eastAsia" w:cs="Times New Roman"/>
          <w:color w:val="000000" w:themeColor="text1"/>
          <w14:textFill>
            <w14:solidFill>
              <w14:schemeClr w14:val="tx1"/>
            </w14:solidFill>
          </w14:textFill>
        </w:rPr>
        <w:t>地表起伏度指数来自于NunnandPuga（2</w:t>
      </w:r>
      <w:r>
        <w:rPr>
          <w:rFonts w:cs="Times New Roman"/>
          <w:color w:val="000000" w:themeColor="text1"/>
          <w14:textFill>
            <w14:solidFill>
              <w14:schemeClr w14:val="tx1"/>
            </w14:solidFill>
          </w14:textFill>
        </w:rPr>
        <w:t>012</w:t>
      </w:r>
      <w:r>
        <w:rPr>
          <w:rFonts w:hint="eastAsia" w:cs="Times New Roman"/>
          <w:color w:val="000000" w:themeColor="text1"/>
          <w14:textFill>
            <w14:solidFill>
              <w14:schemeClr w14:val="tx1"/>
            </w14:solidFill>
          </w14:textFill>
        </w:rPr>
        <w:t>）文中计算的全球地表起伏度指数，我们提取了每个中国城市层面的均值。</w:t>
      </w:r>
      <w:r>
        <w:rPr>
          <w:rFonts w:hint="eastAsia"/>
          <w:color w:val="000000" w:themeColor="text1"/>
          <w14:textFill>
            <w14:solidFill>
              <w14:schemeClr w14:val="tx1"/>
            </w14:solidFill>
          </w14:textFill>
        </w:rPr>
        <w:t>不可开发用地比例数据来自于中国科学院资源环境科学与数据中心公布的1</w:t>
      </w:r>
      <w:r>
        <w:rPr>
          <w:color w:val="000000" w:themeColor="text1"/>
          <w14:textFill>
            <w14:solidFill>
              <w14:schemeClr w14:val="tx1"/>
            </w14:solidFill>
          </w14:textFill>
        </w:rPr>
        <w:t>990</w:t>
      </w:r>
      <w:r>
        <w:rPr>
          <w:rFonts w:hint="eastAsia"/>
          <w:color w:val="000000" w:themeColor="text1"/>
          <w14:textFill>
            <w14:solidFill>
              <w14:schemeClr w14:val="tx1"/>
            </w14:solidFill>
          </w14:textFill>
        </w:rPr>
        <w:t>年中国土地利用现状遥感监测数据，我们收集了地表坡度大于1</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度与水体的面积作为不可开发用地，计算了不可开发用地比例。</w:t>
      </w:r>
      <w:r>
        <w:rPr>
          <w:rFonts w:hint="eastAsia" w:cs="Times New Roman"/>
          <w:color w:val="000000" w:themeColor="text1"/>
          <w14:textFill>
            <w14:solidFill>
              <w14:schemeClr w14:val="tx1"/>
            </w14:solidFill>
          </w14:textFill>
        </w:rPr>
        <w:t>城市与主要海港地理距离由作者手动收集城市与主要海港经纬度计算得出。</w:t>
      </w:r>
    </w:p>
  </w:footnote>
  <w:footnote w:id="11">
    <w:p>
      <w:pPr>
        <w:pStyle w:val="10"/>
      </w:pPr>
      <w:r>
        <w:rPr>
          <w:rStyle w:val="15"/>
        </w:rPr>
        <w:footnoteRef/>
      </w:r>
      <w:r>
        <w:rPr>
          <w:rFonts w:hint="eastAsia"/>
        </w:rPr>
        <w:t>详细的划分准则与类别为：城区常住人口50万以下的城市为小城市，其中20万以上50万以下的城市为Ⅰ型小城市，20万以下的城市为Ⅱ型小城市；城区常住人口50万以上100万以下的城市为中等城市；城区常住人口100万以上500万以下的城市为大城市，其中300万以上500万以下的城市为Ⅰ型大城市，100万以上300万以下的城市为Ⅱ型大城市；城区常住人口500万以上1000万以下的城市为特大城市；城区常住人口1000万以上的城市为超大城市。</w:t>
      </w:r>
    </w:p>
  </w:footnote>
  <w:footnote w:id="12">
    <w:p>
      <w:pPr>
        <w:pStyle w:val="10"/>
      </w:pPr>
      <w:r>
        <w:rPr>
          <w:rStyle w:val="15"/>
        </w:rPr>
        <w:footnoteRef/>
      </w:r>
      <w:r>
        <w:rPr>
          <w:rFonts w:hint="eastAsia"/>
        </w:rPr>
        <w:t>这里的异常城市包括：吉林市、大庆市、泉州市、武汉市、长沙市、衡阳市、汕头市、清远市、崇左市、重庆市、成都市、绵阳市、铜川市、白银市以及石嘴山市。</w:t>
      </w:r>
    </w:p>
  </w:footnote>
  <w:footnote w:id="13">
    <w:p>
      <w:pPr>
        <w:pStyle w:val="10"/>
      </w:pPr>
      <w:r>
        <w:rPr>
          <w:rStyle w:val="15"/>
        </w:rPr>
        <w:footnoteRef/>
      </w:r>
      <w:r>
        <w:rPr>
          <w:rFonts w:hint="eastAsia"/>
        </w:rPr>
        <w:t>我们所剔除的港口城市包括：天津、上海、唐山、秦皇岛、沧州、大连、营口、南京、苏州、南通、连云港、宁波、舟山、青岛、烟台、日照、福州、厦门、泉州、广州、深圳、湛江以及防城港。</w:t>
      </w:r>
    </w:p>
  </w:footnote>
  <w:footnote w:id="14">
    <w:p>
      <w:pPr>
        <w:pStyle w:val="10"/>
        <w:jc w:val="both"/>
      </w:pPr>
      <w:r>
        <w:rPr>
          <w:rStyle w:val="15"/>
        </w:rPr>
        <w:footnoteRef/>
      </w:r>
      <w:r>
        <w:t xml:space="preserve"> </w:t>
      </w:r>
      <w:r>
        <w:rPr>
          <w:rFonts w:hint="eastAsia"/>
        </w:rPr>
        <w:t>当然，本文还有其他稳健性检验，如考虑到城市之间可能存在的空间相关性，使用省份层面的聚类稳健标准误进行回归，且考虑到可能遗漏的其他社会经济因素会导致估计效应存在偏误，我们还分别控制省份固定效应、城市是否为旅游型城市虚拟变量并进行回归。考虑到城市面积可能会与几何形态存在机械相关，且其也可能存在内生性，我们分别使用历史上的人口长差分项（</w:t>
      </w:r>
      <w:r>
        <w:rPr>
          <w:rFonts w:hint="eastAsia"/>
          <w:i/>
          <w:iCs/>
        </w:rPr>
        <w:t>historicalgrowth</w:t>
      </w:r>
      <w:r>
        <w:rPr>
          <w:rFonts w:hint="eastAsia"/>
        </w:rPr>
        <w:t>）和上文预测的2000—2015年人口长差分项（</w:t>
      </w:r>
      <w:r>
        <w:rPr>
          <w:rFonts w:hint="eastAsia"/>
          <w:i/>
          <w:iCs/>
        </w:rPr>
        <w:t>projectedgrowth</w:t>
      </w:r>
      <w:r>
        <w:rPr>
          <w:rFonts w:hint="eastAsia"/>
        </w:rPr>
        <w:t>）依次作为工具变量进行回归，效应依然较为稳健，考虑到篇幅限制，这里不做展示。</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0"/>
      </w:pBdr>
      <w:rPr>
        <w:rFonts w:ascii="仿宋" w:hAnsi="仿宋" w:cs="仿宋"/>
      </w:rPr>
    </w:pPr>
    <w:r>
      <w:rPr>
        <w:rFonts w:hint="eastAsia" w:ascii="仿宋" w:hAnsi="仿宋" w:cs="仿宋"/>
      </w:rPr>
      <w:t>《经济学》（季刊）                                                              2024年第2期</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0"/>
      </w:pBdr>
      <w:rPr>
        <w:rFonts w:ascii="仿宋" w:hAnsi="仿宋" w:cs="仿宋"/>
      </w:rPr>
    </w:pPr>
    <w:r>
      <w:rPr>
        <w:rFonts w:hint="eastAsia" w:ascii="仿宋" w:hAnsi="仿宋" w:cs="仿宋"/>
      </w:rPr>
      <w:t>《经济学》（季刊）                                                              2024年第2期</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C9714E"/>
    <w:multiLevelType w:val="singleLevel"/>
    <w:tmpl w:val="EAC9714E"/>
    <w:lvl w:ilvl="0" w:tentative="0">
      <w:start w:val="1"/>
      <w:numFmt w:val="decimal"/>
      <w:lvlText w:val="[%1]"/>
      <w:lvlJc w:val="left"/>
      <w:pPr>
        <w:tabs>
          <w:tab w:val="left" w:pos="420"/>
        </w:tabs>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30"/>
    <w:footnote w:id="3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AxNWZhMmRiMTY5YWI4NjAwOTAyNmUyMjJkNDE2NTcifQ=="/>
  </w:docVars>
  <w:rsids>
    <w:rsidRoot w:val="006C404F"/>
    <w:rsid w:val="00161175"/>
    <w:rsid w:val="001756DB"/>
    <w:rsid w:val="00190327"/>
    <w:rsid w:val="00234B30"/>
    <w:rsid w:val="00280807"/>
    <w:rsid w:val="003970F8"/>
    <w:rsid w:val="003D3691"/>
    <w:rsid w:val="004058FE"/>
    <w:rsid w:val="00413762"/>
    <w:rsid w:val="004D6AB9"/>
    <w:rsid w:val="00534245"/>
    <w:rsid w:val="0054328F"/>
    <w:rsid w:val="005B2C13"/>
    <w:rsid w:val="00616B12"/>
    <w:rsid w:val="00653D76"/>
    <w:rsid w:val="006C404F"/>
    <w:rsid w:val="0071472A"/>
    <w:rsid w:val="007160AC"/>
    <w:rsid w:val="0072648C"/>
    <w:rsid w:val="007B7B85"/>
    <w:rsid w:val="00836B63"/>
    <w:rsid w:val="00867E2A"/>
    <w:rsid w:val="00874F94"/>
    <w:rsid w:val="0095656B"/>
    <w:rsid w:val="00986BA3"/>
    <w:rsid w:val="00A37FA6"/>
    <w:rsid w:val="00A554DE"/>
    <w:rsid w:val="00A6392A"/>
    <w:rsid w:val="00A709FD"/>
    <w:rsid w:val="00A87148"/>
    <w:rsid w:val="00AD7C6F"/>
    <w:rsid w:val="00B72464"/>
    <w:rsid w:val="00B77CC4"/>
    <w:rsid w:val="00C07012"/>
    <w:rsid w:val="00C70F4E"/>
    <w:rsid w:val="00D17E04"/>
    <w:rsid w:val="00D431F2"/>
    <w:rsid w:val="00EB3AA8"/>
    <w:rsid w:val="00EC6290"/>
    <w:rsid w:val="00F81E73"/>
    <w:rsid w:val="0CE265BB"/>
    <w:rsid w:val="12FA2B1E"/>
    <w:rsid w:val="1D935422"/>
    <w:rsid w:val="2049095D"/>
    <w:rsid w:val="23E165D5"/>
    <w:rsid w:val="2B523CEA"/>
    <w:rsid w:val="2BDB219E"/>
    <w:rsid w:val="32F046A1"/>
    <w:rsid w:val="33D97C3C"/>
    <w:rsid w:val="4BF31964"/>
    <w:rsid w:val="4F012EFF"/>
    <w:rsid w:val="56511311"/>
    <w:rsid w:val="6C0E1756"/>
    <w:rsid w:val="76F92FCD"/>
    <w:rsid w:val="7C825B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semiHidden="0" w:name="toc 2"/>
    <w:lsdException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仿宋" w:cs="宋体"/>
      <w:sz w:val="21"/>
      <w:szCs w:val="24"/>
      <w:lang w:val="en-US" w:eastAsia="zh-CN" w:bidi="ar-SA"/>
    </w:rPr>
  </w:style>
  <w:style w:type="paragraph" w:styleId="2">
    <w:name w:val="heading 1"/>
    <w:basedOn w:val="1"/>
    <w:next w:val="1"/>
    <w:link w:val="2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6"/>
    <w:unhideWhenUsed/>
    <w:qFormat/>
    <w:uiPriority w:val="9"/>
    <w:pPr>
      <w:keepNext/>
      <w:keepLines/>
      <w:spacing w:before="100" w:beforeLines="100" w:after="100" w:afterLines="100"/>
      <w:outlineLvl w:val="1"/>
    </w:pPr>
    <w:rPr>
      <w:rFonts w:eastAsia="楷体" w:cstheme="majorBidi"/>
      <w:bCs/>
      <w:sz w:val="28"/>
      <w:szCs w:val="32"/>
    </w:rPr>
  </w:style>
  <w:style w:type="paragraph" w:styleId="4">
    <w:name w:val="heading 3"/>
    <w:basedOn w:val="1"/>
    <w:next w:val="1"/>
    <w:link w:val="17"/>
    <w:unhideWhenUsed/>
    <w:qFormat/>
    <w:uiPriority w:val="9"/>
    <w:pPr>
      <w:keepNext/>
      <w:keepLines/>
      <w:spacing w:before="50" w:beforeLines="50" w:after="50" w:afterLines="50"/>
      <w:ind w:firstLine="200" w:firstLineChars="200"/>
      <w:outlineLvl w:val="2"/>
    </w:pPr>
    <w:rPr>
      <w:rFonts w:cstheme="majorBidi"/>
      <w:color w:val="000000" w:themeColor="text1"/>
      <w14:textFill>
        <w14:solidFill>
          <w14:schemeClr w14:val="tx1"/>
        </w14:solidFill>
      </w14:textFill>
    </w:rPr>
  </w:style>
  <w:style w:type="paragraph" w:styleId="5">
    <w:name w:val="heading 4"/>
    <w:basedOn w:val="1"/>
    <w:next w:val="1"/>
    <w:link w:val="18"/>
    <w:unhideWhenUsed/>
    <w:qFormat/>
    <w:uiPriority w:val="9"/>
    <w:pPr>
      <w:keepNext/>
      <w:keepLines/>
      <w:ind w:firstLine="200" w:firstLineChars="200"/>
      <w:outlineLvl w:val="3"/>
    </w:pPr>
    <w:rPr>
      <w:rFonts w:cstheme="majorBidi"/>
      <w:bCs/>
      <w:szCs w:val="28"/>
    </w:rPr>
  </w:style>
  <w:style w:type="character" w:default="1" w:styleId="13">
    <w:name w:val="Default Paragraph Font"/>
    <w:autoRedefine/>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6">
    <w:name w:val="toc 3"/>
    <w:basedOn w:val="1"/>
    <w:next w:val="1"/>
    <w:autoRedefine/>
    <w:unhideWhenUsed/>
    <w:uiPriority w:val="39"/>
    <w:pPr>
      <w:ind w:left="840" w:leftChars="400"/>
    </w:pPr>
  </w:style>
  <w:style w:type="paragraph" w:styleId="7">
    <w:name w:val="footer"/>
    <w:basedOn w:val="1"/>
    <w:link w:val="21"/>
    <w:unhideWhenUsed/>
    <w:uiPriority w:val="99"/>
    <w:pPr>
      <w:tabs>
        <w:tab w:val="center" w:pos="4153"/>
        <w:tab w:val="right" w:pos="8306"/>
      </w:tabs>
      <w:snapToGrid w:val="0"/>
    </w:pPr>
    <w:rPr>
      <w:sz w:val="18"/>
      <w:szCs w:val="18"/>
    </w:rPr>
  </w:style>
  <w:style w:type="paragraph" w:styleId="8">
    <w:name w:val="header"/>
    <w:basedOn w:val="1"/>
    <w:link w:val="20"/>
    <w:unhideWhenUsed/>
    <w:uiPriority w:val="99"/>
    <w:pPr>
      <w:tabs>
        <w:tab w:val="center" w:pos="4153"/>
        <w:tab w:val="right" w:pos="8306"/>
      </w:tabs>
      <w:snapToGrid w:val="0"/>
      <w:jc w:val="center"/>
    </w:pPr>
    <w:rPr>
      <w:sz w:val="18"/>
      <w:szCs w:val="18"/>
    </w:rPr>
  </w:style>
  <w:style w:type="paragraph" w:styleId="9">
    <w:name w:val="toc 1"/>
    <w:basedOn w:val="1"/>
    <w:next w:val="1"/>
    <w:unhideWhenUsed/>
    <w:qFormat/>
    <w:uiPriority w:val="39"/>
    <w:pPr>
      <w:spacing w:after="100" w:line="259" w:lineRule="auto"/>
    </w:pPr>
    <w:rPr>
      <w:rFonts w:cs="Times New Roman"/>
      <w:sz w:val="22"/>
    </w:rPr>
  </w:style>
  <w:style w:type="paragraph" w:styleId="10">
    <w:name w:val="footnote text"/>
    <w:basedOn w:val="1"/>
    <w:link w:val="19"/>
    <w:unhideWhenUsed/>
    <w:qFormat/>
    <w:uiPriority w:val="99"/>
    <w:pPr>
      <w:snapToGrid w:val="0"/>
    </w:pPr>
    <w:rPr>
      <w:rFonts w:cstheme="minorBidi"/>
      <w:sz w:val="18"/>
      <w:szCs w:val="18"/>
    </w:rPr>
  </w:style>
  <w:style w:type="paragraph" w:styleId="11">
    <w:name w:val="toc 2"/>
    <w:basedOn w:val="1"/>
    <w:next w:val="1"/>
    <w:autoRedefine/>
    <w:unhideWhenUsed/>
    <w:uiPriority w:val="39"/>
    <w:pPr>
      <w:ind w:left="420" w:leftChars="200"/>
    </w:pPr>
  </w:style>
  <w:style w:type="character" w:styleId="14">
    <w:name w:val="Hyperlink"/>
    <w:basedOn w:val="13"/>
    <w:unhideWhenUsed/>
    <w:uiPriority w:val="99"/>
    <w:rPr>
      <w:color w:val="0563C1" w:themeColor="hyperlink"/>
      <w:u w:val="single"/>
      <w14:textFill>
        <w14:solidFill>
          <w14:schemeClr w14:val="hlink"/>
        </w14:solidFill>
      </w14:textFill>
    </w:rPr>
  </w:style>
  <w:style w:type="character" w:styleId="15">
    <w:name w:val="footnote reference"/>
    <w:basedOn w:val="13"/>
    <w:unhideWhenUsed/>
    <w:qFormat/>
    <w:uiPriority w:val="99"/>
    <w:rPr>
      <w:vertAlign w:val="superscript"/>
    </w:rPr>
  </w:style>
  <w:style w:type="character" w:customStyle="1" w:styleId="16">
    <w:name w:val="标题 2 字符"/>
    <w:basedOn w:val="13"/>
    <w:link w:val="3"/>
    <w:qFormat/>
    <w:uiPriority w:val="9"/>
    <w:rPr>
      <w:rFonts w:ascii="Times New Roman" w:hAnsi="Times New Roman" w:eastAsia="楷体" w:cstheme="majorBidi"/>
      <w:bCs/>
      <w:kern w:val="0"/>
      <w:sz w:val="28"/>
      <w:szCs w:val="32"/>
    </w:rPr>
  </w:style>
  <w:style w:type="character" w:customStyle="1" w:styleId="17">
    <w:name w:val="标题 3 字符"/>
    <w:basedOn w:val="13"/>
    <w:link w:val="4"/>
    <w:qFormat/>
    <w:uiPriority w:val="9"/>
    <w:rPr>
      <w:rFonts w:ascii="Times New Roman" w:hAnsi="Times New Roman" w:eastAsia="仿宋" w:cstheme="majorBidi"/>
      <w:color w:val="000000" w:themeColor="text1"/>
      <w:kern w:val="0"/>
      <w:szCs w:val="24"/>
      <w14:textFill>
        <w14:solidFill>
          <w14:schemeClr w14:val="tx1"/>
        </w14:solidFill>
      </w14:textFill>
    </w:rPr>
  </w:style>
  <w:style w:type="character" w:customStyle="1" w:styleId="18">
    <w:name w:val="标题 4 字符"/>
    <w:basedOn w:val="13"/>
    <w:link w:val="5"/>
    <w:uiPriority w:val="9"/>
    <w:rPr>
      <w:rFonts w:ascii="Times New Roman" w:hAnsi="Times New Roman" w:eastAsia="仿宋" w:cstheme="majorBidi"/>
      <w:bCs/>
      <w:kern w:val="0"/>
      <w:szCs w:val="28"/>
    </w:rPr>
  </w:style>
  <w:style w:type="character" w:customStyle="1" w:styleId="19">
    <w:name w:val="脚注文本 字符"/>
    <w:basedOn w:val="13"/>
    <w:link w:val="10"/>
    <w:qFormat/>
    <w:uiPriority w:val="99"/>
    <w:rPr>
      <w:rFonts w:ascii="Times New Roman" w:hAnsi="Times New Roman" w:eastAsia="仿宋"/>
      <w:kern w:val="0"/>
      <w:sz w:val="18"/>
      <w:szCs w:val="18"/>
    </w:rPr>
  </w:style>
  <w:style w:type="character" w:customStyle="1" w:styleId="20">
    <w:name w:val="页眉 字符"/>
    <w:basedOn w:val="13"/>
    <w:link w:val="8"/>
    <w:uiPriority w:val="99"/>
    <w:rPr>
      <w:rFonts w:ascii="Times New Roman" w:hAnsi="Times New Roman" w:eastAsia="仿宋" w:cs="宋体"/>
      <w:kern w:val="0"/>
      <w:sz w:val="18"/>
      <w:szCs w:val="18"/>
    </w:rPr>
  </w:style>
  <w:style w:type="character" w:customStyle="1" w:styleId="21">
    <w:name w:val="页脚 字符"/>
    <w:basedOn w:val="13"/>
    <w:link w:val="7"/>
    <w:uiPriority w:val="99"/>
    <w:rPr>
      <w:rFonts w:ascii="Times New Roman" w:hAnsi="Times New Roman" w:eastAsia="仿宋" w:cs="宋体"/>
      <w:kern w:val="0"/>
      <w:sz w:val="18"/>
      <w:szCs w:val="18"/>
    </w:rPr>
  </w:style>
  <w:style w:type="character" w:customStyle="1" w:styleId="22">
    <w:name w:val="标题 1 字符"/>
    <w:basedOn w:val="13"/>
    <w:link w:val="2"/>
    <w:uiPriority w:val="9"/>
    <w:rPr>
      <w:rFonts w:ascii="Times New Roman" w:hAnsi="Times New Roman" w:eastAsia="仿宋" w:cs="宋体"/>
      <w:b/>
      <w:bCs/>
      <w:kern w:val="44"/>
      <w:sz w:val="44"/>
      <w:szCs w:val="44"/>
    </w:rPr>
  </w:style>
  <w:style w:type="paragraph" w:customStyle="1" w:styleId="23">
    <w:name w:val="TOC 标题1"/>
    <w:basedOn w:val="2"/>
    <w:next w:val="1"/>
    <w:unhideWhenUsed/>
    <w:qFormat/>
    <w:uiPriority w:val="39"/>
    <w:pPr>
      <w:spacing w:before="240" w:after="0" w:line="259" w:lineRule="auto"/>
      <w:outlineLvl w:val="9"/>
    </w:pPr>
    <w:rPr>
      <w:rFonts w:asciiTheme="majorHAnsi" w:hAnsiTheme="majorHAnsi" w:eastAsiaTheme="majorEastAsia" w:cstheme="majorBidi"/>
      <w:b w:val="0"/>
      <w:bCs w:val="0"/>
      <w:color w:val="2F5597"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1.w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2.xml"/><Relationship Id="rId48" Type="http://schemas.openxmlformats.org/officeDocument/2006/relationships/fontTable" Target="fontTable.xml"/><Relationship Id="rId47" Type="http://schemas.openxmlformats.org/officeDocument/2006/relationships/customXml" Target="../customXml/item2.xml"/><Relationship Id="rId46" Type="http://schemas.openxmlformats.org/officeDocument/2006/relationships/numbering" Target="numbering.xml"/><Relationship Id="rId45" Type="http://schemas.openxmlformats.org/officeDocument/2006/relationships/customXml" Target="../customXml/item1.xml"/><Relationship Id="rId44" Type="http://schemas.openxmlformats.org/officeDocument/2006/relationships/image" Target="media/image23.jpeg"/><Relationship Id="rId43" Type="http://schemas.openxmlformats.org/officeDocument/2006/relationships/image" Target="media/image22.jpeg"/><Relationship Id="rId42" Type="http://schemas.openxmlformats.org/officeDocument/2006/relationships/image" Target="media/image21.wmf"/><Relationship Id="rId41" Type="http://schemas.openxmlformats.org/officeDocument/2006/relationships/oleObject" Target="embeddings/oleObject14.bin"/><Relationship Id="rId40" Type="http://schemas.openxmlformats.org/officeDocument/2006/relationships/image" Target="media/image20.wmf"/><Relationship Id="rId4" Type="http://schemas.openxmlformats.org/officeDocument/2006/relationships/header" Target="header1.xml"/><Relationship Id="rId39" Type="http://schemas.openxmlformats.org/officeDocument/2006/relationships/oleObject" Target="embeddings/oleObject13.bin"/><Relationship Id="rId38" Type="http://schemas.openxmlformats.org/officeDocument/2006/relationships/image" Target="media/image19.wmf"/><Relationship Id="rId37" Type="http://schemas.openxmlformats.org/officeDocument/2006/relationships/oleObject" Target="embeddings/oleObject12.bin"/><Relationship Id="rId36" Type="http://schemas.openxmlformats.org/officeDocument/2006/relationships/image" Target="media/image18.wmf"/><Relationship Id="rId35" Type="http://schemas.openxmlformats.org/officeDocument/2006/relationships/oleObject" Target="embeddings/oleObject11.bin"/><Relationship Id="rId34" Type="http://schemas.openxmlformats.org/officeDocument/2006/relationships/image" Target="media/image17.wmf"/><Relationship Id="rId33" Type="http://schemas.openxmlformats.org/officeDocument/2006/relationships/oleObject" Target="embeddings/oleObject10.bin"/><Relationship Id="rId32" Type="http://schemas.openxmlformats.org/officeDocument/2006/relationships/image" Target="media/image16.wmf"/><Relationship Id="rId31" Type="http://schemas.openxmlformats.org/officeDocument/2006/relationships/oleObject" Target="embeddings/oleObject9.bin"/><Relationship Id="rId30" Type="http://schemas.openxmlformats.org/officeDocument/2006/relationships/image" Target="media/image15.wmf"/><Relationship Id="rId3" Type="http://schemas.openxmlformats.org/officeDocument/2006/relationships/footnotes" Target="footnotes.xml"/><Relationship Id="rId29" Type="http://schemas.openxmlformats.org/officeDocument/2006/relationships/oleObject" Target="embeddings/oleObject8.bin"/><Relationship Id="rId28" Type="http://schemas.openxmlformats.org/officeDocument/2006/relationships/image" Target="media/image14.wmf"/><Relationship Id="rId27" Type="http://schemas.openxmlformats.org/officeDocument/2006/relationships/oleObject" Target="embeddings/oleObject7.bin"/><Relationship Id="rId26" Type="http://schemas.openxmlformats.org/officeDocument/2006/relationships/image" Target="media/image13.wmf"/><Relationship Id="rId25" Type="http://schemas.openxmlformats.org/officeDocument/2006/relationships/oleObject" Target="embeddings/oleObject6.bin"/><Relationship Id="rId24" Type="http://schemas.openxmlformats.org/officeDocument/2006/relationships/image" Target="media/image12.png"/><Relationship Id="rId23" Type="http://schemas.openxmlformats.org/officeDocument/2006/relationships/image" Target="media/image11.png"/><Relationship Id="rId22" Type="http://schemas.openxmlformats.org/officeDocument/2006/relationships/image" Target="media/image10.png"/><Relationship Id="rId21" Type="http://schemas.openxmlformats.org/officeDocument/2006/relationships/image" Target="media/image9.png"/><Relationship Id="rId20" Type="http://schemas.openxmlformats.org/officeDocument/2006/relationships/image" Target="media/image8.png"/><Relationship Id="rId2" Type="http://schemas.openxmlformats.org/officeDocument/2006/relationships/settings" Target="settings.xml"/><Relationship Id="rId19" Type="http://schemas.openxmlformats.org/officeDocument/2006/relationships/image" Target="media/image7.png"/><Relationship Id="rId18" Type="http://schemas.openxmlformats.org/officeDocument/2006/relationships/image" Target="media/image6.png"/><Relationship Id="rId17" Type="http://schemas.openxmlformats.org/officeDocument/2006/relationships/image" Target="media/image5.wmf"/><Relationship Id="rId16" Type="http://schemas.openxmlformats.org/officeDocument/2006/relationships/oleObject" Target="embeddings/oleObject5.bin"/><Relationship Id="rId15" Type="http://schemas.openxmlformats.org/officeDocument/2006/relationships/image" Target="media/image4.wmf"/><Relationship Id="rId14" Type="http://schemas.openxmlformats.org/officeDocument/2006/relationships/oleObject" Target="embeddings/oleObject4.bin"/><Relationship Id="rId13" Type="http://schemas.openxmlformats.org/officeDocument/2006/relationships/image" Target="media/image3.wmf"/><Relationship Id="rId12" Type="http://schemas.openxmlformats.org/officeDocument/2006/relationships/oleObject" Target="embeddings/oleObject3.bin"/><Relationship Id="rId11" Type="http://schemas.openxmlformats.org/officeDocument/2006/relationships/image" Target="media/image2.wmf"/><Relationship Id="rId10" Type="http://schemas.openxmlformats.org/officeDocument/2006/relationships/oleObject" Target="embeddings/oleObject2.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8454EB-67A6-445F-96F0-0DAF7A190960}">
  <ds:schemaRefs/>
</ds:datastoreItem>
</file>

<file path=docProps/app.xml><?xml version="1.0" encoding="utf-8"?>
<Properties xmlns="http://schemas.openxmlformats.org/officeDocument/2006/extended-properties" xmlns:vt="http://schemas.openxmlformats.org/officeDocument/2006/docPropsVTypes">
  <Template>Normal</Template>
  <Pages>19</Pages>
  <Words>3917</Words>
  <Characters>22332</Characters>
  <Lines>186</Lines>
  <Paragraphs>52</Paragraphs>
  <TotalTime>5</TotalTime>
  <ScaleCrop>false</ScaleCrop>
  <LinksUpToDate>false</LinksUpToDate>
  <CharactersWithSpaces>26197</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2023-12-06T05:50:00Z</dcterms:created>
  <dc:creator>峤 王</dc:creator>
  <cp:lastModifiedBy>刘京</cp:lastModifiedBy>
  <dcterms:modified xsi:type="dcterms:W3CDTF">2024-03-25T07:39:58Z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9D89574B0A0B45C68CE0953E1759607A_12</vt:lpwstr>
  </property>
</Properties>
</file>