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仿宋" w:cs="Times New Roman"/>
          <w:sz w:val="15"/>
          <w:szCs w:val="15"/>
          <w:shd w:val="clear" w:color="auto" w:fill="FFFFFF"/>
        </w:rPr>
      </w:pPr>
    </w:p>
    <w:p>
      <w:pPr>
        <w:adjustRightInd w:val="0"/>
        <w:snapToGrid w:val="0"/>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环境规制的减污降碳协同效应</w:t>
      </w:r>
    </w:p>
    <w:p>
      <w:pPr>
        <w:adjustRightInd w:val="0"/>
        <w:snapToGrid w:val="0"/>
        <w:spacing w:line="360" w:lineRule="auto"/>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——来自清洁生产标准实施的准自然实验</w:t>
      </w:r>
    </w:p>
    <w:p>
      <w:pPr>
        <w:adjustRightInd w:val="0"/>
        <w:snapToGrid w:val="0"/>
        <w:spacing w:line="360" w:lineRule="auto"/>
        <w:jc w:val="center"/>
        <w:rPr>
          <w:rFonts w:hint="eastAsia" w:ascii="仿宋" w:hAnsi="仿宋" w:eastAsia="仿宋" w:cs="仿宋"/>
          <w:b/>
          <w:bCs/>
          <w:color w:val="000000"/>
          <w:sz w:val="32"/>
          <w:szCs w:val="32"/>
        </w:rPr>
      </w:pPr>
      <w:bookmarkStart w:id="21" w:name="_GoBack"/>
      <w:bookmarkEnd w:id="21"/>
    </w:p>
    <w:p>
      <w:pPr>
        <w:adjustRightInd w:val="0"/>
        <w:snapToGrid w:val="0"/>
        <w:jc w:val="center"/>
        <w:rPr>
          <w:rFonts w:ascii="Times New Roman" w:hAnsi="Times New Roman" w:eastAsia="楷体" w:cs="Times New Roman"/>
          <w:color w:val="000000"/>
          <w:sz w:val="28"/>
          <w:szCs w:val="28"/>
        </w:rPr>
      </w:pPr>
      <w:r>
        <w:rPr>
          <w:rFonts w:ascii="Times New Roman" w:hAnsi="Times New Roman" w:eastAsia="楷体" w:cs="Times New Roman"/>
          <w:color w:val="000000"/>
          <w:sz w:val="28"/>
          <w:szCs w:val="28"/>
        </w:rPr>
        <w:t>孙博文  郑世林</w:t>
      </w:r>
    </w:p>
    <w:p>
      <w:pPr>
        <w:adjustRightInd w:val="0"/>
        <w:snapToGrid w:val="0"/>
        <w:rPr>
          <w:rFonts w:ascii="Times New Roman" w:hAnsi="Times New Roman" w:eastAsia="仿宋" w:cs="Times New Roman"/>
          <w:sz w:val="15"/>
          <w:szCs w:val="15"/>
          <w:shd w:val="clear" w:color="auto" w:fill="FFFFFF"/>
        </w:rPr>
      </w:pPr>
      <w:r>
        <w:rPr>
          <w:rFonts w:ascii="Times New Roman" w:hAnsi="Times New Roman" w:eastAsia="华文仿宋" w:cs="Times New Roman"/>
          <w:color w:val="000000"/>
          <w:sz w:val="30"/>
          <w:szCs w:val="30"/>
        </w:rPr>
        <w:t xml:space="preserve"> </w:t>
      </w: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jc w:val="center"/>
        <w:rPr>
          <w:rFonts w:hint="eastAsia" w:ascii="仿宋" w:hAnsi="仿宋" w:eastAsia="仿宋" w:cs="仿宋"/>
          <w:b/>
          <w:bCs/>
          <w:sz w:val="28"/>
          <w:szCs w:val="28"/>
          <w:shd w:val="clear" w:color="auto" w:fill="FFFFFF"/>
          <w:lang w:eastAsia="zh-CN"/>
        </w:rPr>
      </w:pPr>
      <w:r>
        <w:rPr>
          <w:rFonts w:hint="eastAsia" w:ascii="仿宋" w:hAnsi="仿宋" w:eastAsia="仿宋" w:cs="仿宋"/>
          <w:b/>
          <w:bCs/>
          <w:color w:val="000000"/>
          <w:sz w:val="28"/>
          <w:szCs w:val="28"/>
          <w:lang w:val="en-US" w:eastAsia="zh-CN"/>
        </w:rPr>
        <w:t>目录</w:t>
      </w: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sdt>
      <w:sdtPr>
        <w:rPr>
          <w:rFonts w:ascii="Times New Roman" w:hAnsi="Times New Roman" w:cs="Times New Roman" w:eastAsiaTheme="minorEastAsia"/>
          <w:color w:val="auto"/>
          <w:kern w:val="2"/>
          <w:sz w:val="21"/>
          <w:szCs w:val="22"/>
          <w:lang w:val="zh-CN"/>
        </w:rPr>
        <w:id w:val="-956330452"/>
        <w:docPartObj>
          <w:docPartGallery w:val="Table of Contents"/>
          <w:docPartUnique/>
        </w:docPartObj>
      </w:sdtPr>
      <w:sdtEndPr>
        <w:rPr>
          <w:rFonts w:ascii="Times New Roman" w:hAnsi="Times New Roman" w:cs="Times New Roman" w:eastAsiaTheme="minorEastAsia"/>
          <w:b/>
          <w:bCs/>
          <w:color w:val="auto"/>
          <w:kern w:val="2"/>
          <w:sz w:val="21"/>
          <w:szCs w:val="22"/>
          <w:lang w:val="zh-CN"/>
        </w:rPr>
      </w:sdtEndPr>
      <w:sdtContent>
        <w:p>
          <w:pPr>
            <w:pStyle w:val="85"/>
            <w:rPr>
              <w:rFonts w:ascii="Times New Roman" w:hAnsi="Times New Roman" w:cs="Times New Roman"/>
            </w:rPr>
          </w:pPr>
        </w:p>
        <w:p>
          <w:pPr>
            <w:pStyle w:val="17"/>
            <w:rPr>
              <w:rFonts w:hint="eastAsia" w:ascii="仿宋" w:hAnsi="仿宋" w:eastAsia="仿宋" w:cs="仿宋"/>
              <w:sz w:val="22"/>
              <w:szCs w:val="22"/>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"_Toc160282108" </w:instrText>
          </w:r>
          <w:r>
            <w:rPr>
              <w:rFonts w:hint="eastAsia" w:ascii="仿宋" w:hAnsi="仿宋" w:eastAsia="仿宋" w:cs="仿宋"/>
              <w:sz w:val="22"/>
              <w:szCs w:val="22"/>
            </w:rPr>
            <w:fldChar w:fldCharType="separate"/>
          </w:r>
          <w:r>
            <w:rPr>
              <w:rStyle w:val="31"/>
              <w:rFonts w:hint="eastAsia" w:ascii="仿宋" w:hAnsi="仿宋" w:eastAsia="仿宋" w:cs="仿宋"/>
              <w:sz w:val="22"/>
              <w:szCs w:val="22"/>
            </w:rPr>
            <w:t xml:space="preserve">附录I </w:t>
          </w:r>
          <w:r>
            <w:rPr>
              <w:rStyle w:val="31"/>
              <w:rFonts w:hint="eastAsia" w:ascii="仿宋" w:hAnsi="仿宋" w:eastAsia="仿宋" w:cs="仿宋"/>
              <w:sz w:val="22"/>
              <w:szCs w:val="22"/>
              <w:lang w:val="en-US" w:eastAsia="zh-CN"/>
            </w:rPr>
            <w:t xml:space="preserve"> </w:t>
          </w:r>
          <w:r>
            <w:rPr>
              <w:rStyle w:val="31"/>
              <w:rFonts w:hint="eastAsia" w:ascii="仿宋" w:hAnsi="仿宋" w:eastAsia="仿宋" w:cs="仿宋"/>
              <w:sz w:val="22"/>
              <w:szCs w:val="22"/>
            </w:rPr>
            <w:t>部分稳健性分析</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p>
        <w:p>
          <w:pPr>
            <w:pStyle w:val="17"/>
            <w:rPr>
              <w:rFonts w:ascii="Times New Roman" w:hAnsi="Times New Roman"/>
              <w:sz w:val="28"/>
              <w:szCs w:val="32"/>
              <w14:ligatures w14:val="standardContextual"/>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"_Toc160282115" </w:instrText>
          </w:r>
          <w:r>
            <w:rPr>
              <w:rFonts w:hint="eastAsia" w:ascii="仿宋" w:hAnsi="仿宋" w:eastAsia="仿宋" w:cs="仿宋"/>
              <w:sz w:val="22"/>
              <w:szCs w:val="22"/>
            </w:rPr>
            <w:fldChar w:fldCharType="separate"/>
          </w:r>
          <w:r>
            <w:rPr>
              <w:rStyle w:val="31"/>
              <w:rFonts w:hint="eastAsia" w:ascii="仿宋" w:hAnsi="仿宋" w:eastAsia="仿宋" w:cs="仿宋"/>
              <w:sz w:val="22"/>
              <w:szCs w:val="22"/>
            </w:rPr>
            <w:t>附录II 异质性分析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_Toc160282115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20"/>
            <w:tabs>
              <w:tab w:val="right" w:leader="dot" w:pos="8302"/>
            </w:tabs>
            <w:ind w:left="396"/>
            <w:rPr>
              <w:rFonts w:ascii="Times New Roman" w:hAnsi="Times New Roman" w:cs="Times New Roman"/>
              <w:sz w:val="22"/>
              <w:szCs w:val="24"/>
              <w14:ligatures w14:val="standardContextual"/>
            </w:rPr>
          </w:pPr>
        </w:p>
        <w:p>
          <w:pPr>
            <w:rPr>
              <w:rFonts w:ascii="Times New Roman" w:hAnsi="Times New Roman" w:cs="Times New Roman"/>
            </w:rPr>
          </w:pPr>
          <w:r>
            <w:rPr>
              <w:rFonts w:ascii="Times New Roman" w:hAnsi="Times New Roman" w:cs="Times New Roman"/>
              <w:b/>
              <w:bCs/>
              <w:lang w:val="zh-CN"/>
            </w:rPr>
            <w:fldChar w:fldCharType="end"/>
          </w:r>
        </w:p>
      </w:sdtContent>
    </w:sdt>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adjustRightInd w:val="0"/>
        <w:snapToGrid w:val="0"/>
        <w:rPr>
          <w:rFonts w:ascii="Times New Roman" w:hAnsi="Times New Roman" w:eastAsia="仿宋" w:cs="Times New Roman"/>
          <w:sz w:val="15"/>
          <w:szCs w:val="15"/>
          <w:shd w:val="clear" w:color="auto" w:fill="FFFFFF"/>
        </w:rPr>
      </w:pPr>
    </w:p>
    <w:p>
      <w:pPr>
        <w:pStyle w:val="2"/>
        <w:rPr>
          <w:rFonts w:ascii="Times New Roman" w:hAnsi="Times New Roman" w:eastAsia="等线 Light" w:cs="Times New Roman"/>
          <w:color w:val="000000"/>
          <w:sz w:val="24"/>
          <w:szCs w:val="24"/>
        </w:rPr>
        <w:sectPr>
          <w:headerReference r:id="rId4" w:type="default"/>
          <w:footnotePr>
            <w:numFmt w:val="decimalEnclosedCircleChinese"/>
            <w:numRestart w:val="eachPage"/>
          </w:footnotePr>
          <w:endnotePr>
            <w:numFmt w:val="decimalEnclosedCircleChinese"/>
          </w:endnotePr>
          <w:pgSz w:w="11906" w:h="16838"/>
          <w:pgMar w:top="1440" w:right="1797" w:bottom="1440" w:left="1797" w:header="851" w:footer="992" w:gutter="0"/>
          <w:cols w:space="425" w:num="1"/>
          <w:docGrid w:type="linesAndChars" w:linePitch="357" w:charSpace="-2478"/>
        </w:sectPr>
      </w:pPr>
      <w:bookmarkStart w:id="0" w:name="_Toc160281481"/>
      <w:bookmarkStart w:id="1" w:name="_Toc160282108"/>
    </w:p>
    <w:p>
      <w:pPr>
        <w:bidi w:val="0"/>
        <w:jc w:val="center"/>
        <w:rPr>
          <w:rFonts w:hint="eastAsia" w:ascii="楷体" w:hAnsi="楷体" w:eastAsia="楷体" w:cs="楷体"/>
          <w:sz w:val="28"/>
          <w:szCs w:val="28"/>
        </w:rPr>
      </w:pPr>
      <w:r>
        <w:rPr>
          <w:rFonts w:hint="eastAsia" w:ascii="楷体" w:hAnsi="楷体" w:eastAsia="楷体" w:cs="楷体"/>
          <w:sz w:val="28"/>
          <w:szCs w:val="28"/>
        </w:rPr>
        <w:t>附录I 部分稳健性分析</w:t>
      </w:r>
      <w:bookmarkEnd w:id="0"/>
      <w:bookmarkEnd w:id="1"/>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2" w:name="_Toc160282109"/>
      <w:r>
        <w:rPr>
          <w:rFonts w:ascii="Times New Roman" w:hAnsi="Times New Roman" w:eastAsia="仿宋" w:cs="Times New Roman"/>
          <w:b/>
          <w:bCs/>
          <w:color w:val="auto"/>
          <w:kern w:val="0"/>
          <w:sz w:val="21"/>
          <w:szCs w:val="21"/>
        </w:rPr>
        <w:t>1.克服样本选择问题</w:t>
      </w:r>
      <w:bookmarkEnd w:id="2"/>
    </w:p>
    <w:p>
      <w:pPr>
        <w:ind w:firstLine="396" w:firstLineChars="200"/>
        <w:rPr>
          <w:rFonts w:ascii="Times New Roman" w:hAnsi="Times New Roman" w:eastAsia="等线 Light" w:cs="Times New Roman"/>
          <w:color w:val="000000"/>
          <w:sz w:val="24"/>
          <w:szCs w:val="24"/>
        </w:rPr>
      </w:pPr>
      <w:r>
        <w:rPr>
          <w:rFonts w:ascii="Times New Roman" w:hAnsi="Times New Roman" w:eastAsia="仿宋" w:cs="Times New Roman"/>
          <w:szCs w:val="21"/>
        </w:rPr>
        <w:t>在强制性清洁生产政策审核下，由于“污染避难所效应”的存在，一些“双超”“双有”企业为规避环境规制而选择迁移，或者调整业务发展其他行业关联业务</w:t>
      </w:r>
      <w:r>
        <w:rPr>
          <w:rFonts w:ascii="Times New Roman" w:hAnsi="Times New Roman" w:eastAsia="仿宋" w:cs="Times New Roman"/>
          <w:kern w:val="0"/>
          <w:szCs w:val="21"/>
        </w:rPr>
        <w:t>（Li</w:t>
      </w:r>
      <w:r>
        <w:rPr>
          <w:rFonts w:ascii="Times New Roman" w:hAnsi="Times New Roman" w:eastAsia="仿宋" w:cs="Times New Roman"/>
          <w:i/>
          <w:iCs/>
          <w:kern w:val="0"/>
          <w:szCs w:val="21"/>
        </w:rPr>
        <w:t xml:space="preserve"> </w:t>
      </w:r>
      <w:r>
        <w:rPr>
          <w:rFonts w:ascii="Times New Roman" w:hAnsi="Times New Roman" w:eastAsia="仿宋" w:cs="Times New Roman"/>
          <w:i w:val="0"/>
          <w:iCs w:val="0"/>
          <w:kern w:val="0"/>
          <w:szCs w:val="21"/>
        </w:rPr>
        <w:t>et al</w:t>
      </w:r>
      <w:r>
        <w:rPr>
          <w:rFonts w:ascii="Times New Roman" w:hAnsi="Times New Roman" w:eastAsia="仿宋" w:cs="Times New Roman"/>
          <w:kern w:val="0"/>
          <w:szCs w:val="21"/>
        </w:rPr>
        <w:t>.,2021）</w:t>
      </w:r>
      <w:r>
        <w:rPr>
          <w:rFonts w:ascii="Times New Roman" w:hAnsi="Times New Roman" w:eastAsia="仿宋" w:cs="Times New Roman"/>
          <w:szCs w:val="21"/>
        </w:rPr>
        <w:t>，</w:t>
      </w:r>
      <w:r>
        <w:rPr>
          <w:rFonts w:ascii="Times New Roman" w:hAnsi="Times New Roman" w:eastAsia="仿宋" w:cs="Times New Roman"/>
          <w:kern w:val="0"/>
          <w:szCs w:val="21"/>
        </w:rPr>
        <w:t>企业迁移和行业更换</w:t>
      </w:r>
      <w:r>
        <w:rPr>
          <w:rFonts w:ascii="Times New Roman" w:hAnsi="Times New Roman" w:eastAsia="仿宋" w:cs="Times New Roman"/>
          <w:szCs w:val="21"/>
        </w:rPr>
        <w:t>下的样本选择问题会造成估计偏误。本文基准模型已对四位数行业固定效应进行了控制，除此之外，考虑到存在两位数行业代码调整的情况</w:t>
      </w:r>
      <w:r>
        <w:rPr>
          <w:rStyle w:val="33"/>
          <w:rFonts w:ascii="Times New Roman" w:hAnsi="Times New Roman" w:eastAsia="仿宋" w:cs="Times New Roman"/>
          <w:szCs w:val="21"/>
        </w:rPr>
        <w:footnoteReference w:id="0"/>
      </w:r>
      <w:r>
        <w:rPr>
          <w:rFonts w:ascii="Times New Roman" w:hAnsi="Times New Roman" w:eastAsia="仿宋" w:cs="Times New Roman"/>
          <w:szCs w:val="21"/>
        </w:rPr>
        <w:t>，表I1中，列（1）和列（2）还控制了两位数行业固定效应。考虑到企业迁移往往需要一定的调整时间，为排除企业迁移因素影响，列（3）和列（4）仅保留政策冲击前后3期窗口样本，即τ</w:t>
      </w:r>
      <w:r>
        <w:rPr>
          <w:rFonts w:hint="eastAsia" w:ascii="宋体" w:hAnsi="宋体" w:eastAsia="宋体" w:cs="宋体"/>
          <w:szCs w:val="21"/>
        </w:rPr>
        <w:t>∈</w:t>
      </w:r>
      <w:r>
        <w:rPr>
          <w:rFonts w:ascii="Times New Roman" w:hAnsi="Times New Roman" w:eastAsia="仿宋" w:cs="Times New Roman"/>
          <w:szCs w:val="21"/>
        </w:rPr>
        <w:t>[-3,3]。进一步，列（5）和列（6）剔除了样本期间两位数及四位数行业代码发生变更的企业样本。最终结果显示，清洁生产标准实施系数均显著为负，结论稳健。</w:t>
      </w:r>
      <w:r>
        <w:rPr>
          <w:rFonts w:ascii="Times New Roman" w:hAnsi="Times New Roman" w:eastAsia="等线 Light" w:cs="Times New Roman"/>
          <w:color w:val="000000"/>
          <w:sz w:val="24"/>
          <w:szCs w:val="24"/>
        </w:rPr>
        <w:t xml:space="preserve"> </w:t>
      </w:r>
    </w:p>
    <w:p>
      <w:pPr>
        <w:ind w:firstLine="456" w:firstLineChars="200"/>
        <w:rPr>
          <w:rFonts w:ascii="Times New Roman" w:hAnsi="Times New Roman" w:eastAsia="等线 Light" w:cs="Times New Roman"/>
          <w:color w:val="000000"/>
          <w:sz w:val="24"/>
          <w:szCs w:val="24"/>
        </w:rPr>
      </w:pPr>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3" w:name="_Toc160282110"/>
      <w:r>
        <w:rPr>
          <w:rFonts w:ascii="Times New Roman" w:hAnsi="Times New Roman" w:eastAsia="仿宋" w:cs="Times New Roman"/>
          <w:b/>
          <w:bCs/>
          <w:color w:val="auto"/>
          <w:kern w:val="0"/>
          <w:sz w:val="21"/>
          <w:szCs w:val="21"/>
        </w:rPr>
        <w:t>2.确保政策随机外生</w:t>
      </w:r>
      <w:bookmarkEnd w:id="3"/>
    </w:p>
    <w:p>
      <w:pPr>
        <w:autoSpaceDE w:val="0"/>
        <w:autoSpaceDN w:val="0"/>
        <w:ind w:firstLine="396" w:firstLineChars="200"/>
        <w:rPr>
          <w:rFonts w:ascii="Times New Roman" w:hAnsi="Times New Roman" w:eastAsia="仿宋" w:cs="Times New Roman"/>
          <w:szCs w:val="21"/>
        </w:rPr>
      </w:pPr>
      <w:r>
        <w:rPr>
          <w:rFonts w:ascii="Times New Roman" w:hAnsi="Times New Roman" w:eastAsia="仿宋" w:cs="Times New Roman"/>
          <w:szCs w:val="21"/>
        </w:rPr>
        <w:t>清洁生产标准实施可能并非严格外生，还受到其他因素影响。清洁生产标准实施对象是“双超”“双有”和高耗能企业</w:t>
      </w:r>
      <w:bookmarkStart w:id="4" w:name="_Hlk86697212"/>
      <w:r>
        <w:rPr>
          <w:rFonts w:ascii="Times New Roman" w:hAnsi="Times New Roman" w:eastAsia="仿宋" w:cs="Times New Roman"/>
          <w:szCs w:val="21"/>
        </w:rPr>
        <w:t>，一些关乎企业污染与碳排放的能耗、经济和技术指标可能会影响企业受到清洁生产标准规制情况，导致估计偏误。因此，借鉴Lu</w:t>
      </w:r>
      <w:r>
        <w:rPr>
          <w:rFonts w:ascii="Times New Roman" w:hAnsi="Times New Roman" w:eastAsia="仿宋" w:cs="Times New Roman"/>
          <w:i/>
          <w:iCs/>
          <w:szCs w:val="21"/>
        </w:rPr>
        <w:t xml:space="preserve"> </w:t>
      </w:r>
      <w:r>
        <w:rPr>
          <w:rFonts w:ascii="Times New Roman" w:hAnsi="Times New Roman" w:eastAsia="仿宋" w:cs="Times New Roman"/>
          <w:i w:val="0"/>
          <w:iCs w:val="0"/>
          <w:szCs w:val="21"/>
        </w:rPr>
        <w:t>et al.</w:t>
      </w:r>
      <w:r>
        <w:rPr>
          <w:rFonts w:ascii="Times New Roman" w:hAnsi="Times New Roman" w:eastAsia="仿宋" w:cs="Times New Roman"/>
          <w:szCs w:val="21"/>
        </w:rPr>
        <w:t>(2017)的做法，进一步在模型中控制可能影响清洁生产政策制定者对清洁生产标准产业选择的因素。根据清洁生产促进法及有关清洁生产审核规定，提取了可能影响清洁生产政策实施的有关前定变量，包括政策最早冲击年份前一年（2002年）四位数行业特征变量：行业工资水平、行业资产份额、行业污水排放、行业粉尘排放、行业就业份额等。将清洁生产标准实施变量对其回归，发现清洁生产标准实施与行业污水排放、行业粉尘排放、行业工资水平和行业资产份额显著有关。因此，影响清洁生产标准实施的前定变量Z</w:t>
      </w:r>
      <w:r>
        <w:rPr>
          <w:rFonts w:ascii="Times New Roman" w:hAnsi="Times New Roman" w:eastAsia="仿宋" w:cs="Times New Roman"/>
          <w:szCs w:val="21"/>
          <w:vertAlign w:val="subscript"/>
        </w:rPr>
        <w:t>2002</w:t>
      </w:r>
      <w:r>
        <w:rPr>
          <w:rFonts w:ascii="Times New Roman" w:hAnsi="Times New Roman" w:eastAsia="仿宋" w:cs="Times New Roman"/>
          <w:szCs w:val="21"/>
        </w:rPr>
        <w:t>应包括行业粉尘排放ln</w:t>
      </w:r>
      <w:r>
        <w:rPr>
          <w:rFonts w:ascii="Times New Roman" w:hAnsi="Times New Roman" w:eastAsia="仿宋" w:cs="Times New Roman"/>
          <w:i/>
          <w:iCs/>
          <w:szCs w:val="21"/>
        </w:rPr>
        <w:t>cic_soot</w:t>
      </w:r>
      <w:r>
        <w:rPr>
          <w:rFonts w:ascii="Times New Roman" w:hAnsi="Times New Roman" w:eastAsia="仿宋" w:cs="Times New Roman"/>
          <w:i/>
          <w:iCs/>
          <w:szCs w:val="21"/>
          <w:vertAlign w:val="subscript"/>
        </w:rPr>
        <w:t>2002</w:t>
      </w:r>
      <w:r>
        <w:rPr>
          <w:rFonts w:ascii="Times New Roman" w:hAnsi="Times New Roman" w:eastAsia="仿宋" w:cs="Times New Roman"/>
          <w:szCs w:val="21"/>
        </w:rPr>
        <w:t>、行业污水排放ln</w:t>
      </w:r>
      <w:r>
        <w:rPr>
          <w:rFonts w:ascii="Times New Roman" w:hAnsi="Times New Roman" w:eastAsia="仿宋" w:cs="Times New Roman"/>
          <w:i/>
          <w:iCs/>
          <w:szCs w:val="21"/>
        </w:rPr>
        <w:t>cic_COD</w:t>
      </w:r>
      <w:r>
        <w:rPr>
          <w:rFonts w:ascii="Times New Roman" w:hAnsi="Times New Roman" w:eastAsia="仿宋" w:cs="Times New Roman"/>
          <w:i/>
          <w:iCs/>
          <w:szCs w:val="21"/>
          <w:vertAlign w:val="subscript"/>
        </w:rPr>
        <w:t>2002</w:t>
      </w:r>
      <w:r>
        <w:rPr>
          <w:rFonts w:ascii="Times New Roman" w:hAnsi="Times New Roman" w:eastAsia="仿宋" w:cs="Times New Roman"/>
          <w:szCs w:val="21"/>
        </w:rPr>
        <w:t>、行业工资水平ln</w:t>
      </w:r>
      <w:r>
        <w:rPr>
          <w:rFonts w:ascii="Times New Roman" w:hAnsi="Times New Roman" w:eastAsia="仿宋" w:cs="Times New Roman"/>
          <w:i/>
          <w:iCs/>
          <w:szCs w:val="21"/>
        </w:rPr>
        <w:t xml:space="preserve">cic_wage </w:t>
      </w:r>
      <w:r>
        <w:rPr>
          <w:rFonts w:ascii="Times New Roman" w:hAnsi="Times New Roman" w:eastAsia="仿宋" w:cs="Times New Roman"/>
          <w:i/>
          <w:iCs/>
          <w:szCs w:val="21"/>
          <w:vertAlign w:val="subscript"/>
        </w:rPr>
        <w:t>2002</w:t>
      </w:r>
      <w:r>
        <w:rPr>
          <w:rFonts w:ascii="Times New Roman" w:hAnsi="Times New Roman" w:eastAsia="仿宋" w:cs="Times New Roman"/>
          <w:szCs w:val="21"/>
        </w:rPr>
        <w:t>、行业资产份额ln</w:t>
      </w:r>
      <w:r>
        <w:rPr>
          <w:rFonts w:ascii="Times New Roman" w:hAnsi="Times New Roman" w:eastAsia="仿宋" w:cs="Times New Roman"/>
          <w:i/>
          <w:iCs/>
          <w:szCs w:val="21"/>
        </w:rPr>
        <w:t xml:space="preserve">cic_k </w:t>
      </w:r>
      <w:r>
        <w:rPr>
          <w:rFonts w:ascii="Times New Roman" w:hAnsi="Times New Roman" w:eastAsia="仿宋" w:cs="Times New Roman"/>
          <w:i/>
          <w:iCs/>
          <w:szCs w:val="21"/>
          <w:vertAlign w:val="subscript"/>
        </w:rPr>
        <w:t>2002</w:t>
      </w:r>
      <w:r>
        <w:rPr>
          <w:rFonts w:ascii="Times New Roman" w:hAnsi="Times New Roman" w:eastAsia="仿宋" w:cs="Times New Roman"/>
          <w:szCs w:val="21"/>
        </w:rPr>
        <w:t>，进而在基准回归的基础上加入Z</w:t>
      </w:r>
      <w:r>
        <w:rPr>
          <w:rFonts w:ascii="Times New Roman" w:hAnsi="Times New Roman" w:eastAsia="仿宋" w:cs="Times New Roman"/>
          <w:szCs w:val="21"/>
          <w:vertAlign w:val="subscript"/>
        </w:rPr>
        <w:t>2002</w:t>
      </w:r>
      <w:r>
        <w:rPr>
          <w:rFonts w:ascii="Times New Roman" w:hAnsi="Times New Roman" w:eastAsia="仿宋" w:cs="Times New Roman"/>
          <w:szCs w:val="21"/>
        </w:rPr>
        <w:t>与年份的交叉项。表I1中，列（7）和列（8）报告了回归结果，发现减污降碳效应同样显著，但系数绝对值有所下降。</w:t>
      </w:r>
    </w:p>
    <w:p>
      <w:pPr>
        <w:snapToGrid w:val="0"/>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表I1 克服样本选择问题及确保政策随机外生</w:t>
      </w:r>
    </w:p>
    <w:tbl>
      <w:tblPr>
        <w:tblStyle w:val="24"/>
        <w:tblW w:w="5000" w:type="pct"/>
        <w:jc w:val="center"/>
        <w:tblLayout w:type="autofit"/>
        <w:tblCellMar>
          <w:top w:w="0" w:type="dxa"/>
          <w:left w:w="75" w:type="dxa"/>
          <w:bottom w:w="0" w:type="dxa"/>
          <w:right w:w="75" w:type="dxa"/>
        </w:tblCellMar>
      </w:tblPr>
      <w:tblGrid>
        <w:gridCol w:w="1650"/>
        <w:gridCol w:w="885"/>
        <w:gridCol w:w="885"/>
        <w:gridCol w:w="885"/>
        <w:gridCol w:w="795"/>
        <w:gridCol w:w="885"/>
        <w:gridCol w:w="795"/>
        <w:gridCol w:w="886"/>
        <w:gridCol w:w="796"/>
      </w:tblGrid>
      <w:tr>
        <w:trPr>
          <w:cantSplit/>
          <w:jc w:val="center"/>
        </w:trPr>
        <w:tc>
          <w:tcPr>
            <w:tcW w:w="975" w:type="pct"/>
            <w:vMerge w:val="restart"/>
            <w:tcBorders>
              <w:top w:val="single" w:color="auto" w:sz="8" w:space="0"/>
              <w:left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523"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523"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523"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470"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523"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470"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c>
          <w:tcPr>
            <w:tcW w:w="523"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w:t>
            </w:r>
          </w:p>
        </w:tc>
        <w:tc>
          <w:tcPr>
            <w:tcW w:w="470"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w:t>
            </w:r>
          </w:p>
        </w:tc>
      </w:tr>
      <w:tr>
        <w:tblPrEx>
          <w:tblCellMar>
            <w:top w:w="0" w:type="dxa"/>
            <w:left w:w="75" w:type="dxa"/>
            <w:bottom w:w="0" w:type="dxa"/>
            <w:right w:w="75" w:type="dxa"/>
          </w:tblCellMar>
        </w:tblPrEx>
        <w:trPr>
          <w:cantSplit/>
          <w:jc w:val="center"/>
        </w:trPr>
        <w:tc>
          <w:tcPr>
            <w:tcW w:w="975" w:type="pct"/>
            <w:vMerge w:val="continue"/>
            <w:tcBorders>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523"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523"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CO</w:t>
            </w:r>
            <w:r>
              <w:rPr>
                <w:rFonts w:ascii="Times New Roman" w:hAnsi="Times New Roman" w:eastAsia="仿宋" w:cs="Times New Roman"/>
                <w:i/>
                <w:iCs/>
                <w:kern w:val="0"/>
                <w:sz w:val="18"/>
                <w:szCs w:val="18"/>
                <w:vertAlign w:val="subscript"/>
              </w:rPr>
              <w:t>2</w:t>
            </w:r>
          </w:p>
        </w:tc>
        <w:tc>
          <w:tcPr>
            <w:tcW w:w="523"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470"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CO</w:t>
            </w:r>
            <w:r>
              <w:rPr>
                <w:rFonts w:ascii="Times New Roman" w:hAnsi="Times New Roman" w:eastAsia="仿宋" w:cs="Times New Roman"/>
                <w:i/>
                <w:iCs/>
                <w:kern w:val="0"/>
                <w:sz w:val="18"/>
                <w:szCs w:val="18"/>
                <w:vertAlign w:val="subscript"/>
              </w:rPr>
              <w:t>2</w:t>
            </w:r>
          </w:p>
        </w:tc>
        <w:tc>
          <w:tcPr>
            <w:tcW w:w="523"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470"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CO</w:t>
            </w:r>
            <w:r>
              <w:rPr>
                <w:rFonts w:ascii="Times New Roman" w:hAnsi="Times New Roman" w:eastAsia="仿宋" w:cs="Times New Roman"/>
                <w:i/>
                <w:iCs/>
                <w:kern w:val="0"/>
                <w:sz w:val="18"/>
                <w:szCs w:val="18"/>
                <w:vertAlign w:val="subscript"/>
              </w:rPr>
              <w:t>2</w:t>
            </w:r>
          </w:p>
        </w:tc>
        <w:tc>
          <w:tcPr>
            <w:tcW w:w="523"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470"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CO</w:t>
            </w:r>
            <w:r>
              <w:rPr>
                <w:rFonts w:ascii="Times New Roman" w:hAnsi="Times New Roman" w:eastAsia="仿宋" w:cs="Times New Roman"/>
                <w:i/>
                <w:iCs/>
                <w:kern w:val="0"/>
                <w:sz w:val="18"/>
                <w:szCs w:val="18"/>
                <w:vertAlign w:val="subscript"/>
              </w:rPr>
              <w:t>2</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cps</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-0.169***</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-0.055***</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-0.210***</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-0.053**</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-0.127***</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-0.076**</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-0.122***</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-0.042**</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(0.031)</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(0.020)</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(0.029)</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(0.021)</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(0.049)</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(0.032)</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(0.033)</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(0.021)</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控制变量</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企业固定效应</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行业固定效应</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城市-年份固定效应</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975"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328,644</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394,487</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285,864</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349,080</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173,357</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203,655</w:t>
            </w:r>
          </w:p>
        </w:tc>
        <w:tc>
          <w:tcPr>
            <w:tcW w:w="523"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312,956</w:t>
            </w:r>
          </w:p>
        </w:tc>
        <w:tc>
          <w:tcPr>
            <w:tcW w:w="470"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371,653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975" w:type="pct"/>
            <w:tcBorders>
              <w:top w:val="nil"/>
              <w:left w:val="nil"/>
              <w:bottom w:val="single" w:color="auto" w:sz="8" w:space="0"/>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523"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0.855</w:t>
            </w:r>
          </w:p>
        </w:tc>
        <w:tc>
          <w:tcPr>
            <w:tcW w:w="523"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0.878</w:t>
            </w:r>
          </w:p>
        </w:tc>
        <w:tc>
          <w:tcPr>
            <w:tcW w:w="523"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0.861</w:t>
            </w:r>
          </w:p>
        </w:tc>
        <w:tc>
          <w:tcPr>
            <w:tcW w:w="470"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0.876</w:t>
            </w:r>
          </w:p>
        </w:tc>
        <w:tc>
          <w:tcPr>
            <w:tcW w:w="523"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0.882</w:t>
            </w:r>
          </w:p>
        </w:tc>
        <w:tc>
          <w:tcPr>
            <w:tcW w:w="470"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0.902</w:t>
            </w:r>
          </w:p>
        </w:tc>
        <w:tc>
          <w:tcPr>
            <w:tcW w:w="523"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0.856</w:t>
            </w:r>
          </w:p>
        </w:tc>
        <w:tc>
          <w:tcPr>
            <w:tcW w:w="470"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0.879</w:t>
            </w:r>
          </w:p>
        </w:tc>
      </w:tr>
    </w:tbl>
    <w:p>
      <w:pPr>
        <w:adjustRightInd w:val="0"/>
        <w:snapToGrid w:val="0"/>
        <w:ind w:firstLine="276" w:firstLineChars="200"/>
        <w:rPr>
          <w:rFonts w:ascii="Times New Roman" w:hAnsi="Times New Roman" w:eastAsia="宋体" w:cs="Times New Roman"/>
          <w:kern w:val="0"/>
          <w:sz w:val="15"/>
          <w:szCs w:val="15"/>
        </w:rPr>
      </w:pPr>
      <w:r>
        <w:rPr>
          <w:rFonts w:ascii="Times New Roman" w:hAnsi="Times New Roman" w:eastAsia="宋体" w:cs="Times New Roman"/>
          <w:kern w:val="0"/>
          <w:sz w:val="15"/>
          <w:szCs w:val="15"/>
        </w:rPr>
        <w:t>注：列（1）和列（2）控制了两位数和四位数行业固定效应，列（3）和列（4）进一步将样本限定在前后三期窗口样本，列（5）和列（6）则剔除了两位数及四位数行业代码发生变更的企业样本。</w:t>
      </w:r>
    </w:p>
    <w:bookmarkEnd w:id="4"/>
    <w:p>
      <w:pPr>
        <w:pStyle w:val="3"/>
        <w:keepNext w:val="0"/>
        <w:keepLines w:val="0"/>
        <w:widowControl/>
        <w:spacing w:before="178" w:beforeLines="50" w:after="0"/>
        <w:ind w:firstLine="396" w:firstLineChars="200"/>
        <w:jc w:val="left"/>
        <w:rPr>
          <w:rFonts w:ascii="Times New Roman" w:hAnsi="Times New Roman" w:eastAsia="仿宋" w:cs="Times New Roman"/>
          <w:b/>
          <w:bCs/>
          <w:color w:val="auto"/>
          <w:kern w:val="0"/>
          <w:sz w:val="21"/>
          <w:szCs w:val="21"/>
        </w:rPr>
      </w:pPr>
      <w:bookmarkStart w:id="5" w:name="_Toc160282111"/>
      <w:r>
        <w:rPr>
          <w:rFonts w:ascii="Times New Roman" w:hAnsi="Times New Roman" w:eastAsia="仿宋" w:cs="Times New Roman"/>
          <w:b/>
          <w:bCs/>
          <w:color w:val="auto"/>
          <w:kern w:val="0"/>
          <w:sz w:val="21"/>
          <w:szCs w:val="21"/>
        </w:rPr>
        <w:t>3.排除其他政策干扰</w:t>
      </w:r>
      <w:bookmarkEnd w:id="5"/>
    </w:p>
    <w:p>
      <w:pPr>
        <w:spacing w:before="178" w:beforeLines="50"/>
        <w:ind w:firstLine="594" w:firstLineChars="300"/>
        <w:rPr>
          <w:rFonts w:ascii="Times New Roman" w:hAnsi="Times New Roman" w:eastAsia="仿宋" w:cs="Times New Roman"/>
          <w:szCs w:val="21"/>
        </w:rPr>
      </w:pPr>
      <w:r>
        <w:rPr>
          <w:rFonts w:ascii="Times New Roman" w:hAnsi="Times New Roman" w:eastAsia="仿宋" w:cs="Times New Roman"/>
          <w:szCs w:val="21"/>
        </w:rPr>
        <w:t>除生态环境部历年出台的清洁生产标准之外，其他环境治理政策也可能对结果的稳健性造成影响。同本文方法设定，研究进一步采用了多时点DID方法对同时期其他有关外生政策冲击进行了设定，工作量巨大但尤为必要。</w:t>
      </w:r>
      <w:r>
        <w:rPr>
          <w:rFonts w:hint="eastAsia" w:ascii="宋体" w:hAnsi="宋体" w:eastAsia="宋体" w:cs="宋体"/>
          <w:b/>
          <w:bCs/>
          <w:szCs w:val="21"/>
        </w:rPr>
        <w:t>①</w:t>
      </w:r>
      <w:r>
        <w:rPr>
          <w:rFonts w:ascii="Times New Roman" w:hAnsi="Times New Roman" w:eastAsia="仿宋" w:cs="Times New Roman"/>
          <w:b/>
          <w:bCs/>
          <w:szCs w:val="21"/>
        </w:rPr>
        <w:t>“十一五”落后产能淘汰政策</w:t>
      </w:r>
      <w:r>
        <w:rPr>
          <w:rFonts w:ascii="Times New Roman" w:hAnsi="Times New Roman" w:eastAsia="仿宋" w:cs="Times New Roman"/>
          <w:szCs w:val="21"/>
        </w:rPr>
        <w:t>。2005年，“十一五”规划改变了以往浓度控制的思路，转而采取总量减排的规制思路，明确提出在“十一五”期末全国主要污染物（二氧化硫和化学需氧量）排放总量减少10%，并强调将总量目标实现纳入官员绩效考核。本文在对年份固定效应进行控制的基础上，需要从更具体行业层面排除“十一五”期间落后生产能力淘汰政策影响。分析可知，这一政策在2007年涉及四位数行业有炼钢炼铁（3220）和电解铝（3316），2008年涉及行业有造纸行业（2210）和味精制造业（1461）等。基于多时点DID政策设定方法构造“十一五”期间落后产能淘汰政策变量</w:t>
      </w:r>
      <w:r>
        <w:rPr>
          <w:rFonts w:ascii="Times New Roman" w:hAnsi="Times New Roman" w:eastAsia="仿宋" w:cs="Times New Roman"/>
          <w:i/>
          <w:iCs/>
          <w:szCs w:val="21"/>
        </w:rPr>
        <w:t>eli_policy</w:t>
      </w:r>
      <w:r>
        <w:rPr>
          <w:rFonts w:ascii="Times New Roman" w:hAnsi="Times New Roman" w:eastAsia="仿宋" w:cs="Times New Roman"/>
          <w:szCs w:val="21"/>
        </w:rPr>
        <w:t>。</w:t>
      </w:r>
      <w:r>
        <w:rPr>
          <w:rFonts w:hint="eastAsia" w:ascii="宋体" w:hAnsi="宋体" w:eastAsia="宋体" w:cs="宋体"/>
          <w:b/>
          <w:bCs/>
          <w:szCs w:val="21"/>
        </w:rPr>
        <w:t>②</w:t>
      </w:r>
      <w:r>
        <w:rPr>
          <w:rFonts w:ascii="Times New Roman" w:hAnsi="Times New Roman" w:eastAsia="仿宋" w:cs="Times New Roman"/>
          <w:b/>
          <w:bCs/>
          <w:szCs w:val="21"/>
        </w:rPr>
        <w:t>低碳城市试点政策。</w:t>
      </w:r>
      <w:r>
        <w:rPr>
          <w:rFonts w:ascii="Times New Roman" w:hAnsi="Times New Roman" w:eastAsia="仿宋" w:cs="Times New Roman"/>
          <w:szCs w:val="21"/>
        </w:rPr>
        <w:t>为落实中国气候行动目标以及控制温室气体排放，2010年国家发改委印发了《关于开展低碳省区和低碳城市试点工作的通知》，陆续启动了两批试点省市。第一批试点自2010年开始实施，包括广东、辽宁、湖北、陕西等省份与天津、重庆、深圳、厦门等城市（共包含82个城市），第二批试点自2013年开始实施，包括海南省及其他28个城市（共包含33个城市）。由于本文研究样本截至2012年，因此仅考虑第一批试点政策冲击的影响，构造低碳城市试点政策变量</w:t>
      </w:r>
      <w:r>
        <w:rPr>
          <w:rFonts w:ascii="Times New Roman" w:hAnsi="Times New Roman" w:eastAsia="仿宋" w:cs="Times New Roman"/>
          <w:i/>
          <w:iCs/>
          <w:szCs w:val="21"/>
        </w:rPr>
        <w:t>lc_policy。</w:t>
      </w:r>
      <w:r>
        <w:rPr>
          <w:rFonts w:hint="eastAsia" w:ascii="宋体" w:hAnsi="宋体" w:eastAsia="宋体" w:cs="宋体"/>
          <w:b/>
          <w:bCs/>
          <w:szCs w:val="21"/>
        </w:rPr>
        <w:t>③</w:t>
      </w:r>
      <w:r>
        <w:rPr>
          <w:rFonts w:ascii="Times New Roman" w:hAnsi="Times New Roman" w:eastAsia="仿宋" w:cs="Times New Roman"/>
          <w:b/>
          <w:bCs/>
          <w:szCs w:val="21"/>
        </w:rPr>
        <w:t>排污权交易试点政策。</w:t>
      </w:r>
      <w:r>
        <w:rPr>
          <w:rFonts w:ascii="Times New Roman" w:hAnsi="Times New Roman" w:eastAsia="仿宋" w:cs="Times New Roman"/>
          <w:szCs w:val="21"/>
        </w:rPr>
        <w:t>2007年，财政部、生态环境部和国家发改委批复了天津、河北、山西、内蒙古、江苏、浙江、河南、湖北、湖南、重庆和陕西11个省份开展排污权交易制度试点。虽然2002年也进行了排污权交易的“4+3+1”计划，但交易活跃度较低、效果不显著（齐绍洲等，2018）。鉴于此，研究重点构造了2007排污权交易试点政策</w:t>
      </w:r>
      <w:r>
        <w:rPr>
          <w:rFonts w:ascii="Times New Roman" w:hAnsi="Times New Roman" w:eastAsia="仿宋" w:cs="Times New Roman"/>
          <w:i/>
          <w:iCs/>
          <w:szCs w:val="21"/>
        </w:rPr>
        <w:t>rt_policy</w:t>
      </w:r>
      <w:r>
        <w:rPr>
          <w:rFonts w:ascii="Times New Roman" w:hAnsi="Times New Roman" w:eastAsia="仿宋" w:cs="Times New Roman"/>
          <w:szCs w:val="21"/>
        </w:rPr>
        <w:t>。</w:t>
      </w:r>
      <w:r>
        <w:rPr>
          <w:rFonts w:hint="eastAsia" w:ascii="宋体" w:hAnsi="宋体" w:eastAsia="宋体" w:cs="宋体"/>
          <w:b/>
          <w:bCs/>
          <w:szCs w:val="21"/>
        </w:rPr>
        <w:t>④</w:t>
      </w:r>
      <w:r>
        <w:rPr>
          <w:rFonts w:ascii="Times New Roman" w:hAnsi="Times New Roman" w:eastAsia="仿宋" w:cs="Times New Roman"/>
          <w:b/>
          <w:bCs/>
          <w:szCs w:val="21"/>
        </w:rPr>
        <w:t>区域及流域限批政策。</w:t>
      </w:r>
      <w:r>
        <w:rPr>
          <w:rFonts w:ascii="Times New Roman" w:hAnsi="Times New Roman" w:eastAsia="仿宋" w:cs="Times New Roman"/>
          <w:szCs w:val="21"/>
        </w:rPr>
        <w:t>为确保节能减排目标的实现，国务院印发《关于印发节能减排综合性工作方案的通知》（国发〔2007〕15号），出台了区域限批政策、流域限批政策</w:t>
      </w:r>
      <w:r>
        <w:rPr>
          <w:rStyle w:val="33"/>
          <w:rFonts w:ascii="Times New Roman" w:hAnsi="Times New Roman" w:eastAsia="仿宋" w:cs="Times New Roman"/>
          <w:szCs w:val="21"/>
        </w:rPr>
        <w:footnoteReference w:id="1"/>
      </w:r>
      <w:r>
        <w:rPr>
          <w:rFonts w:ascii="Times New Roman" w:hAnsi="Times New Roman" w:eastAsia="仿宋" w:cs="Times New Roman"/>
          <w:szCs w:val="21"/>
        </w:rPr>
        <w:t>，可能将通过限制了新企业的进入以及对被限批的地区实施更严格的环境规制政策的方式，影响企业环境治理与碳减排行为。综上，表</w:t>
      </w:r>
      <w:r>
        <w:rPr>
          <w:rFonts w:hint="eastAsia" w:ascii="Times New Roman" w:hAnsi="Times New Roman" w:eastAsia="仿宋" w:cs="Times New Roman"/>
          <w:szCs w:val="21"/>
        </w:rPr>
        <w:t>I</w:t>
      </w:r>
      <w:r>
        <w:rPr>
          <w:rFonts w:ascii="Times New Roman" w:hAnsi="Times New Roman" w:eastAsia="仿宋" w:cs="Times New Roman"/>
          <w:szCs w:val="21"/>
        </w:rPr>
        <w:t>2中，列（1）和列（2）对前三个政策进行联合控制，列（3）和列（4）进一步剔除了区域及流域限批的地区样本。</w:t>
      </w:r>
    </w:p>
    <w:p>
      <w:pPr>
        <w:snapToGrid w:val="0"/>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表I2 排除其他政策干扰</w:t>
      </w:r>
    </w:p>
    <w:tbl>
      <w:tblPr>
        <w:tblStyle w:val="24"/>
        <w:tblW w:w="5000" w:type="pct"/>
        <w:jc w:val="center"/>
        <w:tblLayout w:type="autofit"/>
        <w:tblCellMar>
          <w:top w:w="0" w:type="dxa"/>
          <w:left w:w="75" w:type="dxa"/>
          <w:bottom w:w="0" w:type="dxa"/>
          <w:right w:w="75" w:type="dxa"/>
        </w:tblCellMar>
      </w:tblPr>
      <w:tblGrid>
        <w:gridCol w:w="2712"/>
        <w:gridCol w:w="1437"/>
        <w:gridCol w:w="1437"/>
        <w:gridCol w:w="1438"/>
        <w:gridCol w:w="1438"/>
      </w:tblGrid>
      <w:tr>
        <w:tblPrEx>
          <w:tblCellMar>
            <w:top w:w="0" w:type="dxa"/>
            <w:left w:w="75" w:type="dxa"/>
            <w:bottom w:w="0" w:type="dxa"/>
            <w:right w:w="75" w:type="dxa"/>
          </w:tblCellMar>
        </w:tblPrEx>
        <w:trPr>
          <w:cantSplit/>
          <w:jc w:val="center"/>
        </w:trPr>
        <w:tc>
          <w:tcPr>
            <w:tcW w:w="1602" w:type="pct"/>
            <w:vMerge w:val="restart"/>
            <w:tcBorders>
              <w:top w:val="single" w:color="auto" w:sz="8" w:space="0"/>
              <w:left w:val="nil"/>
              <w:right w:val="nil"/>
            </w:tcBorders>
          </w:tcPr>
          <w:p>
            <w:pPr>
              <w:autoSpaceDE w:val="0"/>
              <w:autoSpaceDN w:val="0"/>
              <w:adjustRightInd w:val="0"/>
              <w:snapToGrid w:val="0"/>
              <w:jc w:val="left"/>
              <w:rPr>
                <w:rFonts w:ascii="Times New Roman" w:hAnsi="Times New Roman" w:cs="Times New Roman"/>
                <w:kern w:val="0"/>
                <w:szCs w:val="21"/>
              </w:rPr>
            </w:pPr>
          </w:p>
        </w:tc>
        <w:tc>
          <w:tcPr>
            <w:tcW w:w="849"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(1)</w:t>
            </w:r>
          </w:p>
        </w:tc>
        <w:tc>
          <w:tcPr>
            <w:tcW w:w="849"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(2)</w:t>
            </w:r>
          </w:p>
        </w:tc>
        <w:tc>
          <w:tcPr>
            <w:tcW w:w="849"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w:t>
            </w:r>
          </w:p>
        </w:tc>
        <w:tc>
          <w:tcPr>
            <w:tcW w:w="849"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(4)</w:t>
            </w:r>
          </w:p>
        </w:tc>
      </w:tr>
      <w:tr>
        <w:tblPrEx>
          <w:tblCellMar>
            <w:top w:w="0" w:type="dxa"/>
            <w:left w:w="75" w:type="dxa"/>
            <w:bottom w:w="0" w:type="dxa"/>
            <w:right w:w="75" w:type="dxa"/>
          </w:tblCellMar>
        </w:tblPrEx>
        <w:trPr>
          <w:cantSplit/>
          <w:jc w:val="center"/>
        </w:trPr>
        <w:tc>
          <w:tcPr>
            <w:tcW w:w="1602" w:type="pct"/>
            <w:vMerge w:val="continue"/>
            <w:tcBorders>
              <w:left w:val="nil"/>
              <w:bottom w:val="single" w:color="auto" w:sz="6" w:space="0"/>
              <w:right w:val="nil"/>
            </w:tcBorders>
          </w:tcPr>
          <w:p>
            <w:pPr>
              <w:autoSpaceDE w:val="0"/>
              <w:autoSpaceDN w:val="0"/>
              <w:adjustRightInd w:val="0"/>
              <w:snapToGrid w:val="0"/>
              <w:jc w:val="left"/>
              <w:rPr>
                <w:rFonts w:ascii="Times New Roman" w:hAnsi="Times New Roman" w:cs="Times New Roman"/>
                <w:kern w:val="0"/>
                <w:szCs w:val="21"/>
              </w:rPr>
            </w:pPr>
          </w:p>
        </w:tc>
        <w:tc>
          <w:tcPr>
            <w:tcW w:w="849"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SO</w:t>
            </w:r>
            <w:r>
              <w:rPr>
                <w:rFonts w:ascii="Times New Roman" w:hAnsi="Times New Roman" w:cs="Times New Roman"/>
                <w:i/>
                <w:iCs/>
                <w:kern w:val="0"/>
                <w:szCs w:val="21"/>
                <w:vertAlign w:val="subscript"/>
              </w:rPr>
              <w:t>2</w:t>
            </w:r>
          </w:p>
        </w:tc>
        <w:tc>
          <w:tcPr>
            <w:tcW w:w="849"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CO</w:t>
            </w:r>
            <w:r>
              <w:rPr>
                <w:rFonts w:ascii="Times New Roman" w:hAnsi="Times New Roman" w:cs="Times New Roman"/>
                <w:i/>
                <w:iCs/>
                <w:kern w:val="0"/>
                <w:szCs w:val="21"/>
                <w:vertAlign w:val="subscript"/>
              </w:rPr>
              <w:t>2</w:t>
            </w:r>
          </w:p>
        </w:tc>
        <w:tc>
          <w:tcPr>
            <w:tcW w:w="849"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SO</w:t>
            </w:r>
            <w:r>
              <w:rPr>
                <w:rFonts w:ascii="Times New Roman" w:hAnsi="Times New Roman" w:cs="Times New Roman"/>
                <w:i/>
                <w:iCs/>
                <w:kern w:val="0"/>
                <w:szCs w:val="21"/>
                <w:vertAlign w:val="subscript"/>
              </w:rPr>
              <w:t>2</w:t>
            </w:r>
          </w:p>
        </w:tc>
        <w:tc>
          <w:tcPr>
            <w:tcW w:w="849"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CO</w:t>
            </w:r>
            <w:r>
              <w:rPr>
                <w:rFonts w:ascii="Times New Roman" w:hAnsi="Times New Roman" w:cs="Times New Roman"/>
                <w:i/>
                <w:iCs/>
                <w:kern w:val="0"/>
                <w:szCs w:val="21"/>
                <w:vertAlign w:val="subscript"/>
              </w:rPr>
              <w:t>2</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Cs w:val="21"/>
              </w:rPr>
            </w:pPr>
            <w:r>
              <w:rPr>
                <w:rFonts w:ascii="Times New Roman" w:hAnsi="Times New Roman" w:cs="Times New Roman"/>
                <w:i/>
                <w:iCs/>
                <w:kern w:val="0"/>
                <w:szCs w:val="21"/>
              </w:rPr>
              <w:t>cps</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-0.193***</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-0.059***</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-0.205***</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-0.060***</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(0.032)</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(0.021)</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(0.033)</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(0.022)</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其他干扰政策</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控制变量</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企业固定效应</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行业固定效应</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城市-年份固定效应</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02"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cs="Times New Roman"/>
                <w:kern w:val="0"/>
                <w:szCs w:val="21"/>
              </w:rPr>
              <w:t>Observations</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317,796</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379,607</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307,881</w:t>
            </w:r>
          </w:p>
        </w:tc>
        <w:tc>
          <w:tcPr>
            <w:tcW w:w="849"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368,531</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1602" w:type="pct"/>
            <w:tcBorders>
              <w:top w:val="nil"/>
              <w:left w:val="nil"/>
              <w:bottom w:val="single" w:color="auto" w:sz="8" w:space="0"/>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cs="Times New Roman"/>
                <w:kern w:val="0"/>
                <w:szCs w:val="21"/>
              </w:rPr>
              <w:t>R-squared</w:t>
            </w:r>
          </w:p>
        </w:tc>
        <w:tc>
          <w:tcPr>
            <w:tcW w:w="849"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0.856</w:t>
            </w:r>
          </w:p>
        </w:tc>
        <w:tc>
          <w:tcPr>
            <w:tcW w:w="849"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0.879</w:t>
            </w:r>
          </w:p>
        </w:tc>
        <w:tc>
          <w:tcPr>
            <w:tcW w:w="849"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0.856</w:t>
            </w:r>
          </w:p>
        </w:tc>
        <w:tc>
          <w:tcPr>
            <w:tcW w:w="849"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0.878</w:t>
            </w:r>
          </w:p>
        </w:tc>
      </w:tr>
    </w:tbl>
    <w:p>
      <w:pPr>
        <w:adjustRightInd w:val="0"/>
        <w:snapToGrid w:val="0"/>
        <w:ind w:firstLine="336" w:firstLineChars="200"/>
        <w:rPr>
          <w:rFonts w:ascii="Times New Roman" w:hAnsi="Times New Roman" w:eastAsia="仿宋" w:cs="Times New Roman"/>
          <w:sz w:val="18"/>
          <w:szCs w:val="18"/>
        </w:rPr>
      </w:pPr>
      <w:r>
        <w:rPr>
          <w:rFonts w:ascii="Times New Roman" w:hAnsi="Times New Roman" w:eastAsia="仿宋" w:cs="Times New Roman"/>
          <w:sz w:val="18"/>
          <w:szCs w:val="18"/>
        </w:rPr>
        <w:t>注：由于控制了城市-年份固定效应，地区性试点政策变量在回归时均被吸收。</w:t>
      </w:r>
    </w:p>
    <w:p>
      <w:pPr>
        <w:pStyle w:val="3"/>
        <w:keepNext w:val="0"/>
        <w:keepLines w:val="0"/>
        <w:widowControl/>
        <w:spacing w:before="0" w:after="0"/>
        <w:ind w:firstLine="396" w:firstLineChars="200"/>
        <w:jc w:val="left"/>
        <w:rPr>
          <w:rFonts w:ascii="Times New Roman" w:hAnsi="Times New Roman" w:eastAsia="仿宋" w:cs="Times New Roman"/>
          <w:color w:val="auto"/>
          <w:kern w:val="0"/>
          <w:sz w:val="21"/>
          <w:szCs w:val="21"/>
        </w:rPr>
      </w:pPr>
      <w:bookmarkStart w:id="6" w:name="_Toc160282112"/>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4.政策设定调整</w:t>
      </w:r>
      <w:bookmarkEnd w:id="6"/>
    </w:p>
    <w:p>
      <w:pPr>
        <w:ind w:firstLine="396" w:firstLineChars="200"/>
        <w:rPr>
          <w:rFonts w:ascii="Times New Roman" w:hAnsi="Times New Roman" w:eastAsia="仿宋" w:cs="Times New Roman"/>
          <w:szCs w:val="21"/>
        </w:rPr>
      </w:pPr>
      <w:r>
        <w:rPr>
          <w:rFonts w:ascii="Times New Roman" w:hAnsi="Times New Roman" w:eastAsia="仿宋" w:cs="Times New Roman"/>
          <w:szCs w:val="21"/>
        </w:rPr>
        <w:t>清洁生产标准通常在当年较晚月份生效，若将当年年份设定为政策冲击时间，可能造成政策效果估计偏误。鉴于此，受政策冲击当年之后的样本同基准模型设定为1，根据政策实施的具体月份X，参照Lu et al.(2017)的研究，将政策冲击当年定义为（12-X+1）/12（比如，标准1月份出台则设定为1,6月出台则设定为0.5，进而得到新的清洁生产标准实施变量</w:t>
      </w:r>
      <w:r>
        <w:rPr>
          <w:rFonts w:ascii="Times New Roman" w:hAnsi="Times New Roman" w:eastAsia="仿宋" w:cs="Times New Roman"/>
          <w:i/>
          <w:iCs/>
          <w:szCs w:val="21"/>
        </w:rPr>
        <w:t>cps_new</w:t>
      </w:r>
      <w:r>
        <w:rPr>
          <w:rFonts w:ascii="Times New Roman" w:hAnsi="Times New Roman" w:eastAsia="仿宋" w:cs="Times New Roman"/>
          <w:szCs w:val="21"/>
        </w:rPr>
        <w:t>,这一设定有助于提高政策效果估计精度。表</w:t>
      </w:r>
      <w:r>
        <w:rPr>
          <w:rFonts w:hint="eastAsia" w:ascii="Times New Roman" w:hAnsi="Times New Roman" w:eastAsia="仿宋" w:cs="Times New Roman"/>
          <w:szCs w:val="21"/>
        </w:rPr>
        <w:t>I</w:t>
      </w:r>
      <w:r>
        <w:rPr>
          <w:rFonts w:ascii="Times New Roman" w:hAnsi="Times New Roman" w:eastAsia="仿宋" w:cs="Times New Roman"/>
          <w:szCs w:val="21"/>
        </w:rPr>
        <w:t>3中，列（1）和列（2）发现，新设定政策变量的减污降碳效应同样显著，结论稳健。</w:t>
      </w:r>
    </w:p>
    <w:p>
      <w:pPr>
        <w:ind w:firstLine="396" w:firstLineChars="200"/>
        <w:rPr>
          <w:rFonts w:ascii="Times New Roman" w:hAnsi="Times New Roman" w:eastAsia="仿宋" w:cs="Times New Roman"/>
          <w:szCs w:val="21"/>
        </w:rPr>
      </w:pPr>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7" w:name="_Toc160282113"/>
      <w:r>
        <w:rPr>
          <w:rFonts w:ascii="Times New Roman" w:hAnsi="Times New Roman" w:eastAsia="仿宋" w:cs="Times New Roman"/>
          <w:b/>
          <w:bCs/>
          <w:color w:val="auto"/>
          <w:kern w:val="0"/>
          <w:sz w:val="21"/>
          <w:szCs w:val="21"/>
        </w:rPr>
        <w:t>5.控制行业因素影响</w:t>
      </w:r>
      <w:bookmarkEnd w:id="7"/>
    </w:p>
    <w:p>
      <w:pPr>
        <w:ind w:firstLine="396" w:firstLineChars="200"/>
        <w:rPr>
          <w:rFonts w:ascii="Times New Roman" w:hAnsi="Times New Roman" w:eastAsia="仿宋" w:cs="Times New Roman"/>
          <w:szCs w:val="21"/>
        </w:rPr>
      </w:pPr>
      <w:r>
        <w:rPr>
          <w:rFonts w:ascii="Times New Roman" w:hAnsi="Times New Roman" w:eastAsia="仿宋" w:cs="Times New Roman"/>
          <w:szCs w:val="21"/>
        </w:rPr>
        <w:t>为排除行业层面因素影响，表</w:t>
      </w:r>
      <w:r>
        <w:rPr>
          <w:rFonts w:hint="eastAsia" w:ascii="Times New Roman" w:hAnsi="Times New Roman" w:eastAsia="仿宋" w:cs="Times New Roman"/>
          <w:szCs w:val="21"/>
        </w:rPr>
        <w:t>I</w:t>
      </w:r>
      <w:r>
        <w:rPr>
          <w:rFonts w:ascii="Times New Roman" w:hAnsi="Times New Roman" w:eastAsia="仿宋" w:cs="Times New Roman"/>
          <w:szCs w:val="21"/>
        </w:rPr>
        <w:t>3中，列（3）至列（4）进一步控制了行业控制变量包括行业技术进步、三位数行业关税、产业政策以及行业集中度等。其中，行业技术进步</w:t>
      </w:r>
      <w:r>
        <w:rPr>
          <w:rFonts w:ascii="Times New Roman" w:hAnsi="Times New Roman" w:eastAsia="仿宋" w:cs="Times New Roman"/>
          <w:i/>
          <w:iCs/>
          <w:szCs w:val="21"/>
        </w:rPr>
        <w:t>ML</w:t>
      </w:r>
      <w:r>
        <w:rPr>
          <w:rFonts w:ascii="Times New Roman" w:hAnsi="Times New Roman" w:eastAsia="仿宋" w:cs="Times New Roman"/>
          <w:szCs w:val="21"/>
        </w:rPr>
        <w:t>，采用行业TFP变动表示，基于数据包络分析和Malmquist指数分解方法以及利用MaxDEA6.0软件测算；行业集中度</w:t>
      </w:r>
      <w:r>
        <w:rPr>
          <w:rFonts w:ascii="Times New Roman" w:hAnsi="Times New Roman" w:eastAsia="仿宋" w:cs="Times New Roman"/>
          <w:i/>
          <w:iCs/>
          <w:szCs w:val="21"/>
        </w:rPr>
        <w:t>HHI</w:t>
      </w:r>
      <w:r>
        <w:rPr>
          <w:rFonts w:ascii="Times New Roman" w:hAnsi="Times New Roman" w:eastAsia="仿宋" w:cs="Times New Roman"/>
          <w:szCs w:val="21"/>
        </w:rPr>
        <w:t>，采用经典赫希曼-赫芬达尔指数HHI表示；行业关税</w:t>
      </w:r>
      <w:r>
        <w:rPr>
          <w:rFonts w:ascii="Times New Roman" w:hAnsi="Times New Roman" w:eastAsia="仿宋" w:cs="Times New Roman"/>
          <w:i/>
          <w:iCs/>
          <w:szCs w:val="21"/>
        </w:rPr>
        <w:t>Tariff</w:t>
      </w:r>
      <w:r>
        <w:rPr>
          <w:rFonts w:ascii="Times New Roman" w:hAnsi="Times New Roman" w:eastAsia="仿宋" w:cs="Times New Roman"/>
          <w:szCs w:val="21"/>
        </w:rPr>
        <w:t>，数据来源于世界银行WITS 数据库报告的三位数行业关税税率数据；产业政策</w:t>
      </w:r>
      <w:r>
        <w:rPr>
          <w:rFonts w:ascii="Times New Roman" w:hAnsi="Times New Roman" w:eastAsia="仿宋" w:cs="Times New Roman"/>
          <w:i/>
          <w:iCs/>
          <w:szCs w:val="21"/>
        </w:rPr>
        <w:t>IP</w:t>
      </w:r>
      <w:r>
        <w:rPr>
          <w:rFonts w:ascii="Times New Roman" w:hAnsi="Times New Roman" w:eastAsia="仿宋" w:cs="Times New Roman"/>
          <w:szCs w:val="21"/>
        </w:rPr>
        <w:t>，参照杨继东和罗宝路（2018）方法，以国民经济和社会发展五年规划纲要文件为基础，利用文本分析法对“十一五”规划中的产业支持内容进行分析，若中央或省区明确提及某一行业发展，则该行业产业政策</w:t>
      </w:r>
      <w:r>
        <w:rPr>
          <w:rFonts w:ascii="Times New Roman" w:hAnsi="Times New Roman" w:eastAsia="仿宋" w:cs="Times New Roman"/>
          <w:i/>
          <w:iCs/>
          <w:szCs w:val="21"/>
        </w:rPr>
        <w:t>IP</w:t>
      </w:r>
      <w:r>
        <w:rPr>
          <w:rFonts w:ascii="Times New Roman" w:hAnsi="Times New Roman" w:eastAsia="仿宋" w:cs="Times New Roman"/>
          <w:szCs w:val="21"/>
        </w:rPr>
        <w:t>取1，反之则取0。结果显示，排除了其他行业因素对政策的干扰后结论依旧稳健。</w:t>
      </w:r>
    </w:p>
    <w:p>
      <w:pPr>
        <w:snapToGrid w:val="0"/>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表I3 政策设定调整与控制行业因素</w:t>
      </w:r>
    </w:p>
    <w:tbl>
      <w:tblPr>
        <w:tblStyle w:val="24"/>
        <w:tblW w:w="5000" w:type="pct"/>
        <w:jc w:val="center"/>
        <w:tblLayout w:type="autofit"/>
        <w:tblCellMar>
          <w:top w:w="0" w:type="dxa"/>
          <w:left w:w="75" w:type="dxa"/>
          <w:bottom w:w="0" w:type="dxa"/>
          <w:right w:w="75" w:type="dxa"/>
        </w:tblCellMar>
      </w:tblPr>
      <w:tblGrid>
        <w:gridCol w:w="2791"/>
        <w:gridCol w:w="1481"/>
        <w:gridCol w:w="1481"/>
        <w:gridCol w:w="1481"/>
        <w:gridCol w:w="1228"/>
      </w:tblGrid>
      <w:tr>
        <w:tblPrEx>
          <w:tblCellMar>
            <w:top w:w="0" w:type="dxa"/>
            <w:left w:w="75" w:type="dxa"/>
            <w:bottom w:w="0" w:type="dxa"/>
            <w:right w:w="75" w:type="dxa"/>
          </w:tblCellMar>
        </w:tblPrEx>
        <w:trPr>
          <w:cantSplit/>
          <w:jc w:val="center"/>
        </w:trPr>
        <w:tc>
          <w:tcPr>
            <w:tcW w:w="1649" w:type="pct"/>
            <w:vMerge w:val="restart"/>
            <w:tcBorders>
              <w:top w:val="single" w:color="auto" w:sz="6" w:space="0"/>
              <w:left w:val="nil"/>
              <w:right w:val="nil"/>
            </w:tcBorders>
          </w:tcPr>
          <w:p>
            <w:pPr>
              <w:autoSpaceDE w:val="0"/>
              <w:autoSpaceDN w:val="0"/>
              <w:adjustRightInd w:val="0"/>
              <w:snapToGrid w:val="0"/>
              <w:jc w:val="left"/>
              <w:rPr>
                <w:rFonts w:ascii="Times New Roman" w:hAnsi="Times New Roman" w:cs="Times New Roman"/>
                <w:kern w:val="0"/>
                <w:szCs w:val="21"/>
              </w:rPr>
            </w:pPr>
          </w:p>
        </w:tc>
        <w:tc>
          <w:tcPr>
            <w:tcW w:w="875"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(1)</w:t>
            </w:r>
          </w:p>
        </w:tc>
        <w:tc>
          <w:tcPr>
            <w:tcW w:w="875"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(2)</w:t>
            </w:r>
          </w:p>
        </w:tc>
        <w:tc>
          <w:tcPr>
            <w:tcW w:w="875"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w:t>
            </w:r>
          </w:p>
        </w:tc>
        <w:tc>
          <w:tcPr>
            <w:tcW w:w="725"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（4）</w:t>
            </w:r>
          </w:p>
        </w:tc>
      </w:tr>
      <w:tr>
        <w:tblPrEx>
          <w:tblCellMar>
            <w:top w:w="0" w:type="dxa"/>
            <w:left w:w="75" w:type="dxa"/>
            <w:bottom w:w="0" w:type="dxa"/>
            <w:right w:w="75" w:type="dxa"/>
          </w:tblCellMar>
        </w:tblPrEx>
        <w:trPr>
          <w:cantSplit/>
          <w:jc w:val="center"/>
        </w:trPr>
        <w:tc>
          <w:tcPr>
            <w:tcW w:w="1649" w:type="pct"/>
            <w:vMerge w:val="continue"/>
            <w:tcBorders>
              <w:left w:val="nil"/>
              <w:bottom w:val="single" w:color="auto" w:sz="6" w:space="0"/>
              <w:right w:val="nil"/>
            </w:tcBorders>
          </w:tcPr>
          <w:p>
            <w:pPr>
              <w:autoSpaceDE w:val="0"/>
              <w:autoSpaceDN w:val="0"/>
              <w:adjustRightInd w:val="0"/>
              <w:snapToGrid w:val="0"/>
              <w:jc w:val="left"/>
              <w:rPr>
                <w:rFonts w:ascii="Times New Roman" w:hAnsi="Times New Roman" w:cs="Times New Roman"/>
                <w:kern w:val="0"/>
                <w:szCs w:val="21"/>
              </w:rPr>
            </w:pPr>
          </w:p>
        </w:tc>
        <w:tc>
          <w:tcPr>
            <w:tcW w:w="87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SO</w:t>
            </w:r>
            <w:r>
              <w:rPr>
                <w:rFonts w:ascii="Times New Roman" w:hAnsi="Times New Roman" w:cs="Times New Roman"/>
                <w:i/>
                <w:iCs/>
                <w:kern w:val="0"/>
                <w:szCs w:val="21"/>
                <w:vertAlign w:val="subscript"/>
              </w:rPr>
              <w:t>2</w:t>
            </w:r>
          </w:p>
        </w:tc>
        <w:tc>
          <w:tcPr>
            <w:tcW w:w="87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CO</w:t>
            </w:r>
            <w:r>
              <w:rPr>
                <w:rFonts w:ascii="Times New Roman" w:hAnsi="Times New Roman" w:cs="Times New Roman"/>
                <w:i/>
                <w:iCs/>
                <w:kern w:val="0"/>
                <w:szCs w:val="21"/>
                <w:vertAlign w:val="subscript"/>
              </w:rPr>
              <w:t>2</w:t>
            </w:r>
          </w:p>
        </w:tc>
        <w:tc>
          <w:tcPr>
            <w:tcW w:w="87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SO</w:t>
            </w:r>
            <w:r>
              <w:rPr>
                <w:rFonts w:ascii="Times New Roman" w:hAnsi="Times New Roman" w:cs="Times New Roman"/>
                <w:i/>
                <w:iCs/>
                <w:kern w:val="0"/>
                <w:szCs w:val="21"/>
                <w:vertAlign w:val="subscript"/>
              </w:rPr>
              <w:t>2</w:t>
            </w:r>
          </w:p>
        </w:tc>
        <w:tc>
          <w:tcPr>
            <w:tcW w:w="72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ln</w:t>
            </w:r>
            <w:r>
              <w:rPr>
                <w:rFonts w:ascii="Times New Roman" w:hAnsi="Times New Roman" w:cs="Times New Roman"/>
                <w:i/>
                <w:iCs/>
                <w:kern w:val="0"/>
                <w:szCs w:val="21"/>
              </w:rPr>
              <w:t>CO</w:t>
            </w:r>
            <w:r>
              <w:rPr>
                <w:rFonts w:ascii="Times New Roman" w:hAnsi="Times New Roman" w:cs="Times New Roman"/>
                <w:i/>
                <w:iCs/>
                <w:kern w:val="0"/>
                <w:szCs w:val="21"/>
                <w:vertAlign w:val="subscript"/>
              </w:rPr>
              <w:t>2</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Cs w:val="21"/>
              </w:rPr>
            </w:pPr>
            <w:r>
              <w:rPr>
                <w:rFonts w:ascii="Times New Roman" w:hAnsi="Times New Roman" w:cs="Times New Roman"/>
                <w:i/>
                <w:iCs/>
                <w:kern w:val="0"/>
                <w:szCs w:val="21"/>
              </w:rPr>
              <w:t>cps</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rPr>
              <w:t>-0.149***</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rPr>
              <w:t>-0.036*</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Cs w:val="21"/>
              </w:rPr>
            </w:pP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rPr>
              <w:t>(0.033)</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rPr>
              <w:t>(0.020)</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Cs w:val="21"/>
              </w:rPr>
            </w:pPr>
            <w:r>
              <w:rPr>
                <w:rFonts w:ascii="Times New Roman" w:hAnsi="Times New Roman" w:cs="Times New Roman"/>
                <w:i/>
                <w:iCs/>
                <w:kern w:val="0"/>
                <w:szCs w:val="21"/>
              </w:rPr>
              <w:t>cps_new</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-0.205***</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-0.072***</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(0.035)</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(0.023)</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控制变量</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企业固定效应</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Cs w:val="21"/>
              </w:rPr>
            </w:pPr>
            <w:r>
              <w:rPr>
                <w:rFonts w:ascii="Times New Roman" w:hAnsi="Times New Roman" w:eastAsia="仿宋" w:cs="Times New Roman"/>
                <w:kern w:val="0"/>
                <w:szCs w:val="21"/>
              </w:rPr>
              <w:t>行业固定效应</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eastAsia="仿宋" w:cs="Times New Roman"/>
                <w:kern w:val="0"/>
                <w:szCs w:val="21"/>
              </w:rPr>
              <w:t>城市-年份固定效应</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eastAsia="仿宋" w:cs="Times New Roman"/>
                <w:kern w:val="0"/>
                <w:szCs w:val="21"/>
              </w:rPr>
              <w:t>有</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Cs w:val="21"/>
              </w:rPr>
            </w:pPr>
            <w:r>
              <w:rPr>
                <w:rFonts w:ascii="Times New Roman" w:hAnsi="Times New Roman" w:eastAsia="仿宋" w:cs="Times New Roman"/>
                <w:kern w:val="0"/>
                <w:szCs w:val="21"/>
              </w:rPr>
              <w:t>有</w:t>
            </w:r>
          </w:p>
        </w:tc>
      </w:tr>
      <w:tr>
        <w:tblPrEx>
          <w:tblCellMar>
            <w:top w:w="0" w:type="dxa"/>
            <w:left w:w="75" w:type="dxa"/>
            <w:bottom w:w="0" w:type="dxa"/>
            <w:right w:w="75" w:type="dxa"/>
          </w:tblCellMar>
        </w:tblPrEx>
        <w:trPr>
          <w:cantSplit/>
          <w:jc w:val="center"/>
        </w:trPr>
        <w:tc>
          <w:tcPr>
            <w:tcW w:w="1649"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cs="Times New Roman"/>
                <w:kern w:val="0"/>
                <w:szCs w:val="21"/>
              </w:rPr>
              <w:t>Observations</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317,796</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379,607</w:t>
            </w:r>
          </w:p>
        </w:tc>
        <w:tc>
          <w:tcPr>
            <w:tcW w:w="87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283,973</w:t>
            </w:r>
          </w:p>
        </w:tc>
        <w:tc>
          <w:tcPr>
            <w:tcW w:w="725"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339,778</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1649" w:type="pct"/>
            <w:tcBorders>
              <w:top w:val="nil"/>
              <w:left w:val="nil"/>
              <w:bottom w:val="single" w:color="auto" w:sz="6" w:space="0"/>
              <w:right w:val="nil"/>
            </w:tcBorders>
          </w:tcPr>
          <w:p>
            <w:pPr>
              <w:autoSpaceDE w:val="0"/>
              <w:autoSpaceDN w:val="0"/>
              <w:adjustRightInd w:val="0"/>
              <w:snapToGrid w:val="0"/>
              <w:jc w:val="left"/>
              <w:rPr>
                <w:rFonts w:ascii="Times New Roman" w:hAnsi="Times New Roman" w:cs="Times New Roman"/>
                <w:kern w:val="0"/>
                <w:szCs w:val="21"/>
              </w:rPr>
            </w:pPr>
            <w:r>
              <w:rPr>
                <w:rFonts w:ascii="Times New Roman" w:hAnsi="Times New Roman" w:cs="Times New Roman"/>
                <w:kern w:val="0"/>
                <w:szCs w:val="21"/>
              </w:rPr>
              <w:t>R-squared</w:t>
            </w:r>
          </w:p>
        </w:tc>
        <w:tc>
          <w:tcPr>
            <w:tcW w:w="87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0.856</w:t>
            </w:r>
          </w:p>
        </w:tc>
        <w:tc>
          <w:tcPr>
            <w:tcW w:w="87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0.879</w:t>
            </w:r>
          </w:p>
        </w:tc>
        <w:tc>
          <w:tcPr>
            <w:tcW w:w="87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0.858</w:t>
            </w:r>
          </w:p>
        </w:tc>
        <w:tc>
          <w:tcPr>
            <w:tcW w:w="72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0.879</w:t>
            </w:r>
          </w:p>
        </w:tc>
      </w:tr>
    </w:tbl>
    <w:p>
      <w:pPr>
        <w:adjustRightInd w:val="0"/>
        <w:snapToGrid w:val="0"/>
        <w:ind w:firstLine="276" w:firstLineChars="200"/>
        <w:rPr>
          <w:rFonts w:ascii="Times New Roman" w:hAnsi="Times New Roman" w:eastAsia="仿宋" w:cs="Times New Roman"/>
          <w:sz w:val="15"/>
          <w:szCs w:val="15"/>
        </w:rPr>
      </w:pPr>
      <w:r>
        <w:rPr>
          <w:rFonts w:ascii="Times New Roman" w:hAnsi="Times New Roman" w:eastAsia="仿宋" w:cs="Times New Roman"/>
          <w:sz w:val="15"/>
          <w:szCs w:val="15"/>
        </w:rPr>
        <w:t>注：列（1）和列（2）控制了</w:t>
      </w:r>
      <w:r>
        <w:rPr>
          <w:rFonts w:ascii="Times New Roman" w:hAnsi="Times New Roman" w:eastAsia="仿宋" w:cs="Times New Roman"/>
          <w:i/>
          <w:iCs/>
          <w:sz w:val="15"/>
          <w:szCs w:val="15"/>
        </w:rPr>
        <w:t>cps</w:t>
      </w:r>
      <w:r>
        <w:rPr>
          <w:rFonts w:ascii="Times New Roman" w:hAnsi="Times New Roman" w:eastAsia="仿宋" w:cs="Times New Roman"/>
          <w:sz w:val="15"/>
          <w:szCs w:val="15"/>
        </w:rPr>
        <w:t>01。</w:t>
      </w:r>
    </w:p>
    <w:p>
      <w:pPr>
        <w:adjustRightInd w:val="0"/>
        <w:snapToGrid w:val="0"/>
        <w:ind w:firstLine="276" w:firstLineChars="200"/>
        <w:rPr>
          <w:rFonts w:ascii="Times New Roman" w:hAnsi="Times New Roman" w:eastAsia="仿宋" w:cs="Times New Roman"/>
          <w:sz w:val="15"/>
          <w:szCs w:val="15"/>
        </w:rPr>
      </w:pPr>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8" w:name="_Toc160282114"/>
      <w:r>
        <w:rPr>
          <w:rFonts w:ascii="Times New Roman" w:hAnsi="Times New Roman" w:eastAsia="仿宋" w:cs="Times New Roman"/>
          <w:b/>
          <w:bCs/>
          <w:color w:val="auto"/>
          <w:kern w:val="0"/>
          <w:sz w:val="21"/>
          <w:szCs w:val="21"/>
        </w:rPr>
        <w:t>6.考虑企业电耗间接碳排放的估计</w:t>
      </w:r>
      <w:bookmarkEnd w:id="8"/>
    </w:p>
    <w:p>
      <w:pPr>
        <w:ind w:firstLine="396" w:firstLineChars="200"/>
        <w:rPr>
          <w:rFonts w:ascii="Times New Roman" w:hAnsi="Times New Roman" w:eastAsia="仿宋" w:cs="Times New Roman"/>
          <w:szCs w:val="21"/>
        </w:rPr>
      </w:pPr>
      <w:r>
        <w:rPr>
          <w:rFonts w:ascii="Times New Roman" w:hAnsi="Times New Roman" w:eastAsia="仿宋" w:cs="Times New Roman"/>
          <w:szCs w:val="21"/>
        </w:rPr>
        <w:t>鉴于中国工业企业数据库、工业企业污染数据库的能耗数据均不含电力消耗指标，笔者进一步获得了2008</w:t>
      </w:r>
      <w:r>
        <w:rPr>
          <w:rFonts w:hint="eastAsia" w:ascii="Times New Roman" w:hAnsi="Times New Roman" w:eastAsia="仿宋" w:cs="Times New Roman"/>
          <w:szCs w:val="21"/>
          <w:lang w:eastAsia="zh-CN"/>
        </w:rPr>
        <w:t>—</w:t>
      </w:r>
      <w:r>
        <w:rPr>
          <w:rFonts w:ascii="Times New Roman" w:hAnsi="Times New Roman" w:eastAsia="仿宋" w:cs="Times New Roman"/>
          <w:szCs w:val="21"/>
        </w:rPr>
        <w:t>2011</w:t>
      </w:r>
      <w:r>
        <w:rPr>
          <w:rFonts w:hint="eastAsia" w:ascii="Times New Roman" w:hAnsi="Times New Roman" w:eastAsia="仿宋" w:cs="Times New Roman"/>
          <w:szCs w:val="21"/>
          <w:lang w:eastAsia="zh-CN"/>
        </w:rPr>
        <w:t>年</w:t>
      </w:r>
      <w:r>
        <w:rPr>
          <w:rFonts w:ascii="Times New Roman" w:hAnsi="Times New Roman" w:eastAsia="仿宋" w:cs="Times New Roman"/>
          <w:szCs w:val="21"/>
        </w:rPr>
        <w:t>全国税收调查数据库</w:t>
      </w:r>
      <w:r>
        <w:rPr>
          <w:rStyle w:val="33"/>
          <w:rFonts w:ascii="Times New Roman" w:hAnsi="Times New Roman" w:eastAsia="仿宋" w:cs="Times New Roman"/>
          <w:b/>
          <w:bCs/>
          <w:szCs w:val="21"/>
        </w:rPr>
        <w:footnoteReference w:id="2"/>
      </w:r>
      <w:r>
        <w:rPr>
          <w:rFonts w:ascii="Times New Roman" w:hAnsi="Times New Roman" w:eastAsia="仿宋" w:cs="Times New Roman"/>
          <w:szCs w:val="21"/>
        </w:rPr>
        <w:t>，这一数据库不仅报告了企业当年电力、煤炭以及石油的分类消耗量，而且被调查的企业既包含大中型制造业企业，也包含小规模服务业企业和部分个体经营者，拓展了工业企业数据库规上企业范围（范子英和王倩，2019）。</w:t>
      </w:r>
      <w:bookmarkStart w:id="9" w:name="_Hlk111996021"/>
      <w:r>
        <w:rPr>
          <w:rFonts w:ascii="Times New Roman" w:hAnsi="Times New Roman" w:eastAsia="仿宋" w:cs="Times New Roman"/>
          <w:szCs w:val="21"/>
        </w:rPr>
        <w:t>关于各类能源的碳排放因子，笔者根据中国能源统计年鉴公布的标准煤折算系数和国家发展改革委发布的《二氧化碳减排量估算方法及参数选择》换算系数进行计算。最终，计算了企业直接碳排放量取对数ln</w:t>
      </w:r>
      <w:r>
        <w:rPr>
          <w:rFonts w:ascii="Times New Roman" w:hAnsi="Times New Roman" w:eastAsia="仿宋" w:cs="Times New Roman"/>
          <w:i/>
          <w:iCs/>
          <w:szCs w:val="21"/>
        </w:rPr>
        <w:t>CO</w:t>
      </w:r>
      <w:r>
        <w:rPr>
          <w:rFonts w:ascii="Times New Roman" w:hAnsi="Times New Roman" w:eastAsia="仿宋" w:cs="Times New Roman"/>
          <w:i/>
          <w:iCs/>
          <w:szCs w:val="21"/>
          <w:vertAlign w:val="subscript"/>
        </w:rPr>
        <w:t>2</w:t>
      </w:r>
      <w:r>
        <w:rPr>
          <w:rStyle w:val="33"/>
          <w:rFonts w:ascii="Times New Roman" w:hAnsi="Times New Roman" w:eastAsia="仿宋" w:cs="Times New Roman"/>
          <w:szCs w:val="21"/>
        </w:rPr>
        <w:footnoteReference w:id="3"/>
      </w:r>
      <w:r>
        <w:rPr>
          <w:rFonts w:ascii="Times New Roman" w:hAnsi="Times New Roman" w:eastAsia="仿宋" w:cs="Times New Roman"/>
          <w:szCs w:val="21"/>
        </w:rPr>
        <w:t>和企业电耗间接碳排放量取对数ln</w:t>
      </w:r>
      <w:r>
        <w:rPr>
          <w:rFonts w:ascii="Times New Roman" w:hAnsi="Times New Roman" w:eastAsia="仿宋" w:cs="Times New Roman"/>
          <w:i/>
          <w:iCs/>
          <w:szCs w:val="21"/>
        </w:rPr>
        <w:t>CO</w:t>
      </w:r>
      <w:r>
        <w:rPr>
          <w:rFonts w:ascii="Times New Roman" w:hAnsi="Times New Roman" w:eastAsia="仿宋" w:cs="Times New Roman"/>
          <w:i/>
          <w:iCs/>
          <w:szCs w:val="21"/>
          <w:vertAlign w:val="subscript"/>
        </w:rPr>
        <w:t>2</w:t>
      </w:r>
      <w:r>
        <w:rPr>
          <w:rFonts w:ascii="Times New Roman" w:hAnsi="Times New Roman" w:eastAsia="仿宋" w:cs="Times New Roman"/>
          <w:i/>
          <w:iCs/>
          <w:szCs w:val="21"/>
        </w:rPr>
        <w:t>_jj</w:t>
      </w:r>
      <w:bookmarkEnd w:id="9"/>
      <w:r>
        <w:rPr>
          <w:rFonts w:ascii="Times New Roman" w:hAnsi="Times New Roman" w:eastAsia="仿宋" w:cs="Times New Roman"/>
          <w:szCs w:val="21"/>
        </w:rPr>
        <w:t>。并按本文的多时点DID方法重新设定清洁生产标准实施变量</w:t>
      </w:r>
      <w:r>
        <w:rPr>
          <w:rFonts w:ascii="Times New Roman" w:hAnsi="Times New Roman" w:eastAsia="仿宋" w:cs="Times New Roman"/>
          <w:i/>
          <w:iCs/>
          <w:szCs w:val="21"/>
        </w:rPr>
        <w:t>cps</w:t>
      </w:r>
      <w:r>
        <w:rPr>
          <w:rFonts w:ascii="Times New Roman" w:hAnsi="Times New Roman" w:eastAsia="仿宋" w:cs="Times New Roman"/>
          <w:szCs w:val="21"/>
        </w:rPr>
        <w:t>进行实证检验。</w:t>
      </w:r>
    </w:p>
    <w:p>
      <w:pPr>
        <w:ind w:firstLine="396" w:firstLineChars="200"/>
        <w:rPr>
          <w:rFonts w:ascii="Times New Roman" w:hAnsi="Times New Roman" w:eastAsia="仿宋" w:cs="Times New Roman"/>
          <w:kern w:val="0"/>
          <w:szCs w:val="21"/>
        </w:rPr>
      </w:pPr>
      <w:bookmarkStart w:id="10" w:name="_Hlk112085806"/>
      <w:r>
        <w:rPr>
          <w:rFonts w:ascii="Times New Roman" w:hAnsi="Times New Roman" w:eastAsia="仿宋" w:cs="Times New Roman"/>
          <w:szCs w:val="21"/>
        </w:rPr>
        <w:t>表</w:t>
      </w:r>
      <w:r>
        <w:rPr>
          <w:rFonts w:hint="eastAsia" w:ascii="Times New Roman" w:hAnsi="Times New Roman" w:eastAsia="仿宋" w:cs="Times New Roman"/>
          <w:szCs w:val="21"/>
        </w:rPr>
        <w:t>I</w:t>
      </w:r>
      <w:r>
        <w:rPr>
          <w:rFonts w:ascii="Times New Roman" w:hAnsi="Times New Roman" w:eastAsia="仿宋" w:cs="Times New Roman"/>
          <w:szCs w:val="21"/>
        </w:rPr>
        <w:t>4报告了考虑企业电耗间接碳排放的稳健性检验结果。一方面，基于全国</w:t>
      </w:r>
      <w:r>
        <w:rPr>
          <w:rFonts w:hint="eastAsia" w:ascii="Times New Roman" w:hAnsi="Times New Roman" w:eastAsia="仿宋" w:cs="Times New Roman"/>
          <w:szCs w:val="21"/>
        </w:rPr>
        <w:t>税收调查数据库</w:t>
      </w:r>
      <w:r>
        <w:rPr>
          <w:rFonts w:ascii="Times New Roman" w:hAnsi="Times New Roman" w:eastAsia="仿宋" w:cs="Times New Roman"/>
          <w:szCs w:val="21"/>
        </w:rPr>
        <w:t>，列（1）和列（2）分别报告了清洁生产标准实施的直接与间接碳减排效应，发现显著降低了企业直接碳排放</w:t>
      </w:r>
      <w:r>
        <w:rPr>
          <w:rFonts w:ascii="Times New Roman" w:hAnsi="Times New Roman" w:eastAsia="仿宋" w:cs="Times New Roman"/>
          <w:kern w:val="0"/>
          <w:szCs w:val="21"/>
        </w:rPr>
        <w:t>，但对间接碳排放的影响不显著。另一方面，列（3）至列（6）报告了基于全国税调库、工企库和工企污染库的匹配数据库的稳健性估计结果，列（3）和列（4）显示，清洁生产标准实施对SO</w:t>
      </w:r>
      <w:r>
        <w:rPr>
          <w:rFonts w:ascii="Times New Roman" w:hAnsi="Times New Roman" w:eastAsia="仿宋" w:cs="Times New Roman"/>
          <w:kern w:val="0"/>
          <w:szCs w:val="21"/>
          <w:vertAlign w:val="subscript"/>
        </w:rPr>
        <w:t>2</w:t>
      </w:r>
      <w:r>
        <w:rPr>
          <w:rFonts w:ascii="Times New Roman" w:hAnsi="Times New Roman" w:eastAsia="仿宋" w:cs="Times New Roman"/>
          <w:kern w:val="0"/>
          <w:szCs w:val="21"/>
        </w:rPr>
        <w:t>排放和直接碳排放ln</w:t>
      </w:r>
      <w:r>
        <w:rPr>
          <w:rFonts w:ascii="Times New Roman" w:hAnsi="Times New Roman" w:eastAsia="仿宋" w:cs="Times New Roman"/>
          <w:i/>
          <w:iCs/>
          <w:kern w:val="0"/>
          <w:szCs w:val="21"/>
        </w:rPr>
        <w:t>CO</w:t>
      </w:r>
      <w:r>
        <w:rPr>
          <w:rFonts w:ascii="Times New Roman" w:hAnsi="Times New Roman" w:eastAsia="仿宋" w:cs="Times New Roman"/>
          <w:i/>
          <w:iCs/>
          <w:kern w:val="0"/>
          <w:szCs w:val="21"/>
          <w:vertAlign w:val="subscript"/>
        </w:rPr>
        <w:t>2</w:t>
      </w:r>
      <w:r>
        <w:rPr>
          <w:rFonts w:ascii="Times New Roman" w:hAnsi="Times New Roman" w:eastAsia="仿宋" w:cs="Times New Roman"/>
          <w:kern w:val="0"/>
          <w:szCs w:val="21"/>
        </w:rPr>
        <w:t>的影响系数均显著为负，表现出显著的减污降碳（直接碳排放）协同效应。与基准结果相比，此处的减污效应更显著，体现了清洁生产标准实施的长期效应。列（5）中清洁生产标准实施对间接碳排放ln</w:t>
      </w:r>
      <w:r>
        <w:rPr>
          <w:rFonts w:ascii="Times New Roman" w:hAnsi="Times New Roman" w:eastAsia="仿宋" w:cs="Times New Roman"/>
          <w:i/>
          <w:iCs/>
          <w:kern w:val="0"/>
          <w:szCs w:val="21"/>
        </w:rPr>
        <w:t>CO</w:t>
      </w:r>
      <w:r>
        <w:rPr>
          <w:rFonts w:ascii="Times New Roman" w:hAnsi="Times New Roman" w:eastAsia="仿宋" w:cs="Times New Roman"/>
          <w:i/>
          <w:iCs/>
          <w:kern w:val="0"/>
          <w:szCs w:val="21"/>
          <w:vertAlign w:val="subscript"/>
        </w:rPr>
        <w:t>2</w:t>
      </w:r>
      <w:r>
        <w:rPr>
          <w:rFonts w:ascii="Times New Roman" w:hAnsi="Times New Roman" w:eastAsia="仿宋" w:cs="Times New Roman"/>
          <w:i/>
          <w:iCs/>
          <w:kern w:val="0"/>
          <w:szCs w:val="21"/>
        </w:rPr>
        <w:t>_jj</w:t>
      </w:r>
      <w:r>
        <w:rPr>
          <w:rFonts w:ascii="Times New Roman" w:hAnsi="Times New Roman" w:eastAsia="仿宋" w:cs="Times New Roman"/>
          <w:kern w:val="0"/>
          <w:szCs w:val="21"/>
        </w:rPr>
        <w:t>的影响不显著，综合列（3）和列（5）可知，清洁生产政策未表现显著的减污降碳（间接碳排放）协同效应。原因在于，SO</w:t>
      </w:r>
      <w:r>
        <w:rPr>
          <w:rFonts w:ascii="Times New Roman" w:hAnsi="Times New Roman" w:eastAsia="仿宋" w:cs="Times New Roman"/>
          <w:kern w:val="0"/>
          <w:szCs w:val="21"/>
          <w:vertAlign w:val="subscript"/>
        </w:rPr>
        <w:t>2</w:t>
      </w:r>
      <w:r>
        <w:rPr>
          <w:rFonts w:ascii="Times New Roman" w:hAnsi="Times New Roman" w:eastAsia="仿宋" w:cs="Times New Roman"/>
          <w:kern w:val="0"/>
          <w:szCs w:val="21"/>
        </w:rPr>
        <w:t>与CO</w:t>
      </w:r>
      <w:r>
        <w:rPr>
          <w:rFonts w:ascii="Times New Roman" w:hAnsi="Times New Roman" w:eastAsia="仿宋" w:cs="Times New Roman"/>
          <w:kern w:val="0"/>
          <w:szCs w:val="21"/>
          <w:vertAlign w:val="subscript"/>
        </w:rPr>
        <w:t>2</w:t>
      </w:r>
      <w:r>
        <w:rPr>
          <w:rFonts w:ascii="Times New Roman" w:hAnsi="Times New Roman" w:eastAsia="仿宋" w:cs="Times New Roman"/>
          <w:kern w:val="0"/>
          <w:szCs w:val="21"/>
        </w:rPr>
        <w:t>排放同根同源于化石能源燃烧，而且SO</w:t>
      </w:r>
      <w:r>
        <w:rPr>
          <w:rFonts w:ascii="Times New Roman" w:hAnsi="Times New Roman" w:eastAsia="仿宋" w:cs="Times New Roman"/>
          <w:kern w:val="0"/>
          <w:szCs w:val="21"/>
          <w:vertAlign w:val="subscript"/>
        </w:rPr>
        <w:t>2</w:t>
      </w:r>
      <w:r>
        <w:rPr>
          <w:rFonts w:ascii="Times New Roman" w:hAnsi="Times New Roman" w:eastAsia="仿宋" w:cs="Times New Roman"/>
          <w:kern w:val="0"/>
          <w:szCs w:val="21"/>
        </w:rPr>
        <w:t>排放与电耗也无直接关联，导致SO</w:t>
      </w:r>
      <w:r>
        <w:rPr>
          <w:rFonts w:ascii="Times New Roman" w:hAnsi="Times New Roman" w:eastAsia="仿宋" w:cs="Times New Roman"/>
          <w:kern w:val="0"/>
          <w:szCs w:val="21"/>
          <w:vertAlign w:val="subscript"/>
        </w:rPr>
        <w:t>2</w:t>
      </w:r>
      <w:r>
        <w:rPr>
          <w:rFonts w:ascii="Times New Roman" w:hAnsi="Times New Roman" w:eastAsia="仿宋" w:cs="Times New Roman"/>
          <w:kern w:val="0"/>
          <w:szCs w:val="21"/>
        </w:rPr>
        <w:t>和间接碳排放协同减排效应不明显。除了间接碳排放总量视角，列（6）还构造了间接碳排放强度指标ln(</w:t>
      </w:r>
      <w:r>
        <w:rPr>
          <w:rFonts w:ascii="Times New Roman" w:hAnsi="Times New Roman" w:eastAsia="仿宋" w:cs="Times New Roman"/>
          <w:i/>
          <w:iCs/>
          <w:kern w:val="0"/>
          <w:szCs w:val="21"/>
        </w:rPr>
        <w:t>CO</w:t>
      </w:r>
      <w:r>
        <w:rPr>
          <w:rFonts w:ascii="Times New Roman" w:hAnsi="Times New Roman" w:eastAsia="仿宋" w:cs="Times New Roman"/>
          <w:i/>
          <w:iCs/>
          <w:kern w:val="0"/>
          <w:szCs w:val="21"/>
          <w:vertAlign w:val="subscript"/>
        </w:rPr>
        <w:t>2</w:t>
      </w:r>
      <w:r>
        <w:rPr>
          <w:rFonts w:ascii="Times New Roman" w:hAnsi="Times New Roman" w:eastAsia="仿宋" w:cs="Times New Roman"/>
          <w:i/>
          <w:iCs/>
          <w:kern w:val="0"/>
          <w:szCs w:val="21"/>
        </w:rPr>
        <w:t>_jj</w:t>
      </w:r>
      <w:r>
        <w:rPr>
          <w:rFonts w:ascii="Times New Roman" w:hAnsi="Times New Roman" w:eastAsia="仿宋" w:cs="Times New Roman"/>
          <w:kern w:val="0"/>
          <w:szCs w:val="21"/>
        </w:rPr>
        <w:t>/y)，并以之为被解释变量进行回归，发现清洁生产标准实施对间接碳排放强度的影响也不显著，这可能与我国清洁生产强制性审核的执行以及工业终端用能电气化不足等因素有关。</w:t>
      </w:r>
      <w:bookmarkEnd w:id="10"/>
    </w:p>
    <w:p>
      <w:pPr>
        <w:adjustRightInd w:val="0"/>
        <w:snapToGrid w:val="0"/>
        <w:rPr>
          <w:rFonts w:ascii="Times New Roman" w:hAnsi="Times New Roman" w:eastAsia="仿宋" w:cs="Times New Roman"/>
          <w:sz w:val="15"/>
          <w:szCs w:val="15"/>
          <w:shd w:val="clear" w:color="auto" w:fill="FFFFFF"/>
        </w:rPr>
      </w:pPr>
    </w:p>
    <w:p>
      <w:pPr>
        <w:snapToGrid w:val="0"/>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表I4  考虑企业电耗间接碳排放</w:t>
      </w:r>
    </w:p>
    <w:tbl>
      <w:tblPr>
        <w:tblStyle w:val="24"/>
        <w:tblW w:w="5000" w:type="pct"/>
        <w:jc w:val="center"/>
        <w:tblLayout w:type="autofit"/>
        <w:tblCellMar>
          <w:top w:w="0" w:type="dxa"/>
          <w:left w:w="75" w:type="dxa"/>
          <w:bottom w:w="0" w:type="dxa"/>
          <w:right w:w="75" w:type="dxa"/>
        </w:tblCellMar>
      </w:tblPr>
      <w:tblGrid>
        <w:gridCol w:w="1694"/>
        <w:gridCol w:w="1127"/>
        <w:gridCol w:w="1129"/>
        <w:gridCol w:w="1129"/>
        <w:gridCol w:w="1129"/>
        <w:gridCol w:w="1129"/>
        <w:gridCol w:w="1125"/>
      </w:tblGrid>
      <w:tr>
        <w:tblPrEx>
          <w:tblCellMar>
            <w:top w:w="0" w:type="dxa"/>
            <w:left w:w="75" w:type="dxa"/>
            <w:bottom w:w="0" w:type="dxa"/>
            <w:right w:w="75" w:type="dxa"/>
          </w:tblCellMar>
        </w:tblPrEx>
        <w:trPr>
          <w:jc w:val="center"/>
        </w:trPr>
        <w:tc>
          <w:tcPr>
            <w:tcW w:w="1001" w:type="pct"/>
            <w:vMerge w:val="restart"/>
            <w:tcBorders>
              <w:top w:val="single" w:color="auto" w:sz="8" w:space="0"/>
              <w:left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666"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667" w:type="pct"/>
            <w:tcBorders>
              <w:top w:val="single" w:color="auto" w:sz="8" w:space="0"/>
              <w:left w:val="nil"/>
              <w:bottom w:val="single" w:color="auto" w:sz="4" w:space="0"/>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667" w:type="pct"/>
            <w:tcBorders>
              <w:top w:val="single" w:color="auto" w:sz="8" w:space="0"/>
              <w:left w:val="single" w:color="auto" w:sz="4" w:space="0"/>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667"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667"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667" w:type="pct"/>
            <w:tcBorders>
              <w:top w:val="single" w:color="auto" w:sz="8"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r>
      <w:tr>
        <w:tblPrEx>
          <w:tblCellMar>
            <w:top w:w="0" w:type="dxa"/>
            <w:left w:w="75" w:type="dxa"/>
            <w:bottom w:w="0" w:type="dxa"/>
            <w:right w:w="75" w:type="dxa"/>
          </w:tblCellMar>
        </w:tblPrEx>
        <w:trPr>
          <w:jc w:val="center"/>
        </w:trPr>
        <w:tc>
          <w:tcPr>
            <w:tcW w:w="1001" w:type="pct"/>
            <w:vMerge w:val="continue"/>
            <w:tcBorders>
              <w:left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1333" w:type="pct"/>
            <w:gridSpan w:val="2"/>
            <w:tcBorders>
              <w:top w:val="single" w:color="auto" w:sz="4" w:space="0"/>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全国税收调查数据库</w:t>
            </w:r>
          </w:p>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(2008-2011)</w:t>
            </w:r>
          </w:p>
        </w:tc>
        <w:tc>
          <w:tcPr>
            <w:tcW w:w="2666" w:type="pct"/>
            <w:gridSpan w:val="4"/>
            <w:tcBorders>
              <w:top w:val="single" w:color="auto" w:sz="4" w:space="0"/>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全国税调库、工企库、工企污染库和匹配库</w:t>
            </w:r>
          </w:p>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(2008-2011)</w:t>
            </w:r>
          </w:p>
        </w:tc>
      </w:tr>
      <w:tr>
        <w:tblPrEx>
          <w:tblCellMar>
            <w:top w:w="0" w:type="dxa"/>
            <w:left w:w="75" w:type="dxa"/>
            <w:bottom w:w="0" w:type="dxa"/>
            <w:right w:w="75" w:type="dxa"/>
          </w:tblCellMar>
        </w:tblPrEx>
        <w:trPr>
          <w:jc w:val="center"/>
        </w:trPr>
        <w:tc>
          <w:tcPr>
            <w:tcW w:w="1001" w:type="pct"/>
            <w:vMerge w:val="continue"/>
            <w:tcBorders>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666"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CO</w:t>
            </w:r>
            <w:r>
              <w:rPr>
                <w:rFonts w:ascii="Times New Roman" w:hAnsi="Times New Roman" w:eastAsia="仿宋" w:cs="Times New Roman"/>
                <w:i/>
                <w:iCs/>
                <w:kern w:val="0"/>
                <w:sz w:val="18"/>
                <w:szCs w:val="18"/>
                <w:vertAlign w:val="subscript"/>
              </w:rPr>
              <w:t>2</w:t>
            </w:r>
          </w:p>
        </w:tc>
        <w:tc>
          <w:tcPr>
            <w:tcW w:w="667" w:type="pct"/>
            <w:tcBorders>
              <w:top w:val="nil"/>
              <w:left w:val="nil"/>
              <w:bottom w:val="single" w:color="auto" w:sz="6" w:space="0"/>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CO</w:t>
            </w:r>
            <w:r>
              <w:rPr>
                <w:rFonts w:ascii="Times New Roman" w:hAnsi="Times New Roman" w:eastAsia="仿宋" w:cs="Times New Roman"/>
                <w:i/>
                <w:iCs/>
                <w:kern w:val="0"/>
                <w:sz w:val="18"/>
                <w:szCs w:val="18"/>
                <w:vertAlign w:val="subscript"/>
              </w:rPr>
              <w:t>2_jj</w:t>
            </w:r>
          </w:p>
        </w:tc>
        <w:tc>
          <w:tcPr>
            <w:tcW w:w="667" w:type="pct"/>
            <w:tcBorders>
              <w:top w:val="nil"/>
              <w:left w:val="single" w:color="auto" w:sz="4" w:space="0"/>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p>
        </w:tc>
        <w:tc>
          <w:tcPr>
            <w:tcW w:w="66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p>
        </w:tc>
        <w:tc>
          <w:tcPr>
            <w:tcW w:w="66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r>
              <w:rPr>
                <w:rFonts w:ascii="Times New Roman" w:hAnsi="Times New Roman" w:cs="Times New Roman"/>
                <w:i/>
                <w:iCs/>
                <w:kern w:val="0"/>
                <w:sz w:val="18"/>
                <w:szCs w:val="18"/>
              </w:rPr>
              <w:t>_jj</w:t>
            </w:r>
          </w:p>
        </w:tc>
        <w:tc>
          <w:tcPr>
            <w:tcW w:w="66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 (</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r>
              <w:rPr>
                <w:rFonts w:ascii="Times New Roman" w:hAnsi="Times New Roman" w:cs="Times New Roman"/>
                <w:i/>
                <w:iCs/>
                <w:kern w:val="0"/>
                <w:sz w:val="18"/>
                <w:szCs w:val="18"/>
              </w:rPr>
              <w:t>_jj</w:t>
            </w:r>
            <w:r>
              <w:rPr>
                <w:rFonts w:ascii="Times New Roman" w:hAnsi="Times New Roman" w:cs="Times New Roman"/>
                <w:kern w:val="0"/>
                <w:sz w:val="18"/>
                <w:szCs w:val="18"/>
              </w:rPr>
              <w:t>/y)</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cps</w:t>
            </w: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-0.105**</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0.027</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-0.332***</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-0.061***</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-0.152</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sz w:val="18"/>
                <w:szCs w:val="18"/>
              </w:rPr>
              <w:t>0.032</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(0.051)</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(0.034)</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(0.096)</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(0.018)</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(0.174)</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sz w:val="18"/>
                <w:szCs w:val="18"/>
              </w:rPr>
              <w:t>(0.021)</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控制变量</w:t>
            </w: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企业固定效应</w:t>
            </w: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行业固定效应</w:t>
            </w: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城市-年份固定效应</w:t>
            </w: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jc w:val="center"/>
        </w:trPr>
        <w:tc>
          <w:tcPr>
            <w:tcW w:w="1001"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666"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790,959</w:t>
            </w:r>
          </w:p>
        </w:tc>
        <w:tc>
          <w:tcPr>
            <w:tcW w:w="667" w:type="pct"/>
            <w:tcBorders>
              <w:top w:val="nil"/>
              <w:left w:val="nil"/>
              <w:bottom w:val="nil"/>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984,880</w:t>
            </w:r>
          </w:p>
        </w:tc>
        <w:tc>
          <w:tcPr>
            <w:tcW w:w="667" w:type="pct"/>
            <w:tcBorders>
              <w:top w:val="nil"/>
              <w:left w:val="single" w:color="auto" w:sz="4" w:space="0"/>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63,807</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87,471</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81,905</w:t>
            </w:r>
          </w:p>
        </w:tc>
        <w:tc>
          <w:tcPr>
            <w:tcW w:w="66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81,905</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1" w:type="pct"/>
            <w:tcBorders>
              <w:top w:val="nil"/>
              <w:left w:val="nil"/>
              <w:bottom w:val="single" w:color="auto" w:sz="8" w:space="0"/>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666"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0.756</w:t>
            </w:r>
          </w:p>
        </w:tc>
        <w:tc>
          <w:tcPr>
            <w:tcW w:w="667" w:type="pct"/>
            <w:tcBorders>
              <w:top w:val="nil"/>
              <w:left w:val="nil"/>
              <w:bottom w:val="single" w:color="auto" w:sz="8" w:space="0"/>
              <w:right w:val="single" w:color="auto" w:sz="4" w:space="0"/>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0.704</w:t>
            </w:r>
          </w:p>
        </w:tc>
        <w:tc>
          <w:tcPr>
            <w:tcW w:w="667" w:type="pct"/>
            <w:tcBorders>
              <w:top w:val="nil"/>
              <w:left w:val="single" w:color="auto" w:sz="4" w:space="0"/>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0.964</w:t>
            </w:r>
          </w:p>
        </w:tc>
        <w:tc>
          <w:tcPr>
            <w:tcW w:w="667"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0.926</w:t>
            </w:r>
          </w:p>
        </w:tc>
        <w:tc>
          <w:tcPr>
            <w:tcW w:w="667"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0.770</w:t>
            </w:r>
          </w:p>
        </w:tc>
        <w:tc>
          <w:tcPr>
            <w:tcW w:w="667"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0.952</w:t>
            </w:r>
          </w:p>
        </w:tc>
      </w:tr>
    </w:tbl>
    <w:p>
      <w:pPr>
        <w:bidi w:val="0"/>
      </w:pPr>
      <w:bookmarkStart w:id="11" w:name="_Toc160282115"/>
      <w:bookmarkStart w:id="12" w:name="_Toc160281482"/>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center"/>
        <w:rPr>
          <w:rFonts w:hint="eastAsia" w:ascii="楷体" w:hAnsi="楷体" w:eastAsia="楷体" w:cs="楷体"/>
          <w:sz w:val="28"/>
          <w:szCs w:val="32"/>
        </w:rPr>
      </w:pPr>
      <w:r>
        <w:rPr>
          <w:rFonts w:hint="eastAsia" w:ascii="楷体" w:hAnsi="楷体" w:eastAsia="楷体" w:cs="楷体"/>
          <w:sz w:val="28"/>
          <w:szCs w:val="32"/>
        </w:rPr>
        <w:t>附录II 异质性分析</w:t>
      </w:r>
      <w:bookmarkEnd w:id="11"/>
      <w:bookmarkEnd w:id="12"/>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13" w:name="_Toc160281483"/>
      <w:bookmarkStart w:id="14" w:name="_Toc160282116"/>
      <w:r>
        <w:rPr>
          <w:rFonts w:ascii="Times New Roman" w:hAnsi="Times New Roman" w:eastAsia="仿宋" w:cs="Times New Roman"/>
          <w:b/>
          <w:bCs/>
          <w:color w:val="auto"/>
          <w:kern w:val="0"/>
          <w:sz w:val="21"/>
          <w:szCs w:val="21"/>
        </w:rPr>
        <w:t>1.非对称政策效果</w:t>
      </w:r>
      <w:bookmarkEnd w:id="13"/>
      <w:bookmarkEnd w:id="14"/>
    </w:p>
    <w:p>
      <w:pPr>
        <w:ind w:firstLine="396" w:firstLineChars="200"/>
        <w:rPr>
          <w:rFonts w:ascii="Times New Roman" w:hAnsi="Times New Roman" w:eastAsia="仿宋" w:cs="Times New Roman"/>
          <w:szCs w:val="21"/>
        </w:rPr>
      </w:pPr>
      <w:r>
        <w:rPr>
          <w:rFonts w:ascii="Times New Roman" w:hAnsi="Times New Roman" w:eastAsia="仿宋" w:cs="Times New Roman"/>
          <w:szCs w:val="21"/>
        </w:rPr>
        <w:t>表II1报告了非对称政策效果。不同污染排放水平的企业承担的环境治理责任不同，受到的环境规制要求存在显著差异，因此对环境规制的反应行为也有所不同（于亚卓等，2021）。为此，首先构造前定行业污染属性变量，通过计算政策实施前一年四位数行业污染排放强度水平，采用行业SO</w:t>
      </w:r>
      <w:r>
        <w:rPr>
          <w:rFonts w:ascii="Times New Roman" w:hAnsi="Times New Roman" w:eastAsia="仿宋" w:cs="Times New Roman"/>
          <w:szCs w:val="21"/>
          <w:vertAlign w:val="subscript"/>
        </w:rPr>
        <w:t>2</w:t>
      </w:r>
      <w:r>
        <w:rPr>
          <w:rFonts w:ascii="Times New Roman" w:hAnsi="Times New Roman" w:eastAsia="仿宋" w:cs="Times New Roman"/>
          <w:szCs w:val="21"/>
        </w:rPr>
        <w:t>排放量与工业增加值的比值表示，另外，根据中位数设定污染行业哑变量(</w:t>
      </w:r>
      <w:r>
        <w:rPr>
          <w:rFonts w:ascii="Times New Roman" w:hAnsi="Times New Roman" w:eastAsia="仿宋" w:cs="Times New Roman"/>
          <w:i/>
          <w:iCs/>
          <w:szCs w:val="21"/>
        </w:rPr>
        <w:t>pollution50</w:t>
      </w:r>
      <w:r>
        <w:rPr>
          <w:rFonts w:ascii="Times New Roman" w:hAnsi="Times New Roman" w:eastAsia="仿宋" w:cs="Times New Roman"/>
          <w:szCs w:val="21"/>
        </w:rPr>
        <w:t>)，进而构造清洁生产标准实施与污染行业属性交叉项</w:t>
      </w:r>
      <w:r>
        <w:rPr>
          <w:rFonts w:ascii="Times New Roman" w:hAnsi="Times New Roman" w:eastAsia="仿宋" w:cs="Times New Roman"/>
          <w:i/>
          <w:iCs/>
          <w:szCs w:val="21"/>
        </w:rPr>
        <w:t>cps</w:t>
      </w:r>
      <w:r>
        <w:rPr>
          <w:rFonts w:ascii="Times New Roman" w:hAnsi="Times New Roman" w:eastAsia="仿宋" w:cs="Times New Roman"/>
          <w:i/>
          <w:iCs/>
          <w:szCs w:val="21"/>
          <w:vertAlign w:val="subscript"/>
        </w:rPr>
        <w:t>it</w:t>
      </w:r>
      <w:r>
        <w:rPr>
          <w:rFonts w:ascii="Times New Roman" w:hAnsi="Times New Roman" w:eastAsia="仿宋" w:cs="Times New Roman"/>
          <w:szCs w:val="21"/>
        </w:rPr>
        <w:t>×</w:t>
      </w:r>
      <w:r>
        <w:rPr>
          <w:rFonts w:ascii="Times New Roman" w:hAnsi="Times New Roman" w:eastAsia="仿宋" w:cs="Times New Roman"/>
          <w:i/>
          <w:iCs/>
          <w:szCs w:val="21"/>
        </w:rPr>
        <w:t>pollution50</w:t>
      </w:r>
      <w:r>
        <w:rPr>
          <w:rFonts w:ascii="Times New Roman" w:hAnsi="Times New Roman" w:eastAsia="仿宋" w:cs="Times New Roman"/>
          <w:i/>
          <w:iCs/>
          <w:szCs w:val="21"/>
          <w:vertAlign w:val="subscript"/>
        </w:rPr>
        <w:t>it</w:t>
      </w:r>
      <w:r>
        <w:rPr>
          <w:rFonts w:ascii="Times New Roman" w:hAnsi="Times New Roman" w:eastAsia="仿宋" w:cs="Times New Roman"/>
          <w:szCs w:val="21"/>
        </w:rPr>
        <w:t>,，其系数是关注焦点。列（1）和列（2）报告了估计结果，发现高污染企业表现出更强的减污降碳协同效应。二是除设定行业污染水平哑变量之外，基于广义DID方法（Nunn and Qian,2011），直接构造清洁生产标准实施变量与企业SO</w:t>
      </w:r>
      <w:r>
        <w:rPr>
          <w:rFonts w:ascii="Times New Roman" w:hAnsi="Times New Roman" w:eastAsia="仿宋" w:cs="Times New Roman"/>
          <w:szCs w:val="21"/>
          <w:vertAlign w:val="subscript"/>
        </w:rPr>
        <w:t>2</w:t>
      </w:r>
      <w:r>
        <w:rPr>
          <w:rFonts w:ascii="Times New Roman" w:hAnsi="Times New Roman" w:eastAsia="仿宋" w:cs="Times New Roman"/>
          <w:szCs w:val="21"/>
        </w:rPr>
        <w:t>排放强度交叉项</w:t>
      </w:r>
      <w:r>
        <w:rPr>
          <w:rFonts w:ascii="Times New Roman" w:hAnsi="Times New Roman" w:eastAsia="仿宋" w:cs="Times New Roman"/>
          <w:i/>
          <w:iCs/>
          <w:szCs w:val="21"/>
        </w:rPr>
        <w:t>cps</w:t>
      </w:r>
      <w:r>
        <w:rPr>
          <w:rFonts w:ascii="Times New Roman" w:hAnsi="Times New Roman" w:eastAsia="仿宋" w:cs="Times New Roman"/>
          <w:szCs w:val="21"/>
        </w:rPr>
        <w:t>×ln</w:t>
      </w:r>
      <w:r>
        <w:rPr>
          <w:rFonts w:ascii="Times New Roman" w:hAnsi="Times New Roman" w:eastAsia="仿宋" w:cs="Times New Roman"/>
          <w:i/>
          <w:iCs/>
          <w:szCs w:val="21"/>
        </w:rPr>
        <w:t>so2den</w:t>
      </w:r>
      <w:r>
        <w:rPr>
          <w:rFonts w:ascii="Times New Roman" w:hAnsi="Times New Roman" w:eastAsia="仿宋" w:cs="Times New Roman"/>
          <w:szCs w:val="21"/>
        </w:rPr>
        <w:t>进行验证。列（3）和列（4）中，交叉项系数均显著为负，同样表明高污染企业减污降碳效应更显著。</w:t>
      </w:r>
    </w:p>
    <w:p>
      <w:pPr>
        <w:snapToGrid w:val="0"/>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表II1 非对称政策效果</w:t>
      </w:r>
    </w:p>
    <w:tbl>
      <w:tblPr>
        <w:tblStyle w:val="24"/>
        <w:tblW w:w="5000" w:type="pct"/>
        <w:jc w:val="center"/>
        <w:tblLayout w:type="autofit"/>
        <w:tblCellMar>
          <w:top w:w="0" w:type="dxa"/>
          <w:left w:w="75" w:type="dxa"/>
          <w:bottom w:w="0" w:type="dxa"/>
          <w:right w:w="75" w:type="dxa"/>
        </w:tblCellMar>
      </w:tblPr>
      <w:tblGrid>
        <w:gridCol w:w="2719"/>
        <w:gridCol w:w="1461"/>
        <w:gridCol w:w="1364"/>
        <w:gridCol w:w="1459"/>
        <w:gridCol w:w="1459"/>
      </w:tblGrid>
      <w:tr>
        <w:tblPrEx>
          <w:tblCellMar>
            <w:top w:w="0" w:type="dxa"/>
            <w:left w:w="75" w:type="dxa"/>
            <w:bottom w:w="0" w:type="dxa"/>
            <w:right w:w="75" w:type="dxa"/>
          </w:tblCellMar>
        </w:tblPrEx>
        <w:trPr>
          <w:cantSplit/>
          <w:jc w:val="center"/>
        </w:trPr>
        <w:tc>
          <w:tcPr>
            <w:tcW w:w="1607" w:type="pct"/>
            <w:vMerge w:val="restart"/>
            <w:tcBorders>
              <w:top w:val="single" w:color="auto" w:sz="8" w:space="0"/>
              <w:left w:val="nil"/>
              <w:right w:val="nil"/>
            </w:tcBorders>
          </w:tcPr>
          <w:p>
            <w:pPr>
              <w:autoSpaceDE w:val="0"/>
              <w:autoSpaceDN w:val="0"/>
              <w:adjustRightInd w:val="0"/>
              <w:snapToGrid w:val="0"/>
              <w:jc w:val="left"/>
              <w:rPr>
                <w:rFonts w:ascii="Times New Roman" w:hAnsi="Times New Roman" w:cs="Times New Roman"/>
                <w:kern w:val="0"/>
                <w:sz w:val="18"/>
                <w:szCs w:val="18"/>
              </w:rPr>
            </w:pPr>
          </w:p>
        </w:tc>
        <w:tc>
          <w:tcPr>
            <w:tcW w:w="863"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p>
        </w:tc>
        <w:tc>
          <w:tcPr>
            <w:tcW w:w="806"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p>
        </w:tc>
        <w:tc>
          <w:tcPr>
            <w:tcW w:w="862"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p>
        </w:tc>
        <w:tc>
          <w:tcPr>
            <w:tcW w:w="862" w:type="pct"/>
            <w:tcBorders>
              <w:top w:val="single" w:color="auto" w:sz="8"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p>
        </w:tc>
      </w:tr>
      <w:tr>
        <w:tblPrEx>
          <w:tblCellMar>
            <w:top w:w="0" w:type="dxa"/>
            <w:left w:w="75" w:type="dxa"/>
            <w:bottom w:w="0" w:type="dxa"/>
            <w:right w:w="75" w:type="dxa"/>
          </w:tblCellMar>
        </w:tblPrEx>
        <w:trPr>
          <w:cantSplit/>
          <w:jc w:val="center"/>
        </w:trPr>
        <w:tc>
          <w:tcPr>
            <w:tcW w:w="1607" w:type="pct"/>
            <w:vMerge w:val="continue"/>
            <w:tcBorders>
              <w:left w:val="nil"/>
              <w:bottom w:val="single" w:color="auto" w:sz="4" w:space="0"/>
              <w:right w:val="nil"/>
            </w:tcBorders>
          </w:tcPr>
          <w:p>
            <w:pPr>
              <w:autoSpaceDE w:val="0"/>
              <w:autoSpaceDN w:val="0"/>
              <w:adjustRightInd w:val="0"/>
              <w:snapToGrid w:val="0"/>
              <w:jc w:val="left"/>
              <w:rPr>
                <w:rFonts w:ascii="Times New Roman" w:hAnsi="Times New Roman" w:cs="Times New Roman"/>
                <w:kern w:val="0"/>
                <w:sz w:val="18"/>
                <w:szCs w:val="18"/>
              </w:rPr>
            </w:pPr>
          </w:p>
        </w:tc>
        <w:tc>
          <w:tcPr>
            <w:tcW w:w="863" w:type="pct"/>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806" w:type="pct"/>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862" w:type="pct"/>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862" w:type="pct"/>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r>
      <w:tr>
        <w:tblPrEx>
          <w:tblCellMar>
            <w:top w:w="0" w:type="dxa"/>
            <w:left w:w="75" w:type="dxa"/>
            <w:bottom w:w="0" w:type="dxa"/>
            <w:right w:w="75" w:type="dxa"/>
          </w:tblCellMar>
        </w:tblPrEx>
        <w:trPr>
          <w:cantSplit/>
          <w:jc w:val="center"/>
        </w:trPr>
        <w:tc>
          <w:tcPr>
            <w:tcW w:w="1607" w:type="pct"/>
            <w:tcBorders>
              <w:top w:val="single" w:color="auto" w:sz="4" w:space="0"/>
              <w:left w:val="nil"/>
              <w:bottom w:val="nil"/>
              <w:right w:val="nil"/>
            </w:tcBorders>
          </w:tcPr>
          <w:p>
            <w:pPr>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i/>
                <w:iCs/>
                <w:kern w:val="0"/>
                <w:sz w:val="18"/>
                <w:szCs w:val="18"/>
              </w:rPr>
              <w:t>cps</w:t>
            </w:r>
            <w:r>
              <w:rPr>
                <w:rFonts w:ascii="Times New Roman" w:hAnsi="Times New Roman" w:cs="Times New Roman"/>
                <w:kern w:val="0"/>
                <w:sz w:val="18"/>
                <w:szCs w:val="18"/>
              </w:rPr>
              <w:t>×</w:t>
            </w:r>
            <w:r>
              <w:rPr>
                <w:rFonts w:ascii="Times New Roman" w:hAnsi="Times New Roman" w:cs="Times New Roman"/>
                <w:i/>
                <w:iCs/>
                <w:kern w:val="0"/>
                <w:sz w:val="18"/>
                <w:szCs w:val="18"/>
              </w:rPr>
              <w:t>pollution50</w:t>
            </w:r>
          </w:p>
        </w:tc>
        <w:tc>
          <w:tcPr>
            <w:tcW w:w="863" w:type="pct"/>
            <w:tcBorders>
              <w:top w:val="single" w:color="auto" w:sz="4" w:space="0"/>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-0.121***</w:t>
            </w:r>
          </w:p>
        </w:tc>
        <w:tc>
          <w:tcPr>
            <w:tcW w:w="806" w:type="pct"/>
            <w:tcBorders>
              <w:top w:val="single" w:color="auto" w:sz="4" w:space="0"/>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-0.077**</w:t>
            </w:r>
          </w:p>
        </w:tc>
        <w:tc>
          <w:tcPr>
            <w:tcW w:w="862" w:type="pct"/>
            <w:tcBorders>
              <w:top w:val="single" w:color="auto" w:sz="4" w:space="0"/>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-0.144***</w:t>
            </w:r>
          </w:p>
        </w:tc>
        <w:tc>
          <w:tcPr>
            <w:tcW w:w="862" w:type="pct"/>
            <w:tcBorders>
              <w:top w:val="single" w:color="auto" w:sz="4" w:space="0"/>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-0.093***</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 w:val="18"/>
                <w:szCs w:val="18"/>
              </w:rPr>
            </w:pP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(0.045)</w:t>
            </w: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(0.032)</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(0.045)</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(0.018)</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i/>
                <w:iCs/>
                <w:kern w:val="0"/>
                <w:sz w:val="18"/>
                <w:szCs w:val="18"/>
              </w:rPr>
              <w:t>cps</w:t>
            </w:r>
            <w:r>
              <w:rPr>
                <w:rFonts w:ascii="Times New Roman" w:hAnsi="Times New Roman" w:cs="Times New Roman"/>
                <w:kern w:val="0"/>
                <w:sz w:val="18"/>
                <w:szCs w:val="18"/>
              </w:rPr>
              <w:t>×ln</w:t>
            </w:r>
            <w:r>
              <w:rPr>
                <w:rFonts w:ascii="Times New Roman" w:hAnsi="Times New Roman" w:cs="Times New Roman"/>
                <w:i/>
                <w:iCs/>
                <w:kern w:val="0"/>
                <w:sz w:val="18"/>
                <w:szCs w:val="18"/>
              </w:rPr>
              <w:t>so2den</w:t>
            </w: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-0.160***</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-0.117***</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 w:val="18"/>
                <w:szCs w:val="18"/>
              </w:rPr>
            </w:pP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(0.042)</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(0.017)</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cps</w:t>
            </w: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-0.040</w:t>
            </w: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0.012</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0.121***</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0.044***</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 w:val="18"/>
                <w:szCs w:val="18"/>
              </w:rPr>
            </w:pP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(0.038)</w:t>
            </w: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(0.027)</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(0.029)</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(0.016)</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pollution50</w:t>
            </w: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-0.013</w:t>
            </w: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0.078***</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 w:val="18"/>
                <w:szCs w:val="18"/>
              </w:rPr>
            </w:pP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(0.021)</w:t>
            </w: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(0.014)</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lnso2den</w:t>
            </w: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1.903***</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0.585***</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 w:val="18"/>
                <w:szCs w:val="18"/>
              </w:rPr>
            </w:pP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(0.020)</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(0.007)</w:t>
            </w:r>
          </w:p>
        </w:tc>
      </w:tr>
      <w:tr>
        <w:tblPrEx>
          <w:tblCellMar>
            <w:top w:w="0" w:type="dxa"/>
            <w:left w:w="75" w:type="dxa"/>
            <w:bottom w:w="0" w:type="dxa"/>
            <w:right w:w="75" w:type="dxa"/>
          </w:tblCellMar>
        </w:tblPrEx>
        <w:trPr>
          <w:cantSplit/>
          <w:jc w:val="center"/>
        </w:trPr>
        <w:tc>
          <w:tcPr>
            <w:tcW w:w="1607" w:type="pct"/>
            <w:tcBorders>
              <w:top w:val="nil"/>
              <w:left w:val="nil"/>
              <w:bottom w:val="nil"/>
              <w:right w:val="nil"/>
            </w:tcBorders>
          </w:tcPr>
          <w:p>
            <w:pPr>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Observations</w:t>
            </w:r>
          </w:p>
        </w:tc>
        <w:tc>
          <w:tcPr>
            <w:tcW w:w="863"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312,966</w:t>
            </w:r>
          </w:p>
        </w:tc>
        <w:tc>
          <w:tcPr>
            <w:tcW w:w="806"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371,658</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317,830</w:t>
            </w:r>
          </w:p>
        </w:tc>
        <w:tc>
          <w:tcPr>
            <w:tcW w:w="862" w:type="pct"/>
            <w:tcBorders>
              <w:top w:val="nil"/>
              <w:left w:val="nil"/>
              <w:bottom w:val="nil"/>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317,685</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1607" w:type="pct"/>
            <w:tcBorders>
              <w:top w:val="nil"/>
              <w:left w:val="nil"/>
              <w:bottom w:val="single" w:color="auto" w:sz="8" w:space="0"/>
              <w:right w:val="nil"/>
            </w:tcBorders>
          </w:tcPr>
          <w:p>
            <w:pPr>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R-squared</w:t>
            </w:r>
          </w:p>
        </w:tc>
        <w:tc>
          <w:tcPr>
            <w:tcW w:w="863"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0.855</w:t>
            </w:r>
          </w:p>
        </w:tc>
        <w:tc>
          <w:tcPr>
            <w:tcW w:w="806"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0.878</w:t>
            </w:r>
          </w:p>
        </w:tc>
        <w:tc>
          <w:tcPr>
            <w:tcW w:w="862"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0.881</w:t>
            </w:r>
          </w:p>
        </w:tc>
        <w:tc>
          <w:tcPr>
            <w:tcW w:w="862" w:type="pct"/>
            <w:tcBorders>
              <w:top w:val="nil"/>
              <w:left w:val="nil"/>
              <w:bottom w:val="single" w:color="auto" w:sz="8" w:space="0"/>
              <w:right w:val="nil"/>
            </w:tcBorders>
          </w:tcPr>
          <w:p>
            <w:pPr>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0.888</w:t>
            </w:r>
          </w:p>
        </w:tc>
      </w:tr>
    </w:tbl>
    <w:p>
      <w:pPr>
        <w:adjustRightInd w:val="0"/>
        <w:snapToGrid w:val="0"/>
        <w:jc w:val="right"/>
        <w:rPr>
          <w:rFonts w:ascii="Times New Roman" w:hAnsi="Times New Roman" w:eastAsia="仿宋" w:cs="Times New Roman"/>
        </w:rPr>
      </w:pPr>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15" w:name="_Toc160282117"/>
      <w:bookmarkStart w:id="16" w:name="_Toc160281484"/>
      <w:r>
        <w:rPr>
          <w:rFonts w:ascii="Times New Roman" w:hAnsi="Times New Roman" w:eastAsia="仿宋" w:cs="Times New Roman"/>
          <w:b/>
          <w:bCs/>
          <w:color w:val="auto"/>
          <w:kern w:val="0"/>
          <w:sz w:val="21"/>
          <w:szCs w:val="21"/>
        </w:rPr>
        <w:t>2.行业异质性</w:t>
      </w:r>
      <w:bookmarkEnd w:id="15"/>
      <w:bookmarkEnd w:id="16"/>
    </w:p>
    <w:p>
      <w:pPr>
        <w:ind w:firstLine="396" w:firstLineChars="200"/>
        <w:rPr>
          <w:rFonts w:ascii="Times New Roman" w:hAnsi="Times New Roman" w:eastAsia="仿宋" w:cs="Times New Roman"/>
          <w:szCs w:val="21"/>
        </w:rPr>
      </w:pPr>
      <w:r>
        <w:rPr>
          <w:rFonts w:ascii="Times New Roman" w:hAnsi="Times New Roman" w:eastAsia="仿宋" w:cs="Times New Roman"/>
          <w:szCs w:val="21"/>
        </w:rPr>
        <w:t>表</w:t>
      </w:r>
      <w:r>
        <w:rPr>
          <w:rFonts w:hint="eastAsia" w:ascii="Times New Roman" w:hAnsi="Times New Roman" w:eastAsia="仿宋" w:cs="Times New Roman"/>
          <w:szCs w:val="21"/>
        </w:rPr>
        <w:t>II</w:t>
      </w:r>
      <w:r>
        <w:rPr>
          <w:rFonts w:ascii="Times New Roman" w:hAnsi="Times New Roman" w:eastAsia="仿宋" w:cs="Times New Roman"/>
          <w:szCs w:val="21"/>
        </w:rPr>
        <w:t>2报告了行业异质性估计结果。</w:t>
      </w:r>
      <w:r>
        <w:rPr>
          <w:rFonts w:ascii="Times New Roman" w:hAnsi="Times New Roman" w:eastAsia="仿宋" w:cs="Times New Roman"/>
          <w:kern w:val="0"/>
          <w:szCs w:val="21"/>
        </w:rPr>
        <w:t>本文</w:t>
      </w:r>
      <w:r>
        <w:rPr>
          <w:rFonts w:ascii="Times New Roman" w:hAnsi="Times New Roman" w:eastAsia="仿宋" w:cs="Times New Roman"/>
          <w:szCs w:val="21"/>
        </w:rPr>
        <w:t>关注的核心是系数</w:t>
      </w:r>
      <w:r>
        <w:rPr>
          <w:rFonts w:ascii="Times New Roman" w:hAnsi="Times New Roman" w:eastAsia="仿宋" w:cs="Times New Roman"/>
          <w:i/>
          <w:iCs/>
          <w:szCs w:val="21"/>
        </w:rPr>
        <w:t>β</w:t>
      </w:r>
      <w:r>
        <w:rPr>
          <w:rFonts w:ascii="Times New Roman" w:hAnsi="Times New Roman" w:eastAsia="仿宋" w:cs="Times New Roman"/>
          <w:i/>
          <w:iCs/>
          <w:szCs w:val="21"/>
          <w:vertAlign w:val="subscript"/>
        </w:rPr>
        <w:t>1</w:t>
      </w:r>
      <w:r>
        <w:rPr>
          <w:rFonts w:ascii="Times New Roman" w:hAnsi="Times New Roman" w:eastAsia="仿宋" w:cs="Times New Roman"/>
          <w:szCs w:val="21"/>
        </w:rPr>
        <w:t>和α</w:t>
      </w:r>
      <w:r>
        <w:rPr>
          <w:rFonts w:ascii="Times New Roman" w:hAnsi="Times New Roman" w:eastAsia="仿宋" w:cs="Times New Roman"/>
          <w:szCs w:val="21"/>
          <w:vertAlign w:val="subscript"/>
        </w:rPr>
        <w:t>1</w:t>
      </w:r>
      <w:r>
        <w:rPr>
          <w:rFonts w:ascii="Times New Roman" w:hAnsi="Times New Roman" w:eastAsia="仿宋" w:cs="Times New Roman"/>
          <w:szCs w:val="21"/>
        </w:rPr>
        <w:t>，存在四种情况（情形I：</w:t>
      </w:r>
      <w:r>
        <w:rPr>
          <w:rFonts w:ascii="Times New Roman" w:hAnsi="Times New Roman" w:eastAsia="仿宋" w:cs="Times New Roman"/>
          <w:i/>
          <w:iCs/>
          <w:szCs w:val="21"/>
        </w:rPr>
        <w:t>β</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＞0，α</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w:t>
      </w:r>
      <w:r>
        <w:rPr>
          <w:rFonts w:ascii="Times New Roman" w:hAnsi="Times New Roman" w:eastAsia="仿宋" w:cs="Times New Roman"/>
          <w:szCs w:val="21"/>
        </w:rPr>
        <w:t>；情形II：</w:t>
      </w:r>
      <w:r>
        <w:rPr>
          <w:rFonts w:ascii="Times New Roman" w:hAnsi="Times New Roman" w:eastAsia="仿宋" w:cs="Times New Roman"/>
          <w:i/>
          <w:iCs/>
          <w:szCs w:val="21"/>
        </w:rPr>
        <w:t>β</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＜0，α</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w:t>
      </w:r>
      <w:r>
        <w:rPr>
          <w:rFonts w:ascii="Times New Roman" w:hAnsi="Times New Roman" w:eastAsia="仿宋" w:cs="Times New Roman"/>
          <w:szCs w:val="21"/>
        </w:rPr>
        <w:t>；情形III：</w:t>
      </w:r>
      <w:r>
        <w:rPr>
          <w:rFonts w:ascii="Times New Roman" w:hAnsi="Times New Roman" w:eastAsia="仿宋" w:cs="Times New Roman"/>
          <w:i/>
          <w:iCs/>
          <w:szCs w:val="21"/>
        </w:rPr>
        <w:t>β</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＜0，α</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w:t>
      </w:r>
      <w:r>
        <w:rPr>
          <w:rFonts w:ascii="Times New Roman" w:hAnsi="Times New Roman" w:eastAsia="仿宋" w:cs="Times New Roman"/>
          <w:szCs w:val="21"/>
        </w:rPr>
        <w:t>；情形IV：</w:t>
      </w:r>
      <w:r>
        <w:rPr>
          <w:rFonts w:ascii="Times New Roman" w:hAnsi="Times New Roman" w:eastAsia="仿宋" w:cs="Times New Roman"/>
          <w:i/>
          <w:iCs/>
          <w:szCs w:val="21"/>
        </w:rPr>
        <w:t>β</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＞0，α</w:t>
      </w:r>
      <w:r>
        <w:rPr>
          <w:rFonts w:ascii="Times New Roman" w:hAnsi="Times New Roman" w:eastAsia="仿宋" w:cs="Times New Roman"/>
          <w:i/>
          <w:iCs/>
          <w:szCs w:val="21"/>
          <w:vertAlign w:val="subscript"/>
        </w:rPr>
        <w:t>1</w:t>
      </w:r>
      <w:r>
        <w:rPr>
          <w:rFonts w:ascii="Times New Roman" w:hAnsi="Times New Roman" w:eastAsia="仿宋" w:cs="Times New Roman"/>
          <w:i/>
          <w:iCs/>
          <w:szCs w:val="21"/>
        </w:rPr>
        <w:t>＜0</w:t>
      </w:r>
      <w:r>
        <w:rPr>
          <w:rFonts w:ascii="Times New Roman" w:hAnsi="Times New Roman" w:eastAsia="仿宋" w:cs="Times New Roman"/>
          <w:szCs w:val="21"/>
        </w:rPr>
        <w:t>）。符合情形I的二位数行业为19、25、28和33，减污和降碳效应都不存在。符合情形II的行业有15、26、34、40，仅行业15降碳效应显著。符合情形III的行业有13、14、16、20、22、31、32和39，实现了减污降碳协同控制，但显著性有差异。符合情形IV的有行业17和36，仅行业17降碳效应显著。综上可知，生态环境部出台实施的清洁生产标准效果突出，促进了大多数行业实现减污降碳协同控制，以及促进部分行业实现减污或降碳，仅有少数行业减污降碳效应都不存在。这一结论为推动重点行业强制性清洁生产审核提供了政策指引，需加强对情形I中有关行业的清洁生产审核力度，完善“一行一策”。其他情形中，应适时推进四位数行业清洁生产标准扩围，推进探索清洁生产审核分类管理模式。</w:t>
      </w:r>
    </w:p>
    <w:p>
      <w:pPr>
        <w:rPr>
          <w:rFonts w:ascii="Times New Roman" w:hAnsi="Times New Roman" w:eastAsia="仿宋" w:cs="Times New Roman"/>
          <w:sz w:val="15"/>
          <w:szCs w:val="15"/>
        </w:rPr>
        <w:sectPr>
          <w:footerReference r:id="rId5" w:type="default"/>
          <w:footnotePr>
            <w:numFmt w:val="decimalEnclosedCircleChinese"/>
            <w:numRestart w:val="eachPage"/>
          </w:footnotePr>
          <w:endnotePr>
            <w:numFmt w:val="decimalEnclosedCircleChinese"/>
          </w:endnotePr>
          <w:pgSz w:w="11906" w:h="16838"/>
          <w:pgMar w:top="1440" w:right="1797" w:bottom="1440" w:left="1797" w:header="851" w:footer="992" w:gutter="0"/>
          <w:pgNumType w:start="1"/>
          <w:cols w:space="425" w:num="1"/>
          <w:docGrid w:type="linesAndChars" w:linePitch="357" w:charSpace="-2478"/>
        </w:sectPr>
      </w:pPr>
    </w:p>
    <w:p>
      <w:pPr>
        <w:adjustRightInd w:val="0"/>
        <w:snapToGrid w:val="0"/>
        <w:rPr>
          <w:rFonts w:ascii="Times New Roman" w:hAnsi="Times New Roman" w:eastAsia="仿宋" w:cs="Times New Roman"/>
          <w:sz w:val="15"/>
          <w:szCs w:val="15"/>
          <w:shd w:val="clear" w:color="auto" w:fill="FFFFFF"/>
        </w:rPr>
      </w:pPr>
    </w:p>
    <w:p>
      <w:pPr>
        <w:snapToGrid w:val="0"/>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表II2 行业异质性</w:t>
      </w:r>
    </w:p>
    <w:tbl>
      <w:tblPr>
        <w:tblStyle w:val="24"/>
        <w:tblW w:w="6000" w:type="pct"/>
        <w:jc w:val="center"/>
        <w:tblLayout w:type="autofit"/>
        <w:tblCellMar>
          <w:top w:w="0" w:type="dxa"/>
          <w:left w:w="75" w:type="dxa"/>
          <w:bottom w:w="0" w:type="dxa"/>
          <w:right w:w="75" w:type="dxa"/>
        </w:tblCellMar>
      </w:tblPr>
      <w:tblGrid>
        <w:gridCol w:w="1238"/>
        <w:gridCol w:w="835"/>
        <w:gridCol w:w="937"/>
        <w:gridCol w:w="840"/>
        <w:gridCol w:w="938"/>
        <w:gridCol w:w="938"/>
        <w:gridCol w:w="840"/>
        <w:gridCol w:w="840"/>
        <w:gridCol w:w="840"/>
        <w:gridCol w:w="938"/>
        <w:gridCol w:w="840"/>
        <w:gridCol w:w="840"/>
        <w:gridCol w:w="938"/>
        <w:gridCol w:w="840"/>
        <w:gridCol w:w="938"/>
        <w:gridCol w:w="840"/>
        <w:gridCol w:w="840"/>
        <w:gridCol w:w="840"/>
        <w:gridCol w:w="830"/>
      </w:tblGrid>
      <w:tr>
        <w:tblPrEx>
          <w:tblCellMar>
            <w:top w:w="0" w:type="dxa"/>
            <w:left w:w="75" w:type="dxa"/>
            <w:bottom w:w="0" w:type="dxa"/>
            <w:right w:w="75" w:type="dxa"/>
          </w:tblCellMar>
        </w:tblPrEx>
        <w:trPr>
          <w:cantSplit/>
          <w:jc w:val="center"/>
        </w:trPr>
        <w:tc>
          <w:tcPr>
            <w:tcW w:w="5000" w:type="pct"/>
            <w:gridSpan w:val="19"/>
            <w:tcBorders>
              <w:top w:val="single" w:color="auto" w:sz="6" w:space="0"/>
              <w:left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Panel A</w:t>
            </w:r>
          </w:p>
        </w:tc>
      </w:tr>
      <w:tr>
        <w:tblPrEx>
          <w:tblCellMar>
            <w:top w:w="0" w:type="dxa"/>
            <w:left w:w="75" w:type="dxa"/>
            <w:bottom w:w="0" w:type="dxa"/>
            <w:right w:w="75" w:type="dxa"/>
          </w:tblCellMar>
        </w:tblPrEx>
        <w:trPr>
          <w:cantSplit/>
          <w:jc w:val="center"/>
        </w:trPr>
        <w:tc>
          <w:tcPr>
            <w:tcW w:w="366" w:type="pct"/>
            <w:vMerge w:val="restart"/>
            <w:tcBorders>
              <w:top w:val="single" w:color="auto" w:sz="6" w:space="0"/>
              <w:left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变量/行业</w:t>
            </w:r>
          </w:p>
        </w:tc>
        <w:tc>
          <w:tcPr>
            <w:tcW w:w="24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27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27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27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w:t>
            </w:r>
          </w:p>
        </w:tc>
        <w:tc>
          <w:tcPr>
            <w:tcW w:w="27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w:t>
            </w:r>
          </w:p>
        </w:tc>
        <w:tc>
          <w:tcPr>
            <w:tcW w:w="27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(12)</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w:t>
            </w:r>
          </w:p>
        </w:tc>
        <w:tc>
          <w:tcPr>
            <w:tcW w:w="277"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(15)</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w:t>
            </w:r>
          </w:p>
        </w:tc>
        <w:tc>
          <w:tcPr>
            <w:tcW w:w="248"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(17)</w:t>
            </w:r>
          </w:p>
        </w:tc>
        <w:tc>
          <w:tcPr>
            <w:tcW w:w="245" w:type="pct"/>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w:t>
            </w:r>
          </w:p>
        </w:tc>
      </w:tr>
      <w:tr>
        <w:tblPrEx>
          <w:tblCellMar>
            <w:top w:w="0" w:type="dxa"/>
            <w:left w:w="75" w:type="dxa"/>
            <w:bottom w:w="0" w:type="dxa"/>
            <w:right w:w="75" w:type="dxa"/>
          </w:tblCellMar>
        </w:tblPrEx>
        <w:trPr>
          <w:cantSplit/>
          <w:jc w:val="center"/>
        </w:trPr>
        <w:tc>
          <w:tcPr>
            <w:tcW w:w="366" w:type="pct"/>
            <w:vMerge w:val="continue"/>
            <w:tcBorders>
              <w:left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15</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17</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31</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32</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33</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36</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39</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40</w:t>
            </w:r>
          </w:p>
        </w:tc>
      </w:tr>
      <w:tr>
        <w:tblPrEx>
          <w:tblCellMar>
            <w:top w:w="0" w:type="dxa"/>
            <w:left w:w="75" w:type="dxa"/>
            <w:bottom w:w="0" w:type="dxa"/>
            <w:right w:w="75" w:type="dxa"/>
          </w:tblCellMar>
        </w:tblPrEx>
        <w:trPr>
          <w:cantSplit/>
          <w:jc w:val="center"/>
        </w:trPr>
        <w:tc>
          <w:tcPr>
            <w:tcW w:w="366" w:type="pct"/>
            <w:vMerge w:val="continue"/>
            <w:tcBorders>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24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c>
          <w:tcPr>
            <w:tcW w:w="24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ln</w:t>
            </w:r>
            <w:r>
              <w:rPr>
                <w:rFonts w:ascii="Times New Roman" w:hAnsi="Times New Roman" w:eastAsia="仿宋" w:cs="Times New Roman"/>
                <w:i/>
                <w:iCs/>
                <w:kern w:val="0"/>
                <w:sz w:val="18"/>
                <w:szCs w:val="18"/>
              </w:rPr>
              <w:t>SO</w:t>
            </w:r>
            <w:r>
              <w:rPr>
                <w:rFonts w:ascii="Times New Roman" w:hAnsi="Times New Roman" w:eastAsia="仿宋" w:cs="Times New Roman"/>
                <w:i/>
                <w:iCs/>
                <w:kern w:val="0"/>
                <w:sz w:val="18"/>
                <w:szCs w:val="18"/>
                <w:vertAlign w:val="subscript"/>
              </w:rPr>
              <w:t>2</w:t>
            </w:r>
          </w:p>
        </w:tc>
      </w:tr>
      <w:tr>
        <w:tblPrEx>
          <w:tblCellMar>
            <w:top w:w="0" w:type="dxa"/>
            <w:left w:w="75" w:type="dxa"/>
            <w:bottom w:w="0" w:type="dxa"/>
            <w:right w:w="75" w:type="dxa"/>
          </w:tblCellMar>
        </w:tblPrEx>
        <w:trPr>
          <w:cantSplit/>
          <w:jc w:val="center"/>
        </w:trPr>
        <w:tc>
          <w:tcPr>
            <w:tcW w:w="366"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cps</w:t>
            </w: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-0.166*</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-0.314***</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0.062</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-0.670***</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-0.268***</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0.166</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-0.414**</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-0.187</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0.765***</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0.031</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0.287</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-0.426***</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-0.033</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0.371***</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0.119</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-0.329</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-0.352</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0.023</w:t>
            </w:r>
          </w:p>
        </w:tc>
      </w:tr>
      <w:tr>
        <w:tblPrEx>
          <w:tblCellMar>
            <w:top w:w="0" w:type="dxa"/>
            <w:left w:w="75" w:type="dxa"/>
            <w:bottom w:w="0" w:type="dxa"/>
            <w:right w:w="75" w:type="dxa"/>
          </w:tblCellMar>
        </w:tblPrEx>
        <w:trPr>
          <w:cantSplit/>
          <w:jc w:val="center"/>
        </w:trPr>
        <w:tc>
          <w:tcPr>
            <w:tcW w:w="366"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(0.095)</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(0.117)</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(0.076)</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(0.230)</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(0.051)</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(0.123)</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(0.208)</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(0.195)</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(0.179)</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(0.068)</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(0.211)</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(0.049)</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(0.073)</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(0.115)</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(0.168)</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(0.705)</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(0.415)</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(0.260)</w:t>
            </w:r>
          </w:p>
        </w:tc>
      </w:tr>
      <w:tr>
        <w:tblPrEx>
          <w:tblCellMar>
            <w:top w:w="0" w:type="dxa"/>
            <w:left w:w="75" w:type="dxa"/>
            <w:bottom w:w="0" w:type="dxa"/>
            <w:right w:w="75" w:type="dxa"/>
          </w:tblCellMar>
        </w:tblPrEx>
        <w:trPr>
          <w:cantSplit/>
          <w:jc w:val="center"/>
        </w:trPr>
        <w:tc>
          <w:tcPr>
            <w:tcW w:w="366"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控制变量</w:t>
            </w: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366"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企业固定效应</w:t>
            </w: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366"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城市-年份固定效应</w:t>
            </w: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有</w:t>
            </w:r>
          </w:p>
        </w:tc>
      </w:tr>
      <w:tr>
        <w:tblPrEx>
          <w:tblCellMar>
            <w:top w:w="0" w:type="dxa"/>
            <w:left w:w="75" w:type="dxa"/>
            <w:bottom w:w="0" w:type="dxa"/>
            <w:right w:w="75" w:type="dxa"/>
          </w:tblCellMar>
        </w:tblPrEx>
        <w:trPr>
          <w:cantSplit/>
          <w:jc w:val="center"/>
        </w:trPr>
        <w:tc>
          <w:tcPr>
            <w:tcW w:w="366" w:type="pct"/>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24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256,886</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252,476</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251,872</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250,729</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260,129</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252,241</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251,163</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250,286</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255,003</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260,262</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251,141</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281,760</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251,751</w:t>
            </w:r>
          </w:p>
        </w:tc>
        <w:tc>
          <w:tcPr>
            <w:tcW w:w="277"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250,647</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250,161</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249,894</w:t>
            </w:r>
          </w:p>
        </w:tc>
        <w:tc>
          <w:tcPr>
            <w:tcW w:w="248"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249,933</w:t>
            </w:r>
          </w:p>
        </w:tc>
        <w:tc>
          <w:tcPr>
            <w:tcW w:w="245" w:type="pct"/>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250,005</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366" w:type="pct"/>
            <w:tcBorders>
              <w:top w:val="nil"/>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24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0.857</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0.857</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0.856</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77"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8"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c>
          <w:tcPr>
            <w:tcW w:w="245" w:type="pct"/>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0.858</w:t>
            </w:r>
          </w:p>
        </w:tc>
      </w:tr>
    </w:tbl>
    <w:p>
      <w:pPr>
        <w:jc w:val="center"/>
        <w:rPr>
          <w:rFonts w:ascii="Times New Roman" w:hAnsi="Times New Roman" w:cs="Times New Roman"/>
          <w:sz w:val="20"/>
          <w:szCs w:val="21"/>
        </w:rPr>
      </w:pPr>
      <w:r>
        <w:rPr>
          <w:rFonts w:ascii="Times New Roman" w:hAnsi="Times New Roman" w:eastAsia="仿宋" w:cs="Times New Roman"/>
          <w:kern w:val="0"/>
          <w:sz w:val="18"/>
          <w:szCs w:val="18"/>
        </w:rPr>
        <w:t>Panel B</w:t>
      </w:r>
    </w:p>
    <w:tbl>
      <w:tblPr>
        <w:tblStyle w:val="24"/>
        <w:tblW w:w="5992" w:type="pct"/>
        <w:jc w:val="center"/>
        <w:tblLayout w:type="autofit"/>
        <w:tblCellMar>
          <w:top w:w="0" w:type="dxa"/>
          <w:left w:w="75" w:type="dxa"/>
          <w:bottom w:w="0" w:type="dxa"/>
          <w:right w:w="75" w:type="dxa"/>
        </w:tblCellMar>
      </w:tblPr>
      <w:tblGrid>
        <w:gridCol w:w="1455"/>
        <w:gridCol w:w="825"/>
        <w:gridCol w:w="891"/>
        <w:gridCol w:w="891"/>
        <w:gridCol w:w="825"/>
        <w:gridCol w:w="825"/>
        <w:gridCol w:w="825"/>
        <w:gridCol w:w="891"/>
        <w:gridCol w:w="825"/>
        <w:gridCol w:w="825"/>
        <w:gridCol w:w="825"/>
        <w:gridCol w:w="825"/>
        <w:gridCol w:w="994"/>
        <w:gridCol w:w="891"/>
        <w:gridCol w:w="825"/>
        <w:gridCol w:w="825"/>
        <w:gridCol w:w="825"/>
        <w:gridCol w:w="994"/>
        <w:gridCol w:w="825"/>
      </w:tblGrid>
      <w:tr>
        <w:tblPrEx>
          <w:tblCellMar>
            <w:top w:w="0" w:type="dxa"/>
            <w:left w:w="75" w:type="dxa"/>
            <w:bottom w:w="0" w:type="dxa"/>
            <w:right w:w="75" w:type="dxa"/>
          </w:tblCellMar>
        </w:tblPrEx>
        <w:trPr>
          <w:jc w:val="center"/>
        </w:trPr>
        <w:tc>
          <w:tcPr>
            <w:tcW w:w="0" w:type="auto"/>
            <w:vMerge w:val="restart"/>
            <w:tcBorders>
              <w:top w:val="single" w:color="auto" w:sz="6" w:space="0"/>
              <w:left w:val="nil"/>
              <w:right w:val="nil"/>
            </w:tcBorders>
          </w:tcPr>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18"/>
                <w:szCs w:val="18"/>
              </w:rPr>
              <w:t>变量/行业</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(5)</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(6)</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(7)</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(8)</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(9)</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(11)</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(10)</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(12)</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(13)</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(14)</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(15)</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(16)</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(17)</w:t>
            </w:r>
          </w:p>
        </w:tc>
        <w:tc>
          <w:tcPr>
            <w:tcW w:w="0" w:type="auto"/>
            <w:tcBorders>
              <w:top w:val="single" w:color="auto" w:sz="6"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(18)</w:t>
            </w:r>
          </w:p>
        </w:tc>
      </w:tr>
      <w:tr>
        <w:tblPrEx>
          <w:tblCellMar>
            <w:top w:w="0" w:type="dxa"/>
            <w:left w:w="75" w:type="dxa"/>
            <w:bottom w:w="0" w:type="dxa"/>
            <w:right w:w="75" w:type="dxa"/>
          </w:tblCellMar>
        </w:tblPrEx>
        <w:trPr>
          <w:jc w:val="center"/>
        </w:trPr>
        <w:tc>
          <w:tcPr>
            <w:tcW w:w="0" w:type="auto"/>
            <w:vMerge w:val="continue"/>
            <w:tcBorders>
              <w:left w:val="nil"/>
              <w:right w:val="nil"/>
            </w:tcBorders>
          </w:tcPr>
          <w:p>
            <w:pPr>
              <w:autoSpaceDE w:val="0"/>
              <w:autoSpaceDN w:val="0"/>
              <w:adjustRightInd w:val="0"/>
              <w:snapToGrid w:val="0"/>
              <w:jc w:val="left"/>
              <w:rPr>
                <w:rFonts w:ascii="Times New Roman" w:hAnsi="Times New Roman" w:eastAsia="仿宋" w:cs="Times New Roman"/>
                <w:kern w:val="0"/>
                <w:sz w:val="20"/>
                <w:szCs w:val="20"/>
              </w:rPr>
            </w:pP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14</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28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34</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40</w:t>
            </w:r>
          </w:p>
        </w:tc>
      </w:tr>
      <w:tr>
        <w:tblPrEx>
          <w:tblCellMar>
            <w:top w:w="0" w:type="dxa"/>
            <w:left w:w="75" w:type="dxa"/>
            <w:bottom w:w="0" w:type="dxa"/>
            <w:right w:w="75" w:type="dxa"/>
          </w:tblCellMar>
        </w:tblPrEx>
        <w:trPr>
          <w:jc w:val="center"/>
        </w:trPr>
        <w:tc>
          <w:tcPr>
            <w:tcW w:w="0" w:type="auto"/>
            <w:vMerge w:val="continue"/>
            <w:tcBorders>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20"/>
                <w:szCs w:val="20"/>
              </w:rPr>
            </w:pP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ln</w:t>
            </w:r>
            <w:r>
              <w:rPr>
                <w:rFonts w:ascii="Times New Roman" w:hAnsi="Times New Roman" w:eastAsia="仿宋" w:cs="Times New Roman"/>
                <w:i/>
                <w:iCs/>
                <w:kern w:val="0"/>
                <w:sz w:val="20"/>
                <w:szCs w:val="20"/>
              </w:rPr>
              <w:t>CO</w:t>
            </w:r>
            <w:r>
              <w:rPr>
                <w:rFonts w:ascii="Times New Roman" w:hAnsi="Times New Roman" w:eastAsia="仿宋" w:cs="Times New Roman"/>
                <w:i/>
                <w:iCs/>
                <w:kern w:val="0"/>
                <w:sz w:val="20"/>
                <w:szCs w:val="20"/>
                <w:vertAlign w:val="subscript"/>
              </w:rPr>
              <w:t>2</w:t>
            </w:r>
          </w:p>
        </w:tc>
      </w:tr>
      <w:tr>
        <w:tblPrEx>
          <w:tblCellMar>
            <w:top w:w="0" w:type="dxa"/>
            <w:left w:w="75" w:type="dxa"/>
            <w:bottom w:w="0" w:type="dxa"/>
            <w:right w:w="75" w:type="dxa"/>
          </w:tblCellMar>
        </w:tblPrEx>
        <w:trPr>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20"/>
                <w:szCs w:val="20"/>
              </w:rPr>
            </w:pPr>
            <w:r>
              <w:rPr>
                <w:rFonts w:ascii="Times New Roman" w:hAnsi="Times New Roman" w:eastAsia="仿宋" w:cs="Times New Roman"/>
                <w:i/>
                <w:iCs/>
                <w:kern w:val="0"/>
                <w:sz w:val="20"/>
                <w:szCs w:val="20"/>
              </w:rPr>
              <w:t>cps</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-0.146**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-0.143**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-0.125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-0.400**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-0.178*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0.011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-0.118***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-0.104**</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0.123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-0.065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1.937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-1.612***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-0.091</w:t>
            </w:r>
          </w:p>
        </w:tc>
      </w:tr>
      <w:tr>
        <w:tblPrEx>
          <w:tblCellMar>
            <w:top w:w="0" w:type="dxa"/>
            <w:left w:w="75" w:type="dxa"/>
            <w:bottom w:w="0" w:type="dxa"/>
            <w:right w:w="75" w:type="dxa"/>
          </w:tblCellMar>
        </w:tblPrEx>
        <w:trPr>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20"/>
                <w:szCs w:val="20"/>
              </w:rPr>
            </w:pP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(0.058)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(0.058)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(0.256)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(0.085)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(0.159)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(0.106)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(0.123)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(0.031)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(0.041)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(0.071)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(1.317)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(0.253)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(0.084)</w:t>
            </w:r>
          </w:p>
        </w:tc>
      </w:tr>
      <w:tr>
        <w:tblPrEx>
          <w:tblCellMar>
            <w:top w:w="0" w:type="dxa"/>
            <w:left w:w="75" w:type="dxa"/>
            <w:bottom w:w="0" w:type="dxa"/>
            <w:right w:w="75" w:type="dxa"/>
          </w:tblCellMar>
        </w:tblPrEx>
        <w:trPr>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控制变量</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r>
      <w:tr>
        <w:tblPrEx>
          <w:tblCellMar>
            <w:top w:w="0" w:type="dxa"/>
            <w:left w:w="75" w:type="dxa"/>
            <w:bottom w:w="0" w:type="dxa"/>
            <w:right w:w="75" w:type="dxa"/>
          </w:tblCellMar>
        </w:tblPrEx>
        <w:trPr>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企业固定效应</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r>
      <w:tr>
        <w:tblPrEx>
          <w:tblCellMar>
            <w:top w:w="0" w:type="dxa"/>
            <w:left w:w="75" w:type="dxa"/>
            <w:bottom w:w="0" w:type="dxa"/>
            <w:right w:w="75" w:type="dxa"/>
          </w:tblCellMar>
        </w:tblPrEx>
        <w:trPr>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城市-年份固定</w:t>
            </w:r>
          </w:p>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效应</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有</w:t>
            </w:r>
          </w:p>
        </w:tc>
      </w:tr>
      <w:tr>
        <w:tblPrEx>
          <w:tblCellMar>
            <w:top w:w="0" w:type="dxa"/>
            <w:left w:w="75" w:type="dxa"/>
            <w:bottom w:w="0" w:type="dxa"/>
            <w:right w:w="75" w:type="dxa"/>
          </w:tblCellMar>
        </w:tblPrEx>
        <w:trPr>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Observations</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314,567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309,819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309,422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307,869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318,073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309,636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308,457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307,413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312,296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cs="Times New Roman"/>
                <w:kern w:val="0"/>
                <w:sz w:val="20"/>
                <w:szCs w:val="20"/>
              </w:rPr>
              <w:t>318,481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308,435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341,905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309,400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307,881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307,551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306,994</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307,109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307,460</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0" w:type="auto"/>
            <w:tcBorders>
              <w:top w:val="nil"/>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20"/>
                <w:szCs w:val="20"/>
              </w:rPr>
            </w:pPr>
            <w:r>
              <w:rPr>
                <w:rFonts w:ascii="Times New Roman" w:hAnsi="Times New Roman" w:eastAsia="仿宋" w:cs="Times New Roman"/>
                <w:kern w:val="0"/>
                <w:sz w:val="20"/>
                <w:szCs w:val="20"/>
              </w:rPr>
              <w:t>R-squared</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0.867</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0.867</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0.869</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0.873</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cs="Times New Roman"/>
                <w:kern w:val="0"/>
                <w:sz w:val="20"/>
                <w:szCs w:val="20"/>
              </w:rPr>
              <w:t>0.871</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0.869</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0.873</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0.869</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0.869</w:t>
            </w:r>
          </w:p>
        </w:tc>
      </w:tr>
    </w:tbl>
    <w:p>
      <w:pPr>
        <w:adjustRightInd w:val="0"/>
        <w:snapToGrid w:val="0"/>
        <w:rPr>
          <w:rFonts w:ascii="Times New Roman" w:hAnsi="Times New Roman" w:eastAsia="仿宋" w:cs="Times New Roman"/>
          <w:sz w:val="16"/>
          <w:szCs w:val="18"/>
        </w:rPr>
        <w:sectPr>
          <w:footnotePr>
            <w:numFmt w:val="decimalEnclosedCircleChinese"/>
            <w:numRestart w:val="eachPage"/>
          </w:footnotePr>
          <w:endnotePr>
            <w:numFmt w:val="decimalEnclosedCircleChinese"/>
          </w:endnotePr>
          <w:pgSz w:w="16838" w:h="11906" w:orient="landscape"/>
          <w:pgMar w:top="1797" w:right="1440" w:bottom="1797" w:left="1440" w:header="851" w:footer="992" w:gutter="0"/>
          <w:cols w:space="425" w:num="1"/>
          <w:docGrid w:type="linesAndChars" w:linePitch="357" w:charSpace="-2478"/>
        </w:sectPr>
      </w:pPr>
      <w:r>
        <w:rPr>
          <w:rFonts w:ascii="Times New Roman" w:hAnsi="Times New Roman" w:eastAsia="仿宋" w:cs="Times New Roman"/>
          <w:sz w:val="16"/>
          <w:szCs w:val="18"/>
        </w:rPr>
        <w:t>注：表头中数字是指政策影响的两位数行业及四位数具体行业，分别是农副食品加工业13（1331、1340、1391）、食品制造业14（1440、1461）、饮料制造业15（1522、1521、1524）、烟草制造业16（1610、1620、1690）、纺织业17（1712）、皮革毛衣羽毛及其制造业19（1910）、木材加工及木竹藤棕草制品业20（2022）、造纸及纸制品业22（2210）、石油加工炼焦及核燃料加工业25（2511、2520）、化学原料及化学制品制造业26（2621、2614、2612）、化学纤维制造业28（2829）、橡胶制造业29（2925）、非金属矿物制品业31（3130、3150）、黑色金属冶炼及压延加工业32（3210、3220、3230、3240）、有色金属冶炼及压延加工业33（3316）、金属制品业34（3460）、专用设备制造业36（3652）、电气机械与器材制造39（3940、3969）、通信设备计算机及其他电子设备制造业40（4062）。回归时，为估计各行业减污降碳净效应、排除其他政策冲击样本干扰，仅保留政策冲击四位数行业及从未受到清洁生产标准实施影响的样本。为简化分析，未对四位数行业进行逐个讨论及控制四位数行业固定效应。行业29估计结果被系统自动删除。</w:t>
      </w:r>
    </w:p>
    <w:p>
      <w:pPr>
        <w:adjustRightInd w:val="0"/>
        <w:snapToGrid w:val="0"/>
        <w:rPr>
          <w:rFonts w:ascii="Times New Roman" w:hAnsi="Times New Roman" w:eastAsia="仿宋" w:cs="Times New Roman"/>
          <w:sz w:val="15"/>
          <w:szCs w:val="15"/>
          <w:shd w:val="clear" w:color="auto" w:fill="FFFFFF"/>
        </w:rPr>
      </w:pPr>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17" w:name="_Toc160281485"/>
      <w:bookmarkStart w:id="18" w:name="_Toc160282118"/>
      <w:r>
        <w:rPr>
          <w:rFonts w:ascii="Times New Roman" w:hAnsi="Times New Roman" w:eastAsia="仿宋" w:cs="Times New Roman"/>
          <w:b/>
          <w:bCs/>
          <w:color w:val="auto"/>
          <w:kern w:val="0"/>
          <w:sz w:val="21"/>
          <w:szCs w:val="21"/>
        </w:rPr>
        <w:t>3.企业所有制异质性</w:t>
      </w:r>
      <w:bookmarkEnd w:id="17"/>
      <w:bookmarkEnd w:id="18"/>
    </w:p>
    <w:p>
      <w:pPr>
        <w:ind w:firstLine="396" w:firstLineChars="200"/>
        <w:rPr>
          <w:rFonts w:ascii="Times New Roman" w:hAnsi="Times New Roman" w:eastAsia="仿宋" w:cs="Times New Roman"/>
        </w:rPr>
      </w:pPr>
      <w:r>
        <w:rPr>
          <w:rFonts w:ascii="Times New Roman" w:hAnsi="Times New Roman" w:eastAsia="仿宋" w:cs="Times New Roman"/>
        </w:rPr>
        <w:t>表</w:t>
      </w:r>
      <w:r>
        <w:rPr>
          <w:rFonts w:hint="eastAsia" w:ascii="Times New Roman" w:hAnsi="Times New Roman" w:eastAsia="仿宋" w:cs="Times New Roman"/>
        </w:rPr>
        <w:t>II</w:t>
      </w:r>
      <w:r>
        <w:rPr>
          <w:rFonts w:ascii="Times New Roman" w:hAnsi="Times New Roman" w:eastAsia="仿宋" w:cs="Times New Roman"/>
        </w:rPr>
        <w:t>3报告了政策效果及有效机制的所有制差异。列（1）和列（2）结果表明，减污和降碳效应在国企和非国企之间未表现出显著差异。列（3）至列（9）中，在源头预防（ln</w:t>
      </w:r>
      <w:r>
        <w:rPr>
          <w:rFonts w:ascii="Times New Roman" w:hAnsi="Times New Roman" w:eastAsia="仿宋" w:cs="Times New Roman"/>
          <w:i/>
          <w:iCs/>
        </w:rPr>
        <w:t>SO2_production、</w:t>
      </w:r>
      <w:r>
        <w:rPr>
          <w:rFonts w:ascii="Times New Roman" w:hAnsi="Times New Roman" w:eastAsia="仿宋" w:cs="Times New Roman"/>
        </w:rPr>
        <w:t>ln</w:t>
      </w:r>
      <w:r>
        <w:rPr>
          <w:rFonts w:ascii="Times New Roman" w:hAnsi="Times New Roman" w:eastAsia="仿宋" w:cs="Times New Roman"/>
          <w:i/>
          <w:iCs/>
        </w:rPr>
        <w:t>coal_den</w:t>
      </w:r>
      <w:r>
        <w:rPr>
          <w:rFonts w:ascii="Times New Roman" w:hAnsi="Times New Roman" w:eastAsia="仿宋" w:cs="Times New Roman"/>
        </w:rPr>
        <w:t>）和末端治理（</w:t>
      </w:r>
      <w:r>
        <w:rPr>
          <w:rFonts w:ascii="Times New Roman" w:hAnsi="Times New Roman" w:eastAsia="仿宋" w:cs="Times New Roman"/>
          <w:i/>
          <w:iCs/>
        </w:rPr>
        <w:t>dispose_rate</w:t>
      </w:r>
      <w:r>
        <w:rPr>
          <w:rFonts w:ascii="Times New Roman" w:hAnsi="Times New Roman" w:eastAsia="仿宋" w:cs="Times New Roman"/>
        </w:rPr>
        <w:t>）机制检验中，交</w:t>
      </w:r>
      <w:r>
        <w:rPr>
          <w:rFonts w:ascii="Times New Roman" w:hAnsi="Times New Roman" w:eastAsia="仿宋" w:cs="Times New Roman"/>
          <w:szCs w:val="21"/>
        </w:rPr>
        <w:t>互项</w:t>
      </w:r>
      <w:r>
        <w:rPr>
          <w:rFonts w:ascii="Times New Roman" w:hAnsi="Times New Roman" w:eastAsia="仿宋" w:cs="Times New Roman"/>
          <w:i/>
          <w:iCs/>
          <w:kern w:val="0"/>
          <w:szCs w:val="21"/>
        </w:rPr>
        <w:t>cps×soe</w:t>
      </w:r>
      <w:r>
        <w:rPr>
          <w:rFonts w:ascii="Times New Roman" w:hAnsi="Times New Roman" w:eastAsia="仿宋" w:cs="Times New Roman"/>
          <w:kern w:val="0"/>
          <w:szCs w:val="21"/>
        </w:rPr>
        <w:t>系数均</w:t>
      </w:r>
      <w:r>
        <w:rPr>
          <w:rFonts w:ascii="Times New Roman" w:hAnsi="Times New Roman" w:eastAsia="仿宋" w:cs="Times New Roman"/>
          <w:szCs w:val="21"/>
        </w:rPr>
        <w:t>不</w:t>
      </w:r>
      <w:r>
        <w:rPr>
          <w:rFonts w:ascii="Times New Roman" w:hAnsi="Times New Roman" w:eastAsia="仿宋" w:cs="Times New Roman"/>
        </w:rPr>
        <w:t>显著，机制作用未呈现出显著的所有制差异。而在过程控制（</w:t>
      </w:r>
      <w:r>
        <w:rPr>
          <w:rFonts w:ascii="Times New Roman" w:hAnsi="Times New Roman" w:eastAsia="仿宋" w:cs="Times New Roman"/>
          <w:i/>
          <w:iCs/>
        </w:rPr>
        <w:t>three_total、entry、exit、dshare</w:t>
      </w:r>
      <w:r>
        <w:rPr>
          <w:rFonts w:ascii="Times New Roman" w:hAnsi="Times New Roman" w:eastAsia="仿宋" w:cs="Times New Roman"/>
        </w:rPr>
        <w:t>）机制中，除能源效率机</w:t>
      </w:r>
      <w:r>
        <w:rPr>
          <w:rFonts w:ascii="Times New Roman" w:hAnsi="Times New Roman" w:eastAsia="仿宋" w:cs="Times New Roman"/>
          <w:szCs w:val="21"/>
        </w:rPr>
        <w:t>制(</w:t>
      </w:r>
      <w:r>
        <w:rPr>
          <w:rFonts w:ascii="Times New Roman" w:hAnsi="Times New Roman" w:cs="Times New Roman"/>
          <w:kern w:val="0"/>
          <w:szCs w:val="21"/>
        </w:rPr>
        <w:t>ln</w:t>
      </w:r>
      <w:r>
        <w:rPr>
          <w:rFonts w:ascii="Times New Roman" w:hAnsi="Times New Roman" w:cs="Times New Roman"/>
          <w:i/>
          <w:iCs/>
          <w:kern w:val="0"/>
          <w:szCs w:val="21"/>
        </w:rPr>
        <w:t>coal_den</w:t>
      </w:r>
      <w:r>
        <w:rPr>
          <w:rFonts w:ascii="Times New Roman" w:hAnsi="Times New Roman" w:eastAsia="仿宋" w:cs="Times New Roman"/>
          <w:szCs w:val="21"/>
        </w:rPr>
        <w:t>)外，交互项</w:t>
      </w:r>
      <w:r>
        <w:rPr>
          <w:rFonts w:ascii="Times New Roman" w:hAnsi="Times New Roman" w:eastAsia="仿宋" w:cs="Times New Roman"/>
          <w:i/>
          <w:iCs/>
          <w:kern w:val="0"/>
          <w:szCs w:val="21"/>
        </w:rPr>
        <w:t>cps×soe</w:t>
      </w:r>
      <w:r>
        <w:rPr>
          <w:rFonts w:ascii="Times New Roman" w:hAnsi="Times New Roman" w:eastAsia="仿宋" w:cs="Times New Roman"/>
          <w:kern w:val="0"/>
          <w:szCs w:val="21"/>
        </w:rPr>
        <w:t>系数</w:t>
      </w:r>
      <w:r>
        <w:rPr>
          <w:rFonts w:ascii="Times New Roman" w:hAnsi="Times New Roman" w:eastAsia="仿宋" w:cs="Times New Roman"/>
          <w:szCs w:val="21"/>
        </w:rPr>
        <w:t>均较为显</w:t>
      </w:r>
      <w:r>
        <w:rPr>
          <w:rFonts w:ascii="Times New Roman" w:hAnsi="Times New Roman" w:eastAsia="仿宋" w:cs="Times New Roman"/>
        </w:rPr>
        <w:t>著，这表明，与非国企相比，国企的波特效应和进入效应更强、但退出效应更弱，国企具有所有制优势，使得其能够获得更多的优惠信贷资源支持，促进扩大绿色技术投资，波特效应更显著，另外，国企在地方“父爱主义”偏袒下，即便成为僵尸企业也难以直接退出市场（聂辉华等，2016）。此外还发现，清洁生产政策使得国企市场份额相对于非国企发生了“此消彼长”的特征，促进资源要素从国企流向机制更活、效率更高的非国有企业，有助于消除市场资源错配以及优化资源配置效率。</w:t>
      </w:r>
    </w:p>
    <w:p>
      <w:pPr>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表II3  企业所有制异质性</w:t>
      </w:r>
    </w:p>
    <w:tbl>
      <w:tblPr>
        <w:tblStyle w:val="24"/>
        <w:tblW w:w="6000" w:type="pct"/>
        <w:jc w:val="center"/>
        <w:tblLayout w:type="autofit"/>
        <w:tblCellMar>
          <w:top w:w="0" w:type="dxa"/>
          <w:left w:w="75" w:type="dxa"/>
          <w:bottom w:w="0" w:type="dxa"/>
          <w:right w:w="75" w:type="dxa"/>
        </w:tblCellMar>
      </w:tblPr>
      <w:tblGrid>
        <w:gridCol w:w="1133"/>
        <w:gridCol w:w="916"/>
        <w:gridCol w:w="916"/>
        <w:gridCol w:w="1490"/>
        <w:gridCol w:w="981"/>
        <w:gridCol w:w="963"/>
        <w:gridCol w:w="916"/>
        <w:gridCol w:w="916"/>
        <w:gridCol w:w="823"/>
        <w:gridCol w:w="1100"/>
      </w:tblGrid>
      <w:tr>
        <w:tblPrEx>
          <w:tblCellMar>
            <w:top w:w="0" w:type="dxa"/>
            <w:left w:w="75" w:type="dxa"/>
            <w:bottom w:w="0" w:type="dxa"/>
            <w:right w:w="75" w:type="dxa"/>
          </w:tblCellMar>
        </w:tblPrEx>
        <w:trPr>
          <w:cantSplit/>
          <w:jc w:val="center"/>
        </w:trPr>
        <w:tc>
          <w:tcPr>
            <w:tcW w:w="0" w:type="auto"/>
            <w:vMerge w:val="restart"/>
            <w:tcBorders>
              <w:top w:val="single" w:color="auto" w:sz="6" w:space="0"/>
              <w:left w:val="nil"/>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r>
              <w:rPr>
                <w:rFonts w:ascii="Times New Roman" w:hAnsi="Times New Roman" w:cs="Times New Roman"/>
                <w:i/>
                <w:iCs/>
                <w:kern w:val="0"/>
                <w:sz w:val="18"/>
                <w:szCs w:val="18"/>
              </w:rPr>
              <w:t>_production</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coal_den</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i/>
                <w:iCs/>
                <w:kern w:val="0"/>
                <w:sz w:val="18"/>
                <w:szCs w:val="18"/>
              </w:rPr>
              <w:t>three_total</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i/>
                <w:iCs/>
                <w:kern w:val="0"/>
                <w:sz w:val="18"/>
                <w:szCs w:val="18"/>
              </w:rPr>
              <w:t>entry</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i/>
                <w:iCs/>
                <w:kern w:val="0"/>
                <w:sz w:val="18"/>
                <w:szCs w:val="18"/>
              </w:rPr>
              <w:t>exit</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i/>
                <w:iCs/>
                <w:kern w:val="0"/>
                <w:sz w:val="18"/>
                <w:szCs w:val="18"/>
              </w:rPr>
              <w:t>dshare</w:t>
            </w:r>
          </w:p>
        </w:tc>
        <w:tc>
          <w:tcPr>
            <w:tcW w:w="0" w:type="auto"/>
            <w:tcBorders>
              <w:top w:val="single" w:color="auto" w:sz="6"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i/>
                <w:iCs/>
                <w:kern w:val="0"/>
                <w:sz w:val="18"/>
                <w:szCs w:val="18"/>
              </w:rPr>
              <w:t>dispose_rate</w:t>
            </w:r>
          </w:p>
        </w:tc>
      </w:tr>
      <w:tr>
        <w:tblPrEx>
          <w:tblCellMar>
            <w:top w:w="0" w:type="dxa"/>
            <w:left w:w="75" w:type="dxa"/>
            <w:bottom w:w="0" w:type="dxa"/>
            <w:right w:w="75" w:type="dxa"/>
          </w:tblCellMar>
        </w:tblPrEx>
        <w:trPr>
          <w:cantSplit/>
          <w:jc w:val="center"/>
        </w:trPr>
        <w:tc>
          <w:tcPr>
            <w:tcW w:w="0" w:type="auto"/>
            <w:vMerge w:val="continue"/>
            <w:tcBorders>
              <w:left w:val="nil"/>
              <w:bottom w:val="single" w:color="auto" w:sz="4" w:space="0"/>
              <w:right w:val="nil"/>
            </w:tcBorders>
          </w:tcPr>
          <w:p>
            <w:pPr>
              <w:autoSpaceDE w:val="0"/>
              <w:autoSpaceDN w:val="0"/>
              <w:adjustRightInd w:val="0"/>
              <w:snapToGrid w:val="0"/>
              <w:jc w:val="left"/>
              <w:rPr>
                <w:rFonts w:ascii="Times New Roman" w:hAnsi="Times New Roman" w:eastAsia="仿宋" w:cs="Times New Roman"/>
                <w:kern w:val="0"/>
                <w:sz w:val="18"/>
                <w:szCs w:val="18"/>
              </w:rPr>
            </w:pP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i/>
                <w:iCs/>
                <w:kern w:val="0"/>
                <w:sz w:val="18"/>
                <w:szCs w:val="18"/>
              </w:rPr>
            </w:pPr>
            <w:r>
              <w:rPr>
                <w:rFonts w:ascii="Times New Roman" w:hAnsi="Times New Roman" w:eastAsia="仿宋" w:cs="Times New Roman"/>
                <w:kern w:val="0"/>
                <w:sz w:val="18"/>
                <w:szCs w:val="18"/>
              </w:rPr>
              <w:t>(5)</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i/>
                <w:iCs/>
                <w:kern w:val="0"/>
                <w:sz w:val="18"/>
                <w:szCs w:val="18"/>
              </w:rPr>
            </w:pPr>
            <w:r>
              <w:rPr>
                <w:rFonts w:ascii="Times New Roman" w:hAnsi="Times New Roman" w:eastAsia="仿宋" w:cs="Times New Roman"/>
                <w:kern w:val="0"/>
                <w:sz w:val="18"/>
                <w:szCs w:val="18"/>
              </w:rPr>
              <w:t>(6)</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i/>
                <w:iCs/>
                <w:kern w:val="0"/>
                <w:sz w:val="18"/>
                <w:szCs w:val="18"/>
              </w:rPr>
            </w:pPr>
            <w:r>
              <w:rPr>
                <w:rFonts w:ascii="Times New Roman" w:hAnsi="Times New Roman" w:eastAsia="仿宋" w:cs="Times New Roman"/>
                <w:kern w:val="0"/>
                <w:sz w:val="18"/>
                <w:szCs w:val="18"/>
              </w:rPr>
              <w:t>(7)</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i/>
                <w:iCs/>
                <w:kern w:val="0"/>
                <w:sz w:val="18"/>
                <w:szCs w:val="18"/>
              </w:rPr>
            </w:pPr>
            <w:r>
              <w:rPr>
                <w:rFonts w:ascii="Times New Roman" w:hAnsi="Times New Roman" w:eastAsia="仿宋" w:cs="Times New Roman"/>
                <w:kern w:val="0"/>
                <w:sz w:val="18"/>
                <w:szCs w:val="18"/>
              </w:rPr>
              <w:t>(8)</w:t>
            </w:r>
          </w:p>
        </w:tc>
        <w:tc>
          <w:tcPr>
            <w:tcW w:w="0" w:type="auto"/>
            <w:tcBorders>
              <w:top w:val="single" w:color="auto" w:sz="4" w:space="0"/>
              <w:left w:val="nil"/>
              <w:bottom w:val="single" w:color="auto" w:sz="4" w:space="0"/>
              <w:right w:val="nil"/>
            </w:tcBorders>
          </w:tcPr>
          <w:p>
            <w:pPr>
              <w:autoSpaceDE w:val="0"/>
              <w:autoSpaceDN w:val="0"/>
              <w:adjustRightInd w:val="0"/>
              <w:snapToGrid w:val="0"/>
              <w:jc w:val="center"/>
              <w:rPr>
                <w:rFonts w:ascii="Times New Roman" w:hAnsi="Times New Roman" w:eastAsia="仿宋" w:cs="Times New Roman"/>
                <w:i/>
                <w:iCs/>
                <w:kern w:val="0"/>
                <w:sz w:val="18"/>
                <w:szCs w:val="18"/>
              </w:rPr>
            </w:pPr>
            <w:r>
              <w:rPr>
                <w:rFonts w:ascii="Times New Roman" w:hAnsi="Times New Roman" w:eastAsia="仿宋" w:cs="Times New Roman"/>
                <w:kern w:val="0"/>
                <w:sz w:val="18"/>
                <w:szCs w:val="18"/>
              </w:rPr>
              <w:t>(9)</w:t>
            </w:r>
          </w:p>
        </w:tc>
      </w:tr>
      <w:tr>
        <w:tblPrEx>
          <w:tblCellMar>
            <w:top w:w="0" w:type="dxa"/>
            <w:left w:w="75" w:type="dxa"/>
            <w:bottom w:w="0" w:type="dxa"/>
            <w:right w:w="75" w:type="dxa"/>
          </w:tblCellMar>
        </w:tblPrEx>
        <w:trPr>
          <w:cantSplit/>
          <w:jc w:val="center"/>
        </w:trPr>
        <w:tc>
          <w:tcPr>
            <w:tcW w:w="0" w:type="auto"/>
            <w:tcBorders>
              <w:top w:val="single" w:color="auto" w:sz="4" w:space="0"/>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cps×soe</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0.070</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-0.060</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0.074</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0.008</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0.311***</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0.030***</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-0.012*</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-0.002**</w:t>
            </w:r>
          </w:p>
        </w:tc>
        <w:tc>
          <w:tcPr>
            <w:tcW w:w="0" w:type="auto"/>
            <w:tcBorders>
              <w:top w:val="single" w:color="auto" w:sz="4" w:space="0"/>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0.022</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(0.040)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(0.088)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(0.118)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(0.019)</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cps</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-0.176***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-0.161***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-0.039***</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0.174***</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0.024***</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(0.031)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(0.042)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(0.052)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(0.004)</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soe</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0.073***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0.015***</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0.073***</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i/>
                <w:iCs/>
                <w:kern w:val="0"/>
                <w:sz w:val="18"/>
                <w:szCs w:val="18"/>
              </w:rPr>
            </w:pP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(0.014)</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(0.031)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(0.002)</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(0.028)</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328,647</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394,528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261,741</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394,676</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324,038</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394,803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394,600</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394,803</w:t>
            </w:r>
          </w:p>
        </w:tc>
        <w:tc>
          <w:tcPr>
            <w:tcW w:w="0" w:type="auto"/>
            <w:tcBorders>
              <w:top w:val="nil"/>
              <w:left w:val="nil"/>
              <w:bottom w:val="nil"/>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52,022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0" w:type="auto"/>
            <w:tcBorders>
              <w:top w:val="nil"/>
              <w:left w:val="nil"/>
              <w:bottom w:val="single" w:color="auto" w:sz="6" w:space="0"/>
              <w:right w:val="nil"/>
            </w:tcBorders>
          </w:tcPr>
          <w:p>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0.855</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0.875</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0.855</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0.705</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0.166</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0.367</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0.342</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0.658</w:t>
            </w:r>
          </w:p>
        </w:tc>
        <w:tc>
          <w:tcPr>
            <w:tcW w:w="0" w:type="auto"/>
            <w:tcBorders>
              <w:top w:val="nil"/>
              <w:left w:val="nil"/>
              <w:bottom w:val="single" w:color="auto" w:sz="6" w:space="0"/>
              <w:right w:val="nil"/>
            </w:tcBorders>
          </w:tcPr>
          <w:p>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0.925</w:t>
            </w:r>
          </w:p>
        </w:tc>
      </w:tr>
    </w:tbl>
    <w:p>
      <w:pPr>
        <w:jc w:val="left"/>
        <w:rPr>
          <w:rFonts w:ascii="Times New Roman" w:hAnsi="Times New Roman" w:eastAsia="仿宋" w:cs="Times New Roman"/>
          <w:sz w:val="15"/>
          <w:szCs w:val="16"/>
        </w:rPr>
      </w:pPr>
      <w:r>
        <w:rPr>
          <w:rFonts w:ascii="Times New Roman" w:hAnsi="Times New Roman" w:eastAsia="仿宋" w:cs="Times New Roman"/>
          <w:sz w:val="15"/>
          <w:szCs w:val="16"/>
        </w:rPr>
        <w:t>注：列（5）采用负二项回归模型进行估计。下同。</w:t>
      </w:r>
    </w:p>
    <w:p>
      <w:pPr>
        <w:jc w:val="left"/>
        <w:rPr>
          <w:rFonts w:ascii="Times New Roman" w:hAnsi="Times New Roman" w:eastAsia="仿宋" w:cs="Times New Roman"/>
          <w:sz w:val="15"/>
          <w:szCs w:val="16"/>
        </w:rPr>
      </w:pPr>
    </w:p>
    <w:p>
      <w:pPr>
        <w:pStyle w:val="3"/>
        <w:keepNext w:val="0"/>
        <w:keepLines w:val="0"/>
        <w:widowControl/>
        <w:spacing w:before="0" w:after="0"/>
        <w:ind w:firstLine="396" w:firstLineChars="200"/>
        <w:jc w:val="left"/>
        <w:rPr>
          <w:rFonts w:ascii="Times New Roman" w:hAnsi="Times New Roman" w:eastAsia="仿宋" w:cs="Times New Roman"/>
          <w:b/>
          <w:bCs/>
          <w:color w:val="auto"/>
          <w:kern w:val="0"/>
          <w:sz w:val="21"/>
          <w:szCs w:val="21"/>
        </w:rPr>
      </w:pPr>
      <w:bookmarkStart w:id="19" w:name="_Toc160282119"/>
      <w:bookmarkStart w:id="20" w:name="_Toc160281486"/>
      <w:r>
        <w:rPr>
          <w:rFonts w:ascii="Times New Roman" w:hAnsi="Times New Roman" w:eastAsia="仿宋" w:cs="Times New Roman"/>
          <w:b/>
          <w:bCs/>
          <w:color w:val="auto"/>
          <w:kern w:val="0"/>
          <w:sz w:val="21"/>
          <w:szCs w:val="21"/>
        </w:rPr>
        <w:t>4.企业规模异质性</w:t>
      </w:r>
      <w:bookmarkEnd w:id="19"/>
      <w:bookmarkEnd w:id="20"/>
    </w:p>
    <w:p>
      <w:pPr>
        <w:ind w:firstLine="396" w:firstLineChars="200"/>
        <w:rPr>
          <w:rFonts w:ascii="Times New Roman" w:hAnsi="Times New Roman" w:eastAsia="仿宋" w:cs="Times New Roman"/>
        </w:rPr>
      </w:pPr>
      <w:r>
        <w:rPr>
          <w:rFonts w:ascii="Times New Roman" w:hAnsi="Times New Roman" w:eastAsia="仿宋" w:cs="Times New Roman"/>
        </w:rPr>
        <w:t>表</w:t>
      </w:r>
      <w:r>
        <w:rPr>
          <w:rFonts w:hint="eastAsia" w:ascii="Times New Roman" w:hAnsi="Times New Roman" w:eastAsia="仿宋" w:cs="Times New Roman"/>
        </w:rPr>
        <w:t>II</w:t>
      </w:r>
      <w:r>
        <w:rPr>
          <w:rFonts w:ascii="Times New Roman" w:hAnsi="Times New Roman" w:eastAsia="仿宋" w:cs="Times New Roman"/>
        </w:rPr>
        <w:t>4报告了政策效果和有效机制的企业规模差异。列（1）和列（2）结果表明，规模较大企业的减污降碳协同效应更突出，但减污效应差异未通过显著检验。列（3）至列（9）中，在末端治理环节（</w:t>
      </w:r>
      <w:r>
        <w:rPr>
          <w:rFonts w:ascii="Times New Roman" w:hAnsi="Times New Roman" w:eastAsia="仿宋" w:cs="Times New Roman"/>
          <w:i/>
          <w:iCs/>
        </w:rPr>
        <w:t>dispose_rate</w:t>
      </w:r>
      <w:r>
        <w:rPr>
          <w:rFonts w:ascii="Times New Roman" w:hAnsi="Times New Roman" w:eastAsia="仿宋" w:cs="Times New Roman"/>
        </w:rPr>
        <w:t>），交互项</w:t>
      </w:r>
      <w:r>
        <w:rPr>
          <w:rFonts w:ascii="Times New Roman" w:hAnsi="Times New Roman" w:eastAsia="仿宋" w:cs="Times New Roman"/>
          <w:i/>
          <w:iCs/>
        </w:rPr>
        <w:t>cps×scale</w:t>
      </w:r>
      <w:r>
        <w:rPr>
          <w:rFonts w:ascii="Times New Roman" w:hAnsi="Times New Roman" w:eastAsia="仿宋" w:cs="Times New Roman"/>
        </w:rPr>
        <w:t>系数不显著，不同规模企业的SO</w:t>
      </w:r>
      <w:r>
        <w:rPr>
          <w:rFonts w:ascii="Times New Roman" w:hAnsi="Times New Roman" w:eastAsia="仿宋" w:cs="Times New Roman"/>
          <w:vertAlign w:val="subscript"/>
        </w:rPr>
        <w:t>2</w:t>
      </w:r>
      <w:r>
        <w:rPr>
          <w:rFonts w:ascii="Times New Roman" w:hAnsi="Times New Roman" w:eastAsia="仿宋" w:cs="Times New Roman"/>
        </w:rPr>
        <w:t>处理率未表现出显著差异。但在源头预防（ln</w:t>
      </w:r>
      <w:r>
        <w:rPr>
          <w:rFonts w:ascii="Times New Roman" w:hAnsi="Times New Roman" w:eastAsia="仿宋" w:cs="Times New Roman"/>
          <w:i/>
          <w:iCs/>
        </w:rPr>
        <w:t>coal_den</w:t>
      </w:r>
      <w:r>
        <w:rPr>
          <w:rFonts w:ascii="Times New Roman" w:hAnsi="Times New Roman" w:eastAsia="仿宋" w:cs="Times New Roman"/>
        </w:rPr>
        <w:t>）和过程控制环节（</w:t>
      </w:r>
      <w:r>
        <w:rPr>
          <w:rFonts w:ascii="Times New Roman" w:hAnsi="Times New Roman" w:eastAsia="仿宋" w:cs="Times New Roman"/>
          <w:i/>
          <w:iCs/>
        </w:rPr>
        <w:t>entry、exit、dshare</w:t>
      </w:r>
      <w:r>
        <w:rPr>
          <w:rFonts w:ascii="Times New Roman" w:hAnsi="Times New Roman" w:eastAsia="仿宋" w:cs="Times New Roman"/>
        </w:rPr>
        <w:t>），交互项系数显著，大规模企业表现出更强的能源效率提升效应、更强的企业进入效应、更弱的企业退出效应，且资源要素显著流向规模较小的企业、资源再配置效应显著。对于以上结论的解释是，工业企业能源使用存在明显的规模经济，规模较大的企业往往才能负担得起固定成本较高的先进技术设备，以及具有通过废热回收提高能源效率的能力（陈钊和陈乔伊，2019），也有研究指出，由于规模效应和合规成本异质性的存在，清洁生产标准实施提高了规模较大企业利润（龙小宁和万威，2017），这可能进一步激励企业加强环境治理。另外，规模较大的企业实力雄厚更容易获得地方政府的青睐，更容易进入市场，而且作为纳税大户也不容易退出市场。受环境规制政策影响，规模较小企业对合规成本更加敏感，存在更强的政策执行激励，并因此配置了更多污染治理资源。</w:t>
      </w:r>
    </w:p>
    <w:p>
      <w:pPr>
        <w:ind w:firstLine="336" w:firstLineChars="200"/>
        <w:jc w:val="center"/>
        <w:rPr>
          <w:rFonts w:hint="eastAsia" w:ascii="黑体" w:hAnsi="黑体" w:eastAsia="黑体" w:cs="黑体"/>
          <w:sz w:val="18"/>
          <w:szCs w:val="18"/>
        </w:rPr>
      </w:pPr>
      <w:r>
        <w:rPr>
          <w:rFonts w:hint="eastAsia" w:ascii="黑体" w:hAnsi="黑体" w:eastAsia="黑体" w:cs="黑体"/>
          <w:sz w:val="18"/>
          <w:szCs w:val="18"/>
        </w:rPr>
        <w:t>表II4 企业规模异质性</w:t>
      </w:r>
    </w:p>
    <w:tbl>
      <w:tblPr>
        <w:tblStyle w:val="24"/>
        <w:tblW w:w="6000" w:type="pct"/>
        <w:jc w:val="center"/>
        <w:tblLayout w:type="autofit"/>
        <w:tblCellMar>
          <w:top w:w="0" w:type="dxa"/>
          <w:left w:w="75" w:type="dxa"/>
          <w:bottom w:w="0" w:type="dxa"/>
          <w:right w:w="75" w:type="dxa"/>
        </w:tblCellMar>
      </w:tblPr>
      <w:tblGrid>
        <w:gridCol w:w="1129"/>
        <w:gridCol w:w="913"/>
        <w:gridCol w:w="854"/>
        <w:gridCol w:w="1485"/>
        <w:gridCol w:w="978"/>
        <w:gridCol w:w="960"/>
        <w:gridCol w:w="913"/>
        <w:gridCol w:w="913"/>
        <w:gridCol w:w="913"/>
        <w:gridCol w:w="1096"/>
      </w:tblGrid>
      <w:tr>
        <w:tblPrEx>
          <w:tblCellMar>
            <w:top w:w="0" w:type="dxa"/>
            <w:left w:w="75" w:type="dxa"/>
            <w:bottom w:w="0" w:type="dxa"/>
            <w:right w:w="75" w:type="dxa"/>
          </w:tblCellMar>
        </w:tblPrEx>
        <w:trPr>
          <w:cantSplit/>
          <w:jc w:val="center"/>
        </w:trPr>
        <w:tc>
          <w:tcPr>
            <w:tcW w:w="0" w:type="auto"/>
            <w:vMerge w:val="restart"/>
            <w:tcBorders>
              <w:top w:val="single" w:color="auto" w:sz="6" w:space="0"/>
              <w:left w:val="nil"/>
              <w:right w:val="nil"/>
            </w:tcBorders>
          </w:tcPr>
          <w:p>
            <w:pPr>
              <w:widowControl/>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 </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w:t>
            </w:r>
            <w:r>
              <w:rPr>
                <w:rFonts w:ascii="Times New Roman" w:hAnsi="Times New Roman" w:cs="Times New Roman"/>
                <w:i/>
                <w:iCs/>
                <w:kern w:val="0"/>
                <w:sz w:val="18"/>
                <w:szCs w:val="18"/>
                <w:vertAlign w:val="subscript"/>
              </w:rPr>
              <w:t>2</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SO</w:t>
            </w:r>
            <w:r>
              <w:rPr>
                <w:rFonts w:ascii="Times New Roman" w:hAnsi="Times New Roman" w:cs="Times New Roman"/>
                <w:i/>
                <w:iCs/>
                <w:kern w:val="0"/>
                <w:sz w:val="18"/>
                <w:szCs w:val="18"/>
                <w:vertAlign w:val="subscript"/>
              </w:rPr>
              <w:t>2</w:t>
            </w:r>
            <w:r>
              <w:rPr>
                <w:rFonts w:ascii="Times New Roman" w:hAnsi="Times New Roman" w:cs="Times New Roman"/>
                <w:i/>
                <w:iCs/>
                <w:kern w:val="0"/>
                <w:sz w:val="18"/>
                <w:szCs w:val="18"/>
              </w:rPr>
              <w:t>_production</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ln</w:t>
            </w:r>
            <w:r>
              <w:rPr>
                <w:rFonts w:ascii="Times New Roman" w:hAnsi="Times New Roman" w:cs="Times New Roman"/>
                <w:i/>
                <w:iCs/>
                <w:kern w:val="0"/>
                <w:sz w:val="18"/>
                <w:szCs w:val="18"/>
              </w:rPr>
              <w:t>coal_den</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i/>
                <w:iCs/>
                <w:kern w:val="0"/>
                <w:sz w:val="18"/>
                <w:szCs w:val="18"/>
              </w:rPr>
              <w:t>three_total</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i/>
                <w:iCs/>
                <w:kern w:val="0"/>
                <w:sz w:val="18"/>
                <w:szCs w:val="18"/>
              </w:rPr>
              <w:t>entry</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i/>
                <w:iCs/>
                <w:kern w:val="0"/>
                <w:sz w:val="18"/>
                <w:szCs w:val="18"/>
              </w:rPr>
              <w:t>exit</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i/>
                <w:iCs/>
                <w:kern w:val="0"/>
                <w:sz w:val="18"/>
                <w:szCs w:val="18"/>
              </w:rPr>
              <w:t>dshare</w:t>
            </w:r>
          </w:p>
        </w:tc>
        <w:tc>
          <w:tcPr>
            <w:tcW w:w="0" w:type="auto"/>
            <w:tcBorders>
              <w:top w:val="single" w:color="auto" w:sz="6"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i/>
                <w:iCs/>
                <w:kern w:val="0"/>
                <w:sz w:val="18"/>
                <w:szCs w:val="18"/>
              </w:rPr>
              <w:t>dispose_rate</w:t>
            </w:r>
          </w:p>
        </w:tc>
      </w:tr>
      <w:tr>
        <w:tblPrEx>
          <w:tblCellMar>
            <w:top w:w="0" w:type="dxa"/>
            <w:left w:w="75" w:type="dxa"/>
            <w:bottom w:w="0" w:type="dxa"/>
            <w:right w:w="75" w:type="dxa"/>
          </w:tblCellMar>
        </w:tblPrEx>
        <w:trPr>
          <w:cantSplit/>
          <w:jc w:val="center"/>
        </w:trPr>
        <w:tc>
          <w:tcPr>
            <w:tcW w:w="0" w:type="auto"/>
            <w:vMerge w:val="continue"/>
            <w:tcBorders>
              <w:left w:val="nil"/>
              <w:bottom w:val="single" w:color="auto" w:sz="4" w:space="0"/>
              <w:right w:val="nil"/>
            </w:tcBorders>
          </w:tcPr>
          <w:p>
            <w:pPr>
              <w:widowControl/>
              <w:autoSpaceDE w:val="0"/>
              <w:autoSpaceDN w:val="0"/>
              <w:adjustRightInd w:val="0"/>
              <w:snapToGrid w:val="0"/>
              <w:jc w:val="left"/>
              <w:rPr>
                <w:rFonts w:ascii="Times New Roman" w:hAnsi="Times New Roman" w:cs="Times New Roman"/>
                <w:kern w:val="0"/>
                <w:sz w:val="18"/>
                <w:szCs w:val="18"/>
              </w:rPr>
            </w:pP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0" w:type="auto"/>
            <w:tcBorders>
              <w:top w:val="single" w:color="auto" w:sz="4" w:space="0"/>
              <w:left w:val="nil"/>
              <w:bottom w:val="single" w:color="auto" w:sz="4"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(9)</w:t>
            </w:r>
          </w:p>
        </w:tc>
      </w:tr>
      <w:tr>
        <w:tblPrEx>
          <w:tblCellMar>
            <w:top w:w="0" w:type="dxa"/>
            <w:left w:w="75" w:type="dxa"/>
            <w:bottom w:w="0" w:type="dxa"/>
            <w:right w:w="75" w:type="dxa"/>
          </w:tblCellMar>
        </w:tblPrEx>
        <w:trPr>
          <w:cantSplit/>
          <w:jc w:val="center"/>
        </w:trPr>
        <w:tc>
          <w:tcPr>
            <w:tcW w:w="0" w:type="auto"/>
            <w:tcBorders>
              <w:top w:val="single" w:color="auto" w:sz="4" w:space="0"/>
              <w:left w:val="nil"/>
              <w:bottom w:val="nil"/>
              <w:right w:val="nil"/>
            </w:tcBorders>
          </w:tcPr>
          <w:p>
            <w:pPr>
              <w:widowControl/>
              <w:autoSpaceDE w:val="0"/>
              <w:autoSpaceDN w:val="0"/>
              <w:adjustRightInd w:val="0"/>
              <w:snapToGri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cps×scale</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-0.039</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-0.045**</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-0.014</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-0.032***</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0.017</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0.033***</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-0.039***</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-0.001***</w:t>
            </w:r>
          </w:p>
        </w:tc>
        <w:tc>
          <w:tcPr>
            <w:tcW w:w="0" w:type="auto"/>
            <w:tcBorders>
              <w:top w:val="single" w:color="auto" w:sz="4" w:space="0"/>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0.009</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widowControl/>
              <w:autoSpaceDE w:val="0"/>
              <w:autoSpaceDN w:val="0"/>
              <w:adjustRightInd w:val="0"/>
              <w:snapToGrid w:val="0"/>
              <w:jc w:val="left"/>
              <w:rPr>
                <w:rFonts w:ascii="Times New Roman" w:hAnsi="Times New Roman" w:cs="Times New Roman"/>
                <w:i/>
                <w:iCs/>
                <w:kern w:val="0"/>
                <w:sz w:val="18"/>
                <w:szCs w:val="18"/>
              </w:rPr>
            </w:pP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(0.037)</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(0.022)</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(0.051)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(0.004)</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(0.004)</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(0.009)</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widowControl/>
              <w:autoSpaceDE w:val="0"/>
              <w:autoSpaceDN w:val="0"/>
              <w:adjustRightInd w:val="0"/>
              <w:snapToGri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cps</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-0.149***</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-0.042**</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-0.153***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-0.090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-0.039***</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widowControl/>
              <w:autoSpaceDE w:val="0"/>
              <w:autoSpaceDN w:val="0"/>
              <w:adjustRightInd w:val="0"/>
              <w:snapToGrid w:val="0"/>
              <w:rPr>
                <w:rFonts w:ascii="Times New Roman" w:hAnsi="Times New Roman" w:cs="Times New Roman"/>
                <w:kern w:val="0"/>
                <w:sz w:val="18"/>
                <w:szCs w:val="18"/>
              </w:rPr>
            </w:pPr>
            <w:r>
              <w:rPr>
                <w:rFonts w:ascii="Times New Roman" w:hAnsi="Times New Roman" w:cs="Times New Roman"/>
                <w:kern w:val="0"/>
                <w:sz w:val="18"/>
                <w:szCs w:val="18"/>
              </w:rPr>
              <w:t>0.036***</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widowControl/>
              <w:autoSpaceDE w:val="0"/>
              <w:autoSpaceDN w:val="0"/>
              <w:adjustRightInd w:val="0"/>
              <w:snapToGrid w:val="0"/>
              <w:jc w:val="left"/>
              <w:rPr>
                <w:rFonts w:ascii="Times New Roman" w:hAnsi="Times New Roman" w:cs="Times New Roman"/>
                <w:i/>
                <w:iCs/>
                <w:kern w:val="0"/>
                <w:sz w:val="18"/>
                <w:szCs w:val="18"/>
              </w:rPr>
            </w:pP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(0.036)</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(0.019)</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(0.050)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(0.210)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(0.004)</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(0.007)</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widowControl/>
              <w:autoSpaceDE w:val="0"/>
              <w:autoSpaceDN w:val="0"/>
              <w:adjustRightInd w:val="0"/>
              <w:snapToGri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scale</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0.039*</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0.251***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-0.006***</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-0.009</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widowControl/>
              <w:autoSpaceDE w:val="0"/>
              <w:autoSpaceDN w:val="0"/>
              <w:adjustRightInd w:val="0"/>
              <w:snapToGrid w:val="0"/>
              <w:jc w:val="left"/>
              <w:rPr>
                <w:rFonts w:ascii="Times New Roman" w:hAnsi="Times New Roman" w:cs="Times New Roman"/>
                <w:i/>
                <w:iCs/>
                <w:kern w:val="0"/>
                <w:sz w:val="18"/>
                <w:szCs w:val="18"/>
              </w:rPr>
            </w:pP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(0.019)</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(0.011)</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(0.024)</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(0.002)</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(0.002)</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(0.002)</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(0.000)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(0.013)</w:t>
            </w:r>
          </w:p>
        </w:tc>
      </w:tr>
      <w:tr>
        <w:tblPrEx>
          <w:tblCellMar>
            <w:top w:w="0" w:type="dxa"/>
            <w:left w:w="75" w:type="dxa"/>
            <w:bottom w:w="0" w:type="dxa"/>
            <w:right w:w="75" w:type="dxa"/>
          </w:tblCellMar>
        </w:tblPrEx>
        <w:trPr>
          <w:cantSplit/>
          <w:jc w:val="center"/>
        </w:trPr>
        <w:tc>
          <w:tcPr>
            <w:tcW w:w="0" w:type="auto"/>
            <w:tcBorders>
              <w:top w:val="nil"/>
              <w:left w:val="nil"/>
              <w:bottom w:val="nil"/>
              <w:right w:val="nil"/>
            </w:tcBorders>
          </w:tcPr>
          <w:p>
            <w:pPr>
              <w:widowControl/>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Observations</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328,647</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394,528</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261,858</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394,676</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324,038</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394,803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394,600</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394,803</w:t>
            </w:r>
          </w:p>
        </w:tc>
        <w:tc>
          <w:tcPr>
            <w:tcW w:w="0" w:type="auto"/>
            <w:tcBorders>
              <w:top w:val="nil"/>
              <w:left w:val="nil"/>
              <w:bottom w:val="nil"/>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52,022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cantSplit/>
          <w:jc w:val="center"/>
        </w:trPr>
        <w:tc>
          <w:tcPr>
            <w:tcW w:w="0" w:type="auto"/>
            <w:tcBorders>
              <w:top w:val="nil"/>
              <w:left w:val="nil"/>
              <w:bottom w:val="single" w:color="auto" w:sz="6" w:space="0"/>
              <w:right w:val="nil"/>
            </w:tcBorders>
          </w:tcPr>
          <w:p>
            <w:pPr>
              <w:widowControl/>
              <w:autoSpaceDE w:val="0"/>
              <w:autoSpaceDN w:val="0"/>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R-squared</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0.855</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0.875</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0.846</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0.705</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0.169</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0.367</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0.342</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0.658</w:t>
            </w:r>
          </w:p>
        </w:tc>
        <w:tc>
          <w:tcPr>
            <w:tcW w:w="0" w:type="auto"/>
            <w:tcBorders>
              <w:top w:val="nil"/>
              <w:left w:val="nil"/>
              <w:bottom w:val="single" w:color="auto" w:sz="6" w:space="0"/>
              <w:right w:val="nil"/>
            </w:tcBorders>
          </w:tcPr>
          <w:p>
            <w:pPr>
              <w:widowControl/>
              <w:autoSpaceDE w:val="0"/>
              <w:autoSpaceDN w:val="0"/>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0.925</w:t>
            </w:r>
          </w:p>
        </w:tc>
      </w:tr>
    </w:tbl>
    <w:p>
      <w:pPr>
        <w:tabs>
          <w:tab w:val="left" w:pos="3564"/>
        </w:tabs>
        <w:rPr>
          <w:rFonts w:ascii="Times New Roman" w:hAnsi="Times New Roman" w:eastAsia="仿宋" w:cs="Times New Roman"/>
          <w:sz w:val="15"/>
          <w:szCs w:val="15"/>
        </w:rPr>
      </w:pPr>
    </w:p>
    <w:p>
      <w:pPr>
        <w:pStyle w:val="47"/>
        <w:adjustRightInd w:val="0"/>
        <w:snapToGrid w:val="0"/>
        <w:ind w:left="440"/>
        <w:contextualSpacing w:val="0"/>
        <w:jc w:val="center"/>
        <w:rPr>
          <w:rFonts w:hint="eastAsia" w:ascii="楷体" w:hAnsi="楷体" w:eastAsia="楷体" w:cs="楷体"/>
          <w:sz w:val="28"/>
          <w:szCs w:val="28"/>
          <w:shd w:val="clear" w:color="auto" w:fill="FFFFFF"/>
        </w:rPr>
      </w:pPr>
      <w:r>
        <w:rPr>
          <w:rFonts w:hint="eastAsia" w:ascii="楷体" w:hAnsi="楷体" w:eastAsia="楷体" w:cs="楷体"/>
          <w:color w:val="000000"/>
          <w:sz w:val="28"/>
          <w:szCs w:val="28"/>
        </w:rPr>
        <w:t>参考文献</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Li, M., W. Du, and S. Tang, “Assessing the Impact of Environmental Regulation and Environmental Co-Governance on Pollution Transfer: Micro-Evidence from China”,</w:t>
      </w:r>
      <w:r>
        <w:rPr>
          <w:rFonts w:ascii="Times New Roman" w:hAnsi="Times New Roman" w:eastAsia="仿宋" w:cs="Times New Roman"/>
          <w:i/>
          <w:iCs/>
          <w:sz w:val="18"/>
          <w:szCs w:val="18"/>
          <w:shd w:val="clear" w:color="auto" w:fill="FFFFFF"/>
        </w:rPr>
        <w:t xml:space="preserve"> Environmental Impact Assessment Review</w:t>
      </w:r>
      <w:r>
        <w:rPr>
          <w:rFonts w:ascii="Times New Roman" w:hAnsi="Times New Roman" w:eastAsia="仿宋" w:cs="Times New Roman"/>
          <w:sz w:val="18"/>
          <w:szCs w:val="18"/>
          <w:shd w:val="clear" w:color="auto" w:fill="FFFFFF"/>
        </w:rPr>
        <w:t xml:space="preserve">,2021,86, 106467. </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 xml:space="preserve">Lu, Y., Z.Tao, and L. Zhu, “Identifying FDI Spillovers”, </w:t>
      </w:r>
      <w:r>
        <w:rPr>
          <w:rFonts w:ascii="Times New Roman" w:hAnsi="Times New Roman" w:eastAsia="仿宋" w:cs="Times New Roman"/>
          <w:i/>
          <w:iCs/>
          <w:sz w:val="18"/>
          <w:szCs w:val="18"/>
          <w:shd w:val="clear" w:color="auto" w:fill="FFFFFF"/>
        </w:rPr>
        <w:t>Journal of International Economics</w:t>
      </w:r>
      <w:r>
        <w:rPr>
          <w:rFonts w:ascii="Times New Roman" w:hAnsi="Times New Roman" w:eastAsia="仿宋" w:cs="Times New Roman"/>
          <w:sz w:val="18"/>
          <w:szCs w:val="18"/>
          <w:shd w:val="clear" w:color="auto" w:fill="FFFFFF"/>
        </w:rPr>
        <w:t>, 2017,107, 75-90.</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齐绍洲、林屾、崔静波，“环境权益交易市场能否诱发绿色创新?——基于我国上市公司绿色专利数据的证据”，《经济研究》，2018年第12期，第129-143页。</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rPr>
        <w:t>范子英、王倩,“财政补贴的低效率之谜：税收超收的视角”,《中国工业经济》, 2019年第12期，第23-41页.</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 xml:space="preserve">于亚卓、张惠琳、张平淡，“非对称性环境规制的标尺现象及其机制研究”，《管理世界》，2021年第9期，第134-147页。 </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Nunn, N., and N.Qian,  “The Potato's Contribution to Population and Urbanization: Evidence from a Historical Experiment”,</w:t>
      </w:r>
      <w:r>
        <w:rPr>
          <w:rFonts w:ascii="Times New Roman" w:hAnsi="Times New Roman" w:eastAsia="仿宋" w:cs="Times New Roman"/>
          <w:i/>
          <w:iCs/>
          <w:sz w:val="18"/>
          <w:szCs w:val="18"/>
          <w:shd w:val="clear" w:color="auto" w:fill="FFFFFF"/>
        </w:rPr>
        <w:t xml:space="preserve"> The Quarterly Journal of Economics</w:t>
      </w:r>
      <w:r>
        <w:rPr>
          <w:rFonts w:ascii="Times New Roman" w:hAnsi="Times New Roman" w:eastAsia="仿宋" w:cs="Times New Roman"/>
          <w:sz w:val="18"/>
          <w:szCs w:val="18"/>
          <w:shd w:val="clear" w:color="auto" w:fill="FFFFFF"/>
        </w:rPr>
        <w:t>, 2011,26(2), 593-650.</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聂辉华、江艇、张雨潇、方明月，“我国僵尸企业的现状、原因与对策”，《宏观经济管理》,</w:t>
      </w:r>
      <w:r>
        <w:rPr>
          <w:rFonts w:hint="eastAsia" w:ascii="Times New Roman" w:hAnsi="Times New Roman" w:eastAsia="仿宋" w:cs="Times New Roman"/>
          <w:sz w:val="18"/>
          <w:szCs w:val="18"/>
          <w:shd w:val="clear" w:color="auto" w:fill="FFFFFF"/>
          <w:lang w:val="en-US" w:eastAsia="zh-CN"/>
        </w:rPr>
        <w:t xml:space="preserve"> </w:t>
      </w:r>
      <w:r>
        <w:rPr>
          <w:rFonts w:ascii="Times New Roman" w:hAnsi="Times New Roman" w:eastAsia="仿宋" w:cs="Times New Roman"/>
          <w:sz w:val="18"/>
          <w:szCs w:val="18"/>
          <w:shd w:val="clear" w:color="auto" w:fill="FFFFFF"/>
        </w:rPr>
        <w:t>2016年第9期，第63-68+88页。</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陈钊、陈乔伊，“中国企业能源利用效率：异质性、影响因素及政策含义”，《中国工业经济》,</w:t>
      </w:r>
      <w:r>
        <w:rPr>
          <w:rFonts w:hint="eastAsia" w:ascii="Times New Roman" w:hAnsi="Times New Roman" w:eastAsia="仿宋" w:cs="Times New Roman"/>
          <w:sz w:val="18"/>
          <w:szCs w:val="18"/>
          <w:shd w:val="clear" w:color="auto" w:fill="FFFFFF"/>
          <w:lang w:val="en-US" w:eastAsia="zh-CN"/>
        </w:rPr>
        <w:t xml:space="preserve"> </w:t>
      </w:r>
      <w:r>
        <w:rPr>
          <w:rFonts w:ascii="Times New Roman" w:hAnsi="Times New Roman" w:eastAsia="仿宋" w:cs="Times New Roman"/>
          <w:sz w:val="18"/>
          <w:szCs w:val="18"/>
          <w:shd w:val="clear" w:color="auto" w:fill="FFFFFF"/>
        </w:rPr>
        <w:t>2019年第12期，第78-95页。</w:t>
      </w:r>
    </w:p>
    <w:p>
      <w:pPr>
        <w:numPr>
          <w:ilvl w:val="0"/>
          <w:numId w:val="1"/>
        </w:numPr>
        <w:adjustRightInd w:val="0"/>
        <w:snapToGrid w:val="0"/>
        <w:ind w:left="425" w:leftChars="0" w:hanging="425" w:firstLineChars="0"/>
        <w:jc w:val="left"/>
        <w:rPr>
          <w:rFonts w:ascii="Times New Roman" w:hAnsi="Times New Roman" w:eastAsia="仿宋" w:cs="Times New Roman"/>
          <w:sz w:val="18"/>
          <w:szCs w:val="18"/>
          <w:shd w:val="clear" w:color="auto" w:fill="FFFFFF"/>
        </w:rPr>
      </w:pPr>
      <w:r>
        <w:rPr>
          <w:rFonts w:ascii="Times New Roman" w:hAnsi="Times New Roman" w:eastAsia="仿宋" w:cs="Times New Roman"/>
          <w:sz w:val="18"/>
          <w:szCs w:val="18"/>
          <w:shd w:val="clear" w:color="auto" w:fill="FFFFFF"/>
        </w:rPr>
        <w:t>龙小宁、万威，“环境规制、企业利润率与合规成本规模异质性”，《中国工业经济》，2017年第6期，第155-174页。</w:t>
      </w:r>
    </w:p>
    <w:p>
      <w:pPr>
        <w:widowControl w:val="0"/>
        <w:numPr>
          <w:ilvl w:val="0"/>
          <w:numId w:val="0"/>
        </w:numPr>
        <w:tabs>
          <w:tab w:val="left" w:pos="420"/>
        </w:tabs>
        <w:adjustRightInd w:val="0"/>
        <w:snapToGrid w:val="0"/>
        <w:jc w:val="left"/>
        <w:rPr>
          <w:rFonts w:ascii="Times New Roman" w:hAnsi="Times New Roman" w:eastAsia="仿宋" w:cs="Times New Roman"/>
          <w:sz w:val="18"/>
          <w:szCs w:val="18"/>
          <w:shd w:val="clear" w:color="auto" w:fill="FFFFFF"/>
        </w:rPr>
      </w:pPr>
    </w:p>
    <w:p>
      <w:pPr>
        <w:widowControl w:val="0"/>
        <w:numPr>
          <w:ilvl w:val="0"/>
          <w:numId w:val="0"/>
        </w:numPr>
        <w:tabs>
          <w:tab w:val="left" w:pos="420"/>
        </w:tabs>
        <w:adjustRightInd w:val="0"/>
        <w:snapToGrid w:val="0"/>
        <w:jc w:val="left"/>
        <w:rPr>
          <w:rFonts w:ascii="Times New Roman" w:hAnsi="Times New Roman" w:eastAsia="仿宋" w:cs="Times New Roman"/>
          <w:sz w:val="18"/>
          <w:szCs w:val="1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left="-1" w:leftChars="-1" w:firstLine="0"/>
        <w:textAlignment w:val="auto"/>
        <w:rPr>
          <w:rFonts w:hint="eastAsia" w:ascii="宋体" w:hAnsi="宋体" w:eastAsia="宋体" w:cs="宋体"/>
          <w:b/>
          <w:bCs w:val="0"/>
          <w:color w:val="auto"/>
          <w:kern w:val="0"/>
          <w:szCs w:val="21"/>
        </w:rPr>
      </w:pPr>
      <w:r>
        <w:rPr>
          <w:rFonts w:hint="eastAsia" w:ascii="宋体" w:hAnsi="宋体" w:eastAsia="宋体" w:cs="宋体"/>
          <w:b/>
          <w:bCs w:val="0"/>
          <w:color w:val="auto"/>
          <w:szCs w:val="22"/>
        </w:rPr>
        <w:t>注：该附录是期刊所发表论文的组成部分，同样视为作者公开发表的内容。如研究中使用该附录中的内容，</w:t>
      </w:r>
      <w:r>
        <w:rPr>
          <w:rFonts w:hint="eastAsia" w:ascii="宋体" w:hAnsi="宋体" w:eastAsia="宋体" w:cs="宋体"/>
          <w:b/>
          <w:bCs w:val="0"/>
          <w:color w:val="auto"/>
          <w:kern w:val="0"/>
          <w:szCs w:val="21"/>
        </w:rPr>
        <w:t>请务必在研究成果上注明</w:t>
      </w:r>
      <w:r>
        <w:rPr>
          <w:rFonts w:hint="eastAsia" w:ascii="宋体" w:hAnsi="宋体" w:eastAsia="宋体" w:cs="宋体"/>
          <w:b/>
          <w:bCs w:val="0"/>
          <w:color w:val="auto"/>
          <w:kern w:val="0"/>
          <w:szCs w:val="21"/>
          <w:lang w:val="en-US" w:eastAsia="zh-CN"/>
        </w:rPr>
        <w:t>附录</w:t>
      </w:r>
      <w:r>
        <w:rPr>
          <w:rFonts w:hint="eastAsia" w:ascii="宋体" w:hAnsi="宋体" w:eastAsia="宋体" w:cs="宋体"/>
          <w:b/>
          <w:bCs w:val="0"/>
          <w:color w:val="auto"/>
          <w:kern w:val="0"/>
          <w:szCs w:val="21"/>
        </w:rPr>
        <w:t>下载出处。</w:t>
      </w:r>
    </w:p>
    <w:p>
      <w:pPr>
        <w:widowControl w:val="0"/>
        <w:numPr>
          <w:ilvl w:val="0"/>
          <w:numId w:val="0"/>
        </w:numPr>
        <w:tabs>
          <w:tab w:val="left" w:pos="420"/>
        </w:tabs>
        <w:adjustRightInd w:val="0"/>
        <w:snapToGrid w:val="0"/>
        <w:jc w:val="left"/>
        <w:rPr>
          <w:rFonts w:ascii="Times New Roman" w:hAnsi="Times New Roman" w:eastAsia="仿宋" w:cs="Times New Roman"/>
          <w:sz w:val="18"/>
          <w:szCs w:val="18"/>
          <w:shd w:val="clear" w:color="auto" w:fill="FFFFFF"/>
        </w:rPr>
      </w:pPr>
    </w:p>
    <w:sectPr>
      <w:footnotePr>
        <w:numFmt w:val="decimalEnclosedCircleChinese"/>
        <w:numRestart w:val="eachPage"/>
      </w:footnotePr>
      <w:endnotePr>
        <w:numFmt w:val="decimalEnclosedCircleChinese"/>
      </w:endnotePr>
      <w:pgSz w:w="11906" w:h="16838"/>
      <w:pgMar w:top="1440" w:right="1797" w:bottom="1440" w:left="1797" w:header="851" w:footer="992" w:gutter="0"/>
      <w:cols w:space="425" w:num="1"/>
      <w:docGrid w:type="linesAndChars" w:linePitch="357" w:charSpace="-24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SJ4+ZLRFLA-1">
    <w:altName w:val="Segoe Print"/>
    <w:panose1 w:val="00000000000000000000"/>
    <w:charset w:val="00"/>
    <w:family w:val="roman"/>
    <w:pitch w:val="default"/>
    <w:sig w:usb0="00000000" w:usb1="00000000" w:usb2="00000000" w:usb3="00000000" w:csb0="00000000" w:csb1="00000000"/>
  </w:font>
  <w:font w:name="FZSSK--GBK1-00+ZLRFLA-10">
    <w:altName w:val="Segoe Print"/>
    <w:panose1 w:val="00000000000000000000"/>
    <w:charset w:val="00"/>
    <w:family w:val="roman"/>
    <w:pitch w:val="default"/>
    <w:sig w:usb0="00000000" w:usb1="00000000" w:usb2="00000000" w:usb3="00000000" w:csb0="00000000" w:csb1="00000000"/>
  </w:font>
  <w:font w:name="FZSSK--GBK1-00+ZLRFLA-9">
    <w:altName w:val="Segoe Print"/>
    <w:panose1 w:val="00000000000000000000"/>
    <w:charset w:val="00"/>
    <w:family w:val="roman"/>
    <w:pitch w:val="default"/>
    <w:sig w:usb0="00000000" w:usb1="00000000" w:usb2="00000000" w:usb3="00000000" w:csb0="00000000" w:csb1="00000000"/>
  </w:font>
  <w:font w:name="FZSSK--GBK1-00+ZLRFLB-13">
    <w:altName w:val="Segoe Print"/>
    <w:panose1 w:val="00000000000000000000"/>
    <w:charset w:val="00"/>
    <w:family w:val="roman"/>
    <w:pitch w:val="default"/>
    <w:sig w:usb0="00000000" w:usb1="00000000" w:usb2="00000000" w:usb3="00000000" w:csb0="00000000" w:csb1="00000000"/>
  </w:font>
  <w:font w:name="FZSSK--GBK1-00+ZLRFLB-12">
    <w:altName w:val="Segoe Print"/>
    <w:panose1 w:val="00000000000000000000"/>
    <w:charset w:val="00"/>
    <w:family w:val="roman"/>
    <w:pitch w:val="default"/>
    <w:sig w:usb0="00000000" w:usb1="00000000" w:usb2="00000000" w:usb3="00000000" w:csb0="00000000" w:csb1="00000000"/>
  </w:font>
  <w:font w:name="FZSSK--GBK1-00+ZLRFLB-11">
    <w:altName w:val="Segoe Print"/>
    <w:panose1 w:val="00000000000000000000"/>
    <w:charset w:val="00"/>
    <w:family w:val="roman"/>
    <w:pitch w:val="default"/>
    <w:sig w:usb0="00000000" w:usb1="00000000" w:usb2="00000000" w:usb3="00000000" w:csb0="00000000" w:csb1="00000000"/>
  </w:font>
  <w:font w:name="FZSSK--GBK1-00+ZLRFLB-19">
    <w:altName w:val="Segoe Print"/>
    <w:panose1 w:val="00000000000000000000"/>
    <w:charset w:val="00"/>
    <w:family w:val="roman"/>
    <w:pitch w:val="default"/>
    <w:sig w:usb0="00000000" w:usb1="00000000" w:usb2="00000000" w:usb3="00000000" w:csb0="00000000" w:csb1="00000000"/>
  </w:font>
  <w:font w:name="FZSSK--GBK1-00+ZLRFLB-16">
    <w:altName w:val="Cambria"/>
    <w:panose1 w:val="00000000000000000000"/>
    <w:charset w:val="00"/>
    <w:family w:val="roman"/>
    <w:pitch w:val="default"/>
    <w:sig w:usb0="00000000" w:usb1="00000000" w:usb2="00000000" w:usb3="00000000" w:csb0="00000000" w:csb1="00000000"/>
  </w:font>
  <w:font w:name="FZSSK--GBK1-00+ZLRFLB-14">
    <w:altName w:val="Segoe Print"/>
    <w:panose1 w:val="00000000000000000000"/>
    <w:charset w:val="00"/>
    <w:family w:val="roman"/>
    <w:pitch w:val="default"/>
    <w:sig w:usb0="00000000" w:usb1="00000000" w:usb2="00000000" w:usb3="00000000" w:csb0="00000000" w:csb1="00000000"/>
  </w:font>
  <w:font w:name="FZSSK--GBK1-00+ZLRFLC-22">
    <w:altName w:val="Segoe Print"/>
    <w:panose1 w:val="00000000000000000000"/>
    <w:charset w:val="00"/>
    <w:family w:val="roman"/>
    <w:pitch w:val="default"/>
    <w:sig w:usb0="00000000" w:usb1="00000000" w:usb2="00000000" w:usb3="00000000" w:csb0="00000000" w:csb1="00000000"/>
  </w:font>
  <w:font w:name="FZSSK--GBK1-00+ZLRFLK-36">
    <w:altName w:val="Segoe Print"/>
    <w:panose1 w:val="00000000000000000000"/>
    <w:charset w:val="00"/>
    <w:family w:val="roman"/>
    <w:pitch w:val="default"/>
    <w:sig w:usb0="00000000" w:usb1="00000000" w:usb2="00000000" w:usb3="00000000" w:csb0="00000000" w:csb1="00000000"/>
  </w:font>
  <w:font w:name="FZSSK--GBK1-00+ZLRFLT-44">
    <w:altName w:val="Segoe Print"/>
    <w:panose1 w:val="00000000000000000000"/>
    <w:charset w:val="00"/>
    <w:family w:val="roman"/>
    <w:pitch w:val="default"/>
    <w:sig w:usb0="00000000" w:usb1="00000000" w:usb2="00000000" w:usb3="00000000" w:csb0="00000000" w:csb1="00000000"/>
  </w:font>
  <w:font w:name="FZSSK--GBK1-00+ZLRFLC-20">
    <w:altName w:val="Segoe Print"/>
    <w:panose1 w:val="00000000000000000000"/>
    <w:charset w:val="00"/>
    <w:family w:val="roman"/>
    <w:pitch w:val="default"/>
    <w:sig w:usb0="00000000" w:usb1="00000000" w:usb2="00000000" w:usb3="00000000" w:csb0="00000000" w:csb1="00000000"/>
  </w:font>
  <w:font w:name="E-BZ+ZLRFLA-2">
    <w:altName w:val="Segoe Print"/>
    <w:panose1 w:val="00000000000000000000"/>
    <w:charset w:val="00"/>
    <w:family w:val="roman"/>
    <w:pitch w:val="default"/>
    <w:sig w:usb0="00000000" w:usb1="00000000" w:usb2="00000000" w:usb3="00000000" w:csb0="00000000" w:csb1="00000000"/>
  </w:font>
  <w:font w:name="FZSSK--GBK1-00+ZLRFLP-41">
    <w:altName w:val="Segoe Print"/>
    <w:panose1 w:val="00000000000000000000"/>
    <w:charset w:val="00"/>
    <w:family w:val="roman"/>
    <w:pitch w:val="default"/>
    <w:sig w:usb0="00000000" w:usb1="00000000" w:usb2="00000000" w:usb3="00000000" w:csb0="00000000" w:csb1="00000000"/>
  </w:font>
  <w:font w:name="FZSSK--GBK1-00+ZLRFLE-29">
    <w:altName w:val="Segoe Print"/>
    <w:panose1 w:val="00000000000000000000"/>
    <w:charset w:val="00"/>
    <w:family w:val="roman"/>
    <w:pitch w:val="default"/>
    <w:sig w:usb0="00000000" w:usb1="00000000" w:usb2="00000000" w:usb3="00000000" w:csb0="00000000" w:csb1="00000000"/>
  </w:font>
  <w:font w:name="FSJ0+ZLRFLA-6">
    <w:altName w:val="Segoe Print"/>
    <w:panose1 w:val="00000000000000000000"/>
    <w:charset w:val="00"/>
    <w:family w:val="roman"/>
    <w:pitch w:val="default"/>
    <w:sig w:usb0="00000000" w:usb1="00000000" w:usb2="00000000" w:usb3="00000000" w:csb0="00000000" w:csb1="00000000"/>
  </w:font>
  <w:font w:name="KTJ+ZJXGU2-16">
    <w:altName w:val="Segoe Print"/>
    <w:panose1 w:val="00000000000000000000"/>
    <w:charset w:val="00"/>
    <w:family w:val="roman"/>
    <w:pitch w:val="default"/>
    <w:sig w:usb0="00000000" w:usb1="00000000" w:usb2="00000000" w:usb3="00000000" w:csb0="00000000" w:csb1="00000000"/>
  </w:font>
  <w:font w:name="KTJ+ZLTHP5-9">
    <w:altName w:val="Cambria"/>
    <w:panose1 w:val="00000000000000000000"/>
    <w:charset w:val="00"/>
    <w:family w:val="roman"/>
    <w:pitch w:val="default"/>
    <w:sig w:usb0="00000000" w:usb1="00000000" w:usb2="00000000" w:usb3="00000000" w:csb0="00000000" w:csb1="00000000"/>
  </w:font>
  <w:font w:name="KTJ+ZLTHP5-10">
    <w:altName w:val="Cambria"/>
    <w:panose1 w:val="00000000000000000000"/>
    <w:charset w:val="00"/>
    <w:family w:val="roman"/>
    <w:pitch w:val="default"/>
    <w:sig w:usb0="00000000" w:usb1="00000000" w:usb2="00000000" w:usb3="00000000" w:csb0="00000000" w:csb1="00000000"/>
  </w:font>
  <w:font w:name="KTJ+ZLTHQC-137">
    <w:altName w:val="Segoe Print"/>
    <w:panose1 w:val="00000000000000000000"/>
    <w:charset w:val="00"/>
    <w:family w:val="roman"/>
    <w:pitch w:val="default"/>
    <w:sig w:usb0="00000000" w:usb1="00000000" w:usb2="00000000" w:usb3="00000000" w:csb0="00000000" w:csb1="00000000"/>
  </w:font>
  <w:font w:name="KTJ+ZMXHVq-467">
    <w:altName w:val="Segoe Print"/>
    <w:panose1 w:val="00000000000000000000"/>
    <w:charset w:val="00"/>
    <w:family w:val="roman"/>
    <w:pitch w:val="default"/>
    <w:sig w:usb0="00000000" w:usb1="00000000" w:usb2="00000000" w:usb3="00000000" w:csb0="00000000" w:csb1="00000000"/>
  </w:font>
  <w:font w:name="KTJ+ZMcIH8-18">
    <w:altName w:val="Cambria"/>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222548"/>
      <w:docPartObj>
        <w:docPartGallery w:val="autotext"/>
      </w:docPartObj>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19"/>
        <w:jc w:val="both"/>
        <w:rPr>
          <w:rFonts w:ascii="Times New Roman" w:hAnsi="Times New Roman" w:eastAsia="仿宋" w:cs="Times New Roman"/>
        </w:rPr>
      </w:pPr>
      <w:r>
        <w:rPr>
          <w:rStyle w:val="33"/>
          <w:rFonts w:ascii="Times New Roman" w:hAnsi="Times New Roman" w:eastAsia="仿宋" w:cs="Times New Roman"/>
        </w:rPr>
        <w:footnoteRef/>
      </w:r>
      <w:r>
        <w:rPr>
          <w:rFonts w:ascii="Times New Roman" w:hAnsi="Times New Roman" w:eastAsia="仿宋" w:cs="Times New Roman"/>
        </w:rPr>
        <w:t>据笔者统计，在中国工业企业数据库中，大约13%左右的企业两位数代码进行了调整，如岳阳高新技术产业开发区天元电子技术有限公司2012年行业大类代码从36变更为41；笔者进一步根据国泰安（CSMAR）数据库，对2000</w:t>
      </w:r>
      <w:r>
        <w:rPr>
          <w:rFonts w:hint="eastAsia" w:ascii="Times New Roman" w:hAnsi="Times New Roman" w:eastAsia="仿宋" w:cs="Times New Roman"/>
          <w:lang w:eastAsia="zh-CN"/>
        </w:rPr>
        <w:t>—</w:t>
      </w:r>
      <w:r>
        <w:rPr>
          <w:rFonts w:ascii="Times New Roman" w:hAnsi="Times New Roman" w:eastAsia="仿宋" w:cs="Times New Roman"/>
        </w:rPr>
        <w:t>2019年A股上市公司的行业代码调整情况进行了统计，发现行业代码A到S共19个大类行业，有15.34%（606家）的上市公司曾经更换过行业。</w:t>
      </w:r>
    </w:p>
  </w:footnote>
  <w:footnote w:id="1">
    <w:p>
      <w:pPr>
        <w:pStyle w:val="19"/>
        <w:jc w:val="both"/>
        <w:rPr>
          <w:rFonts w:ascii="Times New Roman" w:hAnsi="Times New Roman" w:eastAsia="仿宋" w:cs="Times New Roman"/>
        </w:rPr>
      </w:pPr>
      <w:r>
        <w:rPr>
          <w:rStyle w:val="33"/>
          <w:rFonts w:ascii="Times New Roman" w:hAnsi="Times New Roman" w:eastAsia="仿宋" w:cs="Times New Roman"/>
        </w:rPr>
        <w:footnoteRef/>
      </w:r>
      <w:r>
        <w:rPr>
          <w:rFonts w:ascii="Times New Roman" w:hAnsi="Times New Roman" w:eastAsia="仿宋" w:cs="Times New Roman"/>
        </w:rPr>
        <w:t>区域限批，是指如果一家企业或一个地区出现严重环保违规的事件，环保部门有权暂停这一企业或这一地区所有新建项目的审批，直至该企业或该地区完成整改。流域限批是指某个河流流域限制新的污染企业数量。国家环境保护总局在2007年实施区域限批的地区是：河北唐山市、山西吕梁市、贵州六盘水市、山东莱芜市。实施流域限批的地区包括：长江安徽段的巢湖市和芜湖经济技术开发区，黄河流域的甘肃白银市与兰州高新技术产业开发区、内蒙古巴彦淖尔市、陕西渭南市、山西河津市（县级）与襄汾县，淮河流域的河南周口市、安徽蚌埠市，海河流域的河北邯郸经济技术开发区、河南濮阳经济开发区、山东莘县工业园区。省级环境保护主管部门在2007年实施区域限批的地区包括：四川泸州市（2006年12月16日），河北晋州市、石家庄高新技术开发区和经济技术开发区、无极县、深泽县与枣强大营镇皮毛工业区，河南新乡市、通许县，上海浦东新区川沙功能区，北京昌平区，山西尧都区、襄汾县、蒲县、霍州市、侯马市、长治郊区、潞城市、襄垣县、闻喜县、新绛县、河津市、柳林县、交口县、孝义市和汾阳市，辽宁辽阳县，广东清远市清城区、茂名市茂南区，陕西韩城市。</w:t>
      </w:r>
    </w:p>
  </w:footnote>
  <w:footnote w:id="2">
    <w:p>
      <w:pPr>
        <w:pStyle w:val="19"/>
        <w:jc w:val="both"/>
        <w:rPr>
          <w:rFonts w:ascii="Times New Roman" w:hAnsi="Times New Roman" w:eastAsia="仿宋" w:cs="Times New Roman"/>
        </w:rPr>
      </w:pPr>
      <w:r>
        <w:rPr>
          <w:rStyle w:val="33"/>
          <w:rFonts w:ascii="Times New Roman" w:hAnsi="Times New Roman" w:cs="Times New Roman"/>
        </w:rPr>
        <w:footnoteRef/>
      </w:r>
      <w:r>
        <w:rPr>
          <w:rFonts w:ascii="Times New Roman" w:hAnsi="Times New Roman" w:eastAsia="仿宋" w:cs="Times New Roman"/>
        </w:rPr>
        <w:t>该调查是由财政部和国家税务总局联合组织实施，按照分层随机抽样的方法选取企业，由各地财税机关负责具体的数据调查工作并确保调查质量，大大提高了填报信息的准确性。每年调查样本大概覆盖 70 万家企业，由重点调查和抽样调查组成，其中 80%是重点调查企业，包括重点税源企业、出口企业等，分层抽样调查企业占 20%。另外,关于忽略2003年清洁生产标准实施样本的担忧，考虑到清洁生产标准大都是在2006年及之后年份实施的，这一时间窗口因素对清洁生产政策生效的总体影响有限。</w:t>
      </w:r>
    </w:p>
  </w:footnote>
  <w:footnote w:id="3">
    <w:p>
      <w:pPr>
        <w:pStyle w:val="19"/>
        <w:rPr>
          <w:rFonts w:ascii="Times New Roman" w:hAnsi="Times New Roman" w:eastAsia="仿宋" w:cs="Times New Roman"/>
        </w:rPr>
      </w:pPr>
      <w:r>
        <w:rPr>
          <w:rStyle w:val="33"/>
        </w:rPr>
        <w:footnoteRef/>
      </w:r>
      <w:r>
        <w:t xml:space="preserve"> </w:t>
      </w:r>
      <w:r>
        <w:rPr>
          <w:rFonts w:hint="eastAsia" w:ascii="Times New Roman" w:hAnsi="Times New Roman" w:eastAsia="仿宋" w:cs="Times New Roman"/>
        </w:rPr>
        <w:t>需要说明的是，全国税收调查数据库中的能源指标不含天然气。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5C60E"/>
    <w:multiLevelType w:val="singleLevel"/>
    <w:tmpl w:val="BC95C60E"/>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endnotePr>
    <w:numFmt w:val="decimalEnclosedCircleChinese"/>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DA41EC"/>
    <w:rsid w:val="00054B05"/>
    <w:rsid w:val="001208E6"/>
    <w:rsid w:val="0019141F"/>
    <w:rsid w:val="001A128A"/>
    <w:rsid w:val="001E0B01"/>
    <w:rsid w:val="002154E1"/>
    <w:rsid w:val="0026065C"/>
    <w:rsid w:val="002D4E39"/>
    <w:rsid w:val="003638C4"/>
    <w:rsid w:val="0046193D"/>
    <w:rsid w:val="00465F0B"/>
    <w:rsid w:val="00483C73"/>
    <w:rsid w:val="004869C7"/>
    <w:rsid w:val="0049150C"/>
    <w:rsid w:val="004E31C9"/>
    <w:rsid w:val="005B514F"/>
    <w:rsid w:val="006E506A"/>
    <w:rsid w:val="006F19C5"/>
    <w:rsid w:val="00757FE1"/>
    <w:rsid w:val="00866643"/>
    <w:rsid w:val="00885623"/>
    <w:rsid w:val="008F3F37"/>
    <w:rsid w:val="00900FA5"/>
    <w:rsid w:val="00936AF7"/>
    <w:rsid w:val="00BA1B73"/>
    <w:rsid w:val="00BA5F43"/>
    <w:rsid w:val="00D04BCF"/>
    <w:rsid w:val="00D0731D"/>
    <w:rsid w:val="00DA41EC"/>
    <w:rsid w:val="00DF1C9A"/>
    <w:rsid w:val="00E02B2B"/>
    <w:rsid w:val="00E31C43"/>
    <w:rsid w:val="00E715A4"/>
    <w:rsid w:val="00F751C3"/>
    <w:rsid w:val="065B7836"/>
    <w:rsid w:val="0C6E02C3"/>
    <w:rsid w:val="0ECF4784"/>
    <w:rsid w:val="22C036C5"/>
    <w:rsid w:val="236245E6"/>
    <w:rsid w:val="24472ACE"/>
    <w:rsid w:val="35EF74CF"/>
    <w:rsid w:val="38C316CD"/>
    <w:rsid w:val="3BE21884"/>
    <w:rsid w:val="4E2117F0"/>
    <w:rsid w:val="55761B26"/>
    <w:rsid w:val="6171137E"/>
    <w:rsid w:val="6BE63A75"/>
    <w:rsid w:val="71A20BC5"/>
    <w:rsid w:val="72724088"/>
    <w:rsid w:val="7E8F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5"/>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6"/>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0"/>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2"/>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autoRedefine/>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rPr>
      <w:rFonts w:eastAsia="黑体" w:asciiTheme="majorHAnsi" w:hAnsiTheme="majorHAnsi" w:cstheme="majorBidi"/>
      <w:sz w:val="20"/>
      <w:szCs w:val="20"/>
    </w:rPr>
  </w:style>
  <w:style w:type="paragraph" w:styleId="12">
    <w:name w:val="annotation text"/>
    <w:basedOn w:val="1"/>
    <w:link w:val="77"/>
    <w:autoRedefine/>
    <w:unhideWhenUsed/>
    <w:qFormat/>
    <w:uiPriority w:val="99"/>
    <w:pPr>
      <w:jc w:val="left"/>
    </w:pPr>
  </w:style>
  <w:style w:type="paragraph" w:styleId="13">
    <w:name w:val="endnote text"/>
    <w:basedOn w:val="1"/>
    <w:link w:val="83"/>
    <w:autoRedefine/>
    <w:unhideWhenUsed/>
    <w:qFormat/>
    <w:uiPriority w:val="99"/>
    <w:pPr>
      <w:snapToGrid w:val="0"/>
      <w:jc w:val="left"/>
    </w:pPr>
  </w:style>
  <w:style w:type="paragraph" w:styleId="14">
    <w:name w:val="Balloon Text"/>
    <w:basedOn w:val="1"/>
    <w:link w:val="75"/>
    <w:autoRedefine/>
    <w:semiHidden/>
    <w:unhideWhenUsed/>
    <w:qFormat/>
    <w:uiPriority w:val="99"/>
    <w:rPr>
      <w:sz w:val="18"/>
      <w:szCs w:val="18"/>
    </w:rPr>
  </w:style>
  <w:style w:type="paragraph" w:styleId="15">
    <w:name w:val="footer"/>
    <w:basedOn w:val="1"/>
    <w:link w:val="53"/>
    <w:autoRedefine/>
    <w:unhideWhenUsed/>
    <w:qFormat/>
    <w:uiPriority w:val="99"/>
    <w:pPr>
      <w:tabs>
        <w:tab w:val="center" w:pos="4153"/>
        <w:tab w:val="right" w:pos="8306"/>
      </w:tabs>
      <w:snapToGrid w:val="0"/>
      <w:jc w:val="left"/>
    </w:pPr>
    <w:rPr>
      <w:sz w:val="18"/>
      <w:szCs w:val="18"/>
    </w:rPr>
  </w:style>
  <w:style w:type="paragraph" w:styleId="16">
    <w:name w:val="header"/>
    <w:basedOn w:val="1"/>
    <w:link w:val="52"/>
    <w:autoRedefine/>
    <w:unhideWhenUsed/>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8302"/>
      </w:tabs>
    </w:pPr>
    <w:rPr>
      <w:rFonts w:ascii="微软雅黑" w:hAnsi="微软雅黑" w:eastAsia="微软雅黑" w:cs="Times New Roman"/>
      <w:sz w:val="24"/>
      <w:szCs w:val="28"/>
    </w:rPr>
  </w:style>
  <w:style w:type="paragraph" w:styleId="18">
    <w:name w:val="Subtitle"/>
    <w:basedOn w:val="1"/>
    <w:next w:val="1"/>
    <w:link w:val="44"/>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footnote text"/>
    <w:basedOn w:val="1"/>
    <w:link w:val="54"/>
    <w:autoRedefine/>
    <w:unhideWhenUsed/>
    <w:qFormat/>
    <w:uiPriority w:val="99"/>
    <w:pPr>
      <w:snapToGrid w:val="0"/>
      <w:jc w:val="left"/>
    </w:pPr>
    <w:rPr>
      <w:sz w:val="18"/>
      <w:szCs w:val="18"/>
    </w:rPr>
  </w:style>
  <w:style w:type="paragraph" w:styleId="20">
    <w:name w:val="toc 2"/>
    <w:basedOn w:val="1"/>
    <w:next w:val="1"/>
    <w:autoRedefine/>
    <w:unhideWhenUsed/>
    <w:uiPriority w:val="39"/>
    <w:pPr>
      <w:ind w:left="420" w:leftChars="200"/>
    </w:p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43"/>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3">
    <w:name w:val="annotation subject"/>
    <w:basedOn w:val="12"/>
    <w:next w:val="12"/>
    <w:link w:val="78"/>
    <w:autoRedefine/>
    <w:semiHidden/>
    <w:unhideWhenUsed/>
    <w:uiPriority w:val="99"/>
    <w:rPr>
      <w:b/>
      <w:bCs/>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endnote reference"/>
    <w:basedOn w:val="26"/>
    <w:autoRedefine/>
    <w:semiHidden/>
    <w:unhideWhenUsed/>
    <w:qFormat/>
    <w:uiPriority w:val="99"/>
    <w:rPr>
      <w:vertAlign w:val="superscript"/>
    </w:rPr>
  </w:style>
  <w:style w:type="character" w:styleId="29">
    <w:name w:val="FollowedHyperlink"/>
    <w:basedOn w:val="26"/>
    <w:autoRedefine/>
    <w:semiHidden/>
    <w:unhideWhenUsed/>
    <w:qFormat/>
    <w:uiPriority w:val="99"/>
    <w:rPr>
      <w:color w:val="96607D" w:themeColor="followedHyperlink"/>
      <w:u w:val="single"/>
      <w14:textFill>
        <w14:solidFill>
          <w14:schemeClr w14:val="folHlink"/>
        </w14:solidFill>
      </w14:textFill>
    </w:rPr>
  </w:style>
  <w:style w:type="character" w:styleId="30">
    <w:name w:val="Emphasis"/>
    <w:basedOn w:val="26"/>
    <w:autoRedefine/>
    <w:qFormat/>
    <w:uiPriority w:val="20"/>
    <w:rPr>
      <w:i/>
      <w:iCs/>
    </w:rPr>
  </w:style>
  <w:style w:type="character" w:styleId="31">
    <w:name w:val="Hyperlink"/>
    <w:basedOn w:val="26"/>
    <w:autoRedefine/>
    <w:unhideWhenUsed/>
    <w:qFormat/>
    <w:uiPriority w:val="99"/>
    <w:rPr>
      <w:color w:val="467886"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character" w:styleId="33">
    <w:name w:val="footnote reference"/>
    <w:basedOn w:val="26"/>
    <w:autoRedefine/>
    <w:semiHidden/>
    <w:unhideWhenUsed/>
    <w:qFormat/>
    <w:uiPriority w:val="99"/>
    <w:rPr>
      <w:vertAlign w:val="superscript"/>
    </w:rPr>
  </w:style>
  <w:style w:type="character" w:customStyle="1" w:styleId="34">
    <w:name w:val="标题 1 字符"/>
    <w:basedOn w:val="26"/>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35">
    <w:name w:val="标题 2 字符"/>
    <w:basedOn w:val="26"/>
    <w:link w:val="3"/>
    <w:autoRedefine/>
    <w:qFormat/>
    <w:uiPriority w:val="9"/>
    <w:rPr>
      <w:rFonts w:asciiTheme="majorHAnsi" w:hAnsiTheme="majorHAnsi" w:eastAsiaTheme="majorEastAsia" w:cstheme="majorBidi"/>
      <w:color w:val="104862" w:themeColor="accent1" w:themeShade="BF"/>
      <w:sz w:val="40"/>
      <w:szCs w:val="40"/>
    </w:rPr>
  </w:style>
  <w:style w:type="character" w:customStyle="1" w:styleId="36">
    <w:name w:val="标题 3 字符"/>
    <w:basedOn w:val="26"/>
    <w:link w:val="4"/>
    <w:autoRedefine/>
    <w:qFormat/>
    <w:uiPriority w:val="9"/>
    <w:rPr>
      <w:rFonts w:asciiTheme="majorHAnsi" w:hAnsiTheme="majorHAnsi" w:eastAsiaTheme="majorEastAsia" w:cstheme="majorBidi"/>
      <w:color w:val="104862" w:themeColor="accent1" w:themeShade="BF"/>
      <w:sz w:val="32"/>
      <w:szCs w:val="32"/>
    </w:rPr>
  </w:style>
  <w:style w:type="character" w:customStyle="1" w:styleId="37">
    <w:name w:val="标题 4 字符"/>
    <w:basedOn w:val="26"/>
    <w:link w:val="5"/>
    <w:autoRedefine/>
    <w:semiHidden/>
    <w:uiPriority w:val="9"/>
    <w:rPr>
      <w:rFonts w:cstheme="majorBidi"/>
      <w:color w:val="104862" w:themeColor="accent1" w:themeShade="BF"/>
      <w:sz w:val="28"/>
      <w:szCs w:val="28"/>
    </w:rPr>
  </w:style>
  <w:style w:type="character" w:customStyle="1" w:styleId="38">
    <w:name w:val="标题 5 字符"/>
    <w:basedOn w:val="26"/>
    <w:link w:val="6"/>
    <w:autoRedefine/>
    <w:semiHidden/>
    <w:qFormat/>
    <w:uiPriority w:val="9"/>
    <w:rPr>
      <w:rFonts w:cstheme="majorBidi"/>
      <w:color w:val="104862" w:themeColor="accent1" w:themeShade="BF"/>
      <w:sz w:val="24"/>
      <w:szCs w:val="24"/>
    </w:rPr>
  </w:style>
  <w:style w:type="character" w:customStyle="1" w:styleId="39">
    <w:name w:val="标题 6 字符"/>
    <w:basedOn w:val="26"/>
    <w:link w:val="7"/>
    <w:autoRedefine/>
    <w:semiHidden/>
    <w:qFormat/>
    <w:uiPriority w:val="9"/>
    <w:rPr>
      <w:rFonts w:cstheme="majorBidi"/>
      <w:b/>
      <w:bCs/>
      <w:color w:val="104862" w:themeColor="accent1" w:themeShade="BF"/>
    </w:rPr>
  </w:style>
  <w:style w:type="character" w:customStyle="1" w:styleId="40">
    <w:name w:val="标题 7 字符"/>
    <w:basedOn w:val="26"/>
    <w:link w:val="8"/>
    <w:autoRedefine/>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2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2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26"/>
    <w:link w:val="22"/>
    <w:autoRedefine/>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26"/>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26"/>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Intense Emphasis"/>
    <w:basedOn w:val="26"/>
    <w:autoRedefine/>
    <w:qFormat/>
    <w:uiPriority w:val="21"/>
    <w:rPr>
      <w:i/>
      <w:iCs/>
      <w:color w:val="104862" w:themeColor="accent1" w:themeShade="BF"/>
    </w:rPr>
  </w:style>
  <w:style w:type="paragraph" w:styleId="49">
    <w:name w:val="Intense Quote"/>
    <w:basedOn w:val="1"/>
    <w:next w:val="1"/>
    <w:link w:val="50"/>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明显引用 字符"/>
    <w:basedOn w:val="26"/>
    <w:link w:val="49"/>
    <w:qFormat/>
    <w:uiPriority w:val="30"/>
    <w:rPr>
      <w:i/>
      <w:iCs/>
      <w:color w:val="104862" w:themeColor="accent1" w:themeShade="BF"/>
    </w:rPr>
  </w:style>
  <w:style w:type="character" w:customStyle="1" w:styleId="51">
    <w:name w:val="Intense Reference"/>
    <w:basedOn w:val="26"/>
    <w:autoRedefine/>
    <w:qFormat/>
    <w:uiPriority w:val="32"/>
    <w:rPr>
      <w:b/>
      <w:bCs/>
      <w:smallCaps/>
      <w:color w:val="104862" w:themeColor="accent1" w:themeShade="BF"/>
      <w:spacing w:val="5"/>
    </w:rPr>
  </w:style>
  <w:style w:type="character" w:customStyle="1" w:styleId="52">
    <w:name w:val="页眉 字符"/>
    <w:basedOn w:val="26"/>
    <w:link w:val="16"/>
    <w:autoRedefine/>
    <w:qFormat/>
    <w:uiPriority w:val="99"/>
    <w:rPr>
      <w:sz w:val="18"/>
      <w:szCs w:val="18"/>
    </w:rPr>
  </w:style>
  <w:style w:type="character" w:customStyle="1" w:styleId="53">
    <w:name w:val="页脚 字符"/>
    <w:basedOn w:val="26"/>
    <w:link w:val="15"/>
    <w:autoRedefine/>
    <w:qFormat/>
    <w:uiPriority w:val="99"/>
    <w:rPr>
      <w:sz w:val="18"/>
      <w:szCs w:val="18"/>
    </w:rPr>
  </w:style>
  <w:style w:type="character" w:customStyle="1" w:styleId="54">
    <w:name w:val="脚注文本 字符"/>
    <w:basedOn w:val="26"/>
    <w:link w:val="19"/>
    <w:autoRedefine/>
    <w:qFormat/>
    <w:uiPriority w:val="99"/>
    <w:rPr>
      <w:sz w:val="18"/>
      <w:szCs w:val="18"/>
    </w:rPr>
  </w:style>
  <w:style w:type="character" w:customStyle="1" w:styleId="55">
    <w:name w:val="Unresolved Mention"/>
    <w:basedOn w:val="26"/>
    <w:autoRedefine/>
    <w:semiHidden/>
    <w:unhideWhenUsed/>
    <w:qFormat/>
    <w:uiPriority w:val="99"/>
    <w:rPr>
      <w:color w:val="605E5C"/>
      <w:shd w:val="clear" w:color="auto" w:fill="E1DFDD"/>
    </w:rPr>
  </w:style>
  <w:style w:type="character" w:customStyle="1" w:styleId="56">
    <w:name w:val="fontstyle01"/>
    <w:basedOn w:val="26"/>
    <w:autoRedefine/>
    <w:qFormat/>
    <w:uiPriority w:val="0"/>
    <w:rPr>
      <w:rFonts w:hint="default" w:ascii="SSJ4+ZLRFLA-1" w:hAnsi="SSJ4+ZLRFLA-1"/>
      <w:color w:val="000000"/>
      <w:sz w:val="22"/>
      <w:szCs w:val="22"/>
    </w:rPr>
  </w:style>
  <w:style w:type="character" w:customStyle="1" w:styleId="57">
    <w:name w:val="fontstyle18"/>
    <w:basedOn w:val="26"/>
    <w:autoRedefine/>
    <w:qFormat/>
    <w:uiPriority w:val="0"/>
    <w:rPr>
      <w:rFonts w:hint="default" w:ascii="FZSSK--GBK1-00+ZLRFLA-10" w:hAnsi="FZSSK--GBK1-00+ZLRFLA-10"/>
      <w:color w:val="000000"/>
      <w:sz w:val="22"/>
      <w:szCs w:val="22"/>
    </w:rPr>
  </w:style>
  <w:style w:type="character" w:customStyle="1" w:styleId="58">
    <w:name w:val="fontstyle21"/>
    <w:basedOn w:val="26"/>
    <w:autoRedefine/>
    <w:qFormat/>
    <w:uiPriority w:val="0"/>
    <w:rPr>
      <w:rFonts w:hint="default" w:ascii="FZSSK--GBK1-00+ZLRFLA-9" w:hAnsi="FZSSK--GBK1-00+ZLRFLA-9"/>
      <w:color w:val="000000"/>
      <w:sz w:val="22"/>
      <w:szCs w:val="22"/>
    </w:rPr>
  </w:style>
  <w:style w:type="character" w:customStyle="1" w:styleId="59">
    <w:name w:val="fontstyle31"/>
    <w:basedOn w:val="26"/>
    <w:autoRedefine/>
    <w:qFormat/>
    <w:uiPriority w:val="0"/>
    <w:rPr>
      <w:rFonts w:hint="default" w:ascii="FZSSK--GBK1-00+ZLRFLB-13" w:hAnsi="FZSSK--GBK1-00+ZLRFLB-13"/>
      <w:color w:val="000000"/>
      <w:sz w:val="22"/>
      <w:szCs w:val="22"/>
    </w:rPr>
  </w:style>
  <w:style w:type="character" w:customStyle="1" w:styleId="60">
    <w:name w:val="fontstyle41"/>
    <w:basedOn w:val="26"/>
    <w:autoRedefine/>
    <w:qFormat/>
    <w:uiPriority w:val="0"/>
    <w:rPr>
      <w:rFonts w:hint="default" w:ascii="FZSSK--GBK1-00+ZLRFLB-12" w:hAnsi="FZSSK--GBK1-00+ZLRFLB-12"/>
      <w:color w:val="000000"/>
      <w:sz w:val="22"/>
      <w:szCs w:val="22"/>
    </w:rPr>
  </w:style>
  <w:style w:type="character" w:customStyle="1" w:styleId="61">
    <w:name w:val="fontstyle51"/>
    <w:basedOn w:val="26"/>
    <w:qFormat/>
    <w:uiPriority w:val="0"/>
    <w:rPr>
      <w:rFonts w:hint="default" w:ascii="FZSSK--GBK1-00+ZLRFLB-11" w:hAnsi="FZSSK--GBK1-00+ZLRFLB-11"/>
      <w:color w:val="000000"/>
      <w:sz w:val="22"/>
      <w:szCs w:val="22"/>
    </w:rPr>
  </w:style>
  <w:style w:type="character" w:customStyle="1" w:styleId="62">
    <w:name w:val="fontstyle61"/>
    <w:basedOn w:val="26"/>
    <w:autoRedefine/>
    <w:qFormat/>
    <w:uiPriority w:val="0"/>
    <w:rPr>
      <w:rFonts w:hint="default" w:ascii="FZSSK--GBK1-00+ZLRFLB-19" w:hAnsi="FZSSK--GBK1-00+ZLRFLB-19"/>
      <w:color w:val="000000"/>
      <w:sz w:val="22"/>
      <w:szCs w:val="22"/>
    </w:rPr>
  </w:style>
  <w:style w:type="character" w:customStyle="1" w:styleId="63">
    <w:name w:val="fontstyle71"/>
    <w:basedOn w:val="26"/>
    <w:autoRedefine/>
    <w:uiPriority w:val="0"/>
    <w:rPr>
      <w:rFonts w:hint="default" w:ascii="FZSSK--GBK1-00+ZLRFLB-16" w:hAnsi="FZSSK--GBK1-00+ZLRFLB-16"/>
      <w:color w:val="000000"/>
      <w:sz w:val="22"/>
      <w:szCs w:val="22"/>
    </w:rPr>
  </w:style>
  <w:style w:type="character" w:customStyle="1" w:styleId="64">
    <w:name w:val="fontstyle81"/>
    <w:basedOn w:val="26"/>
    <w:autoRedefine/>
    <w:qFormat/>
    <w:uiPriority w:val="0"/>
    <w:rPr>
      <w:rFonts w:hint="default" w:ascii="FZSSK--GBK1-00+ZLRFLB-14" w:hAnsi="FZSSK--GBK1-00+ZLRFLB-14"/>
      <w:color w:val="000000"/>
      <w:sz w:val="22"/>
      <w:szCs w:val="22"/>
    </w:rPr>
  </w:style>
  <w:style w:type="character" w:customStyle="1" w:styleId="65">
    <w:name w:val="fontstyle101"/>
    <w:basedOn w:val="26"/>
    <w:autoRedefine/>
    <w:qFormat/>
    <w:uiPriority w:val="0"/>
    <w:rPr>
      <w:rFonts w:hint="default" w:ascii="FZSSK--GBK1-00+ZLRFLC-22" w:hAnsi="FZSSK--GBK1-00+ZLRFLC-22"/>
      <w:color w:val="000000"/>
      <w:sz w:val="22"/>
      <w:szCs w:val="22"/>
    </w:rPr>
  </w:style>
  <w:style w:type="character" w:customStyle="1" w:styleId="66">
    <w:name w:val="fontstyle111"/>
    <w:basedOn w:val="26"/>
    <w:autoRedefine/>
    <w:qFormat/>
    <w:uiPriority w:val="0"/>
    <w:rPr>
      <w:rFonts w:hint="default" w:ascii="FZSSK--GBK1-00+ZLRFLK-36" w:hAnsi="FZSSK--GBK1-00+ZLRFLK-36"/>
      <w:color w:val="000000"/>
      <w:sz w:val="22"/>
      <w:szCs w:val="22"/>
    </w:rPr>
  </w:style>
  <w:style w:type="character" w:customStyle="1" w:styleId="67">
    <w:name w:val="fontstyle121"/>
    <w:basedOn w:val="26"/>
    <w:autoRedefine/>
    <w:qFormat/>
    <w:uiPriority w:val="0"/>
    <w:rPr>
      <w:rFonts w:hint="default" w:ascii="FZSSK--GBK1-00+ZLRFLT-44" w:hAnsi="FZSSK--GBK1-00+ZLRFLT-44"/>
      <w:color w:val="000000"/>
      <w:sz w:val="22"/>
      <w:szCs w:val="22"/>
    </w:rPr>
  </w:style>
  <w:style w:type="character" w:customStyle="1" w:styleId="68">
    <w:name w:val="fontstyle131"/>
    <w:basedOn w:val="26"/>
    <w:autoRedefine/>
    <w:qFormat/>
    <w:uiPriority w:val="0"/>
    <w:rPr>
      <w:rFonts w:hint="default" w:ascii="FZSSK--GBK1-00+ZLRFLC-20" w:hAnsi="FZSSK--GBK1-00+ZLRFLC-20"/>
      <w:color w:val="000000"/>
      <w:sz w:val="22"/>
      <w:szCs w:val="22"/>
    </w:rPr>
  </w:style>
  <w:style w:type="character" w:customStyle="1" w:styleId="69">
    <w:name w:val="fontstyle141"/>
    <w:basedOn w:val="26"/>
    <w:autoRedefine/>
    <w:qFormat/>
    <w:uiPriority w:val="0"/>
    <w:rPr>
      <w:rFonts w:hint="default" w:ascii="E-BZ+ZLRFLA-2" w:hAnsi="E-BZ+ZLRFLA-2"/>
      <w:color w:val="000000"/>
      <w:sz w:val="22"/>
      <w:szCs w:val="22"/>
    </w:rPr>
  </w:style>
  <w:style w:type="character" w:customStyle="1" w:styleId="70">
    <w:name w:val="fontstyle151"/>
    <w:basedOn w:val="26"/>
    <w:autoRedefine/>
    <w:qFormat/>
    <w:uiPriority w:val="0"/>
    <w:rPr>
      <w:rFonts w:hint="default" w:ascii="FZSSK--GBK1-00+ZLRFLP-41" w:hAnsi="FZSSK--GBK1-00+ZLRFLP-41"/>
      <w:color w:val="000000"/>
      <w:sz w:val="22"/>
      <w:szCs w:val="22"/>
    </w:rPr>
  </w:style>
  <w:style w:type="character" w:customStyle="1" w:styleId="71">
    <w:name w:val="fontstyle161"/>
    <w:basedOn w:val="26"/>
    <w:autoRedefine/>
    <w:qFormat/>
    <w:uiPriority w:val="0"/>
    <w:rPr>
      <w:rFonts w:hint="default" w:ascii="FZSSK--GBK1-00+ZLRFLE-29" w:hAnsi="FZSSK--GBK1-00+ZLRFLE-29"/>
      <w:color w:val="000000"/>
      <w:sz w:val="22"/>
      <w:szCs w:val="22"/>
    </w:rPr>
  </w:style>
  <w:style w:type="character" w:customStyle="1" w:styleId="72">
    <w:name w:val="fontstyle171"/>
    <w:basedOn w:val="26"/>
    <w:autoRedefine/>
    <w:uiPriority w:val="0"/>
    <w:rPr>
      <w:rFonts w:hint="default" w:ascii="FSJ0+ZLRFLA-6" w:hAnsi="FSJ0+ZLRFLA-6"/>
      <w:color w:val="000000"/>
      <w:sz w:val="22"/>
      <w:szCs w:val="22"/>
    </w:rPr>
  </w:style>
  <w:style w:type="character" w:customStyle="1" w:styleId="73">
    <w:name w:val="fontstyle11"/>
    <w:basedOn w:val="26"/>
    <w:autoRedefine/>
    <w:qFormat/>
    <w:uiPriority w:val="0"/>
    <w:rPr>
      <w:color w:val="242021"/>
      <w:sz w:val="20"/>
      <w:szCs w:val="20"/>
    </w:rPr>
  </w:style>
  <w:style w:type="character" w:customStyle="1" w:styleId="74">
    <w:name w:val="15"/>
    <w:basedOn w:val="26"/>
    <w:autoRedefine/>
    <w:qFormat/>
    <w:uiPriority w:val="0"/>
  </w:style>
  <w:style w:type="character" w:customStyle="1" w:styleId="75">
    <w:name w:val="批注框文本 字符"/>
    <w:basedOn w:val="26"/>
    <w:link w:val="14"/>
    <w:autoRedefine/>
    <w:semiHidden/>
    <w:qFormat/>
    <w:uiPriority w:val="99"/>
    <w:rPr>
      <w:sz w:val="18"/>
      <w:szCs w:val="18"/>
    </w:rPr>
  </w:style>
  <w:style w:type="character" w:customStyle="1" w:styleId="76">
    <w:name w:val="fontstyle91"/>
    <w:basedOn w:val="26"/>
    <w:autoRedefine/>
    <w:qFormat/>
    <w:uiPriority w:val="0"/>
    <w:rPr>
      <w:rFonts w:hint="default" w:ascii="KTJ+ZJXGU2-16" w:hAnsi="KTJ+ZJXGU2-16"/>
      <w:color w:val="242021"/>
      <w:sz w:val="20"/>
      <w:szCs w:val="20"/>
    </w:rPr>
  </w:style>
  <w:style w:type="character" w:customStyle="1" w:styleId="77">
    <w:name w:val="批注文字 字符"/>
    <w:basedOn w:val="26"/>
    <w:link w:val="12"/>
    <w:qFormat/>
    <w:uiPriority w:val="99"/>
  </w:style>
  <w:style w:type="character" w:customStyle="1" w:styleId="78">
    <w:name w:val="批注主题 字符"/>
    <w:basedOn w:val="77"/>
    <w:link w:val="23"/>
    <w:autoRedefine/>
    <w:semiHidden/>
    <w:qFormat/>
    <w:uiPriority w:val="99"/>
    <w:rPr>
      <w:b/>
      <w:bCs/>
    </w:rPr>
  </w:style>
  <w:style w:type="character" w:customStyle="1" w:styleId="79">
    <w:name w:val="fontstyle16"/>
    <w:basedOn w:val="26"/>
    <w:autoRedefine/>
    <w:qFormat/>
    <w:uiPriority w:val="0"/>
    <w:rPr>
      <w:rFonts w:hint="default" w:ascii="KTJ+ZLTHP5-9" w:hAnsi="KTJ+ZLTHP5-9"/>
      <w:color w:val="242021"/>
      <w:sz w:val="20"/>
      <w:szCs w:val="20"/>
    </w:rPr>
  </w:style>
  <w:style w:type="character" w:customStyle="1" w:styleId="80">
    <w:name w:val="fontstyle13"/>
    <w:basedOn w:val="26"/>
    <w:qFormat/>
    <w:uiPriority w:val="0"/>
    <w:rPr>
      <w:rFonts w:hint="default" w:ascii="KTJ+ZLTHP5-10" w:hAnsi="KTJ+ZLTHP5-10"/>
      <w:color w:val="242021"/>
      <w:sz w:val="20"/>
      <w:szCs w:val="20"/>
    </w:rPr>
  </w:style>
  <w:style w:type="character" w:customStyle="1" w:styleId="81">
    <w:name w:val="fontstyle12"/>
    <w:basedOn w:val="26"/>
    <w:autoRedefine/>
    <w:qFormat/>
    <w:uiPriority w:val="0"/>
    <w:rPr>
      <w:rFonts w:hint="default" w:ascii="KTJ+ZLTHQC-137" w:hAnsi="KTJ+ZLTHQC-137"/>
      <w:color w:val="242021"/>
      <w:sz w:val="20"/>
      <w:szCs w:val="20"/>
    </w:rPr>
  </w:style>
  <w:style w:type="character" w:customStyle="1" w:styleId="82">
    <w:name w:val="fontstyle17"/>
    <w:basedOn w:val="26"/>
    <w:autoRedefine/>
    <w:qFormat/>
    <w:uiPriority w:val="0"/>
    <w:rPr>
      <w:rFonts w:hint="default" w:ascii="KTJ+ZMXHVq-467" w:hAnsi="KTJ+ZMXHVq-467"/>
      <w:color w:val="242021"/>
      <w:sz w:val="16"/>
      <w:szCs w:val="16"/>
    </w:rPr>
  </w:style>
  <w:style w:type="character" w:customStyle="1" w:styleId="83">
    <w:name w:val="尾注文本 字符"/>
    <w:basedOn w:val="26"/>
    <w:link w:val="13"/>
    <w:autoRedefine/>
    <w:qFormat/>
    <w:uiPriority w:val="99"/>
  </w:style>
  <w:style w:type="character" w:customStyle="1" w:styleId="84">
    <w:name w:val="fontstyle15"/>
    <w:basedOn w:val="26"/>
    <w:autoRedefine/>
    <w:qFormat/>
    <w:uiPriority w:val="0"/>
    <w:rPr>
      <w:rFonts w:hint="default" w:ascii="KTJ+ZMcIH8-18" w:hAnsi="KTJ+ZMcIH8-18"/>
      <w:color w:val="242021"/>
      <w:sz w:val="20"/>
      <w:szCs w:val="20"/>
    </w:rPr>
  </w:style>
  <w:style w:type="paragraph" w:customStyle="1" w:styleId="85">
    <w:name w:val="TOC Heading"/>
    <w:basedOn w:val="2"/>
    <w:next w:val="1"/>
    <w:autoRedefine/>
    <w:unhideWhenUsed/>
    <w:qFormat/>
    <w:uiPriority w:val="39"/>
    <w:pPr>
      <w:widowControl/>
      <w:spacing w:before="240" w:after="0" w:line="259" w:lineRule="auto"/>
      <w:jc w:val="left"/>
      <w:outlineLvl w:val="9"/>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D353-2A93-4426-B6AC-F4BF75BC6733}">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1982</Words>
  <Characters>11302</Characters>
  <Lines>94</Lines>
  <Paragraphs>26</Paragraphs>
  <TotalTime>0</TotalTime>
  <ScaleCrop>false</ScaleCrop>
  <LinksUpToDate>false</LinksUpToDate>
  <CharactersWithSpaces>13258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2024-03-02T04:35:00Z</dcterms:created>
  <dc:creator>bowen sun</dc:creator>
  <cp:lastModifiedBy>刘京</cp:lastModifiedBy>
  <dcterms:modified xsi:type="dcterms:W3CDTF">2024-03-17T11:44:52Z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2B07C0B1BF62434C825F69A242F94DC2_12</vt:lpwstr>
  </property>
</Properties>
</file>