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b/>
          <w:bCs/>
          <w:sz w:val="32"/>
          <w:szCs w:val="32"/>
        </w:rPr>
      </w:pPr>
      <w:r>
        <w:rPr>
          <w:rFonts w:ascii="仿宋" w:hAnsi="仿宋" w:eastAsia="仿宋" w:cs="Times New Roman"/>
          <w:b/>
          <w:bCs/>
          <w:sz w:val="32"/>
          <w:szCs w:val="32"/>
        </w:rPr>
        <w:t>生产网络视角下的贸易自由化冲击与区域贸易传播</w:t>
      </w:r>
    </w:p>
    <w:p>
      <w:pPr>
        <w:jc w:val="center"/>
        <w:rPr>
          <w:rFonts w:ascii="仿宋" w:hAnsi="仿宋" w:eastAsia="仿宋" w:cs="Times New Roman"/>
          <w:sz w:val="28"/>
          <w:szCs w:val="28"/>
        </w:rPr>
      </w:pPr>
      <w:r>
        <w:rPr>
          <w:rFonts w:ascii="仿宋" w:hAnsi="仿宋" w:eastAsia="仿宋" w:cs="Times New Roman"/>
          <w:sz w:val="28"/>
          <w:szCs w:val="28"/>
        </w:rPr>
        <w:t>——基于福建省自贸试验区的经验研究</w:t>
      </w:r>
    </w:p>
    <w:p/>
    <w:p>
      <w:pPr>
        <w:jc w:val="center"/>
        <w:rPr>
          <w:rFonts w:ascii="楷体" w:hAnsi="楷体" w:eastAsia="楷体"/>
          <w:sz w:val="28"/>
          <w:szCs w:val="32"/>
        </w:rPr>
      </w:pPr>
      <w:r>
        <w:rPr>
          <w:rFonts w:hint="eastAsia" w:ascii="楷体" w:hAnsi="楷体" w:eastAsia="楷体"/>
          <w:sz w:val="28"/>
          <w:szCs w:val="32"/>
        </w:rPr>
        <w:t xml:space="preserve">梁若冰 </w:t>
      </w:r>
      <w:r>
        <w:rPr>
          <w:rFonts w:ascii="楷体" w:hAnsi="楷体" w:eastAsia="楷体"/>
          <w:sz w:val="28"/>
          <w:szCs w:val="32"/>
        </w:rPr>
        <w:t xml:space="preserve"> </w:t>
      </w:r>
      <w:r>
        <w:rPr>
          <w:rFonts w:hint="eastAsia" w:ascii="楷体" w:hAnsi="楷体" w:eastAsia="楷体"/>
          <w:sz w:val="28"/>
          <w:szCs w:val="32"/>
        </w:rPr>
        <w:t>王英杰</w:t>
      </w:r>
    </w:p>
    <w:p>
      <w:pPr>
        <w:jc w:val="center"/>
        <w:rPr>
          <w:rFonts w:hint="eastAsia" w:ascii="楷体" w:hAnsi="楷体" w:eastAsia="楷体"/>
          <w:sz w:val="28"/>
          <w:szCs w:val="32"/>
          <w:lang w:val="en-US" w:eastAsia="zh-CN"/>
        </w:rPr>
      </w:pP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目录</w:t>
      </w:r>
    </w:p>
    <w:p>
      <w:pPr>
        <w:pStyle w:val="10"/>
        <w:tabs>
          <w:tab w:val="right" w:leader="dot" w:pos="8296"/>
        </w:tabs>
        <w:spacing w:before="312" w:beforeLines="100" w:after="312" w:afterLines="100"/>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TOC \h \z \t "季刊附录标题,1" </w:instrText>
      </w:r>
      <w:r>
        <w:rPr>
          <w:rFonts w:hint="eastAsia" w:ascii="仿宋" w:hAnsi="仿宋" w:eastAsia="仿宋" w:cs="仿宋"/>
          <w:sz w:val="22"/>
          <w:szCs w:val="22"/>
        </w:rPr>
        <w:fldChar w:fldCharType="separate"/>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"_Toc160293714" </w:instrText>
      </w:r>
      <w:r>
        <w:rPr>
          <w:rFonts w:hint="eastAsia" w:ascii="仿宋" w:hAnsi="仿宋" w:eastAsia="仿宋" w:cs="仿宋"/>
          <w:sz w:val="22"/>
          <w:szCs w:val="22"/>
        </w:rPr>
        <w:fldChar w:fldCharType="separate"/>
      </w:r>
      <w:r>
        <w:rPr>
          <w:rStyle w:val="16"/>
          <w:rFonts w:hint="eastAsia" w:ascii="仿宋" w:hAnsi="仿宋" w:eastAsia="仿宋" w:cs="仿宋"/>
          <w:sz w:val="22"/>
          <w:szCs w:val="22"/>
        </w:rPr>
        <w:t>附录Ⅰ  描述性统计表</w:t>
      </w:r>
      <w:r>
        <w:rPr>
          <w:rFonts w:hint="eastAsia" w:ascii="仿宋" w:hAnsi="仿宋" w:eastAsia="仿宋" w:cs="仿宋"/>
          <w:sz w:val="22"/>
          <w:szCs w:val="22"/>
        </w:rPr>
        <w:tab/>
      </w:r>
      <w:r>
        <w:rPr>
          <w:rFonts w:hint="eastAsia" w:ascii="仿宋" w:hAnsi="仿宋" w:eastAsia="仿宋" w:cs="仿宋"/>
          <w:sz w:val="22"/>
          <w:szCs w:val="22"/>
          <w:lang w:val="en-US" w:eastAsia="zh-CN"/>
        </w:rPr>
        <w:t>1</w:t>
      </w:r>
      <w:r>
        <w:rPr>
          <w:rFonts w:hint="eastAsia" w:ascii="仿宋" w:hAnsi="仿宋" w:eastAsia="仿宋" w:cs="仿宋"/>
          <w:sz w:val="22"/>
          <w:szCs w:val="22"/>
        </w:rPr>
        <w:fldChar w:fldCharType="end"/>
      </w:r>
    </w:p>
    <w:p>
      <w:pPr>
        <w:pStyle w:val="10"/>
        <w:tabs>
          <w:tab w:val="right" w:leader="dot" w:pos="8296"/>
        </w:tabs>
        <w:spacing w:before="312" w:beforeLines="100" w:after="312" w:afterLines="100"/>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"_Toc160293715" </w:instrText>
      </w:r>
      <w:r>
        <w:rPr>
          <w:rFonts w:hint="eastAsia" w:ascii="仿宋" w:hAnsi="仿宋" w:eastAsia="仿宋" w:cs="仿宋"/>
          <w:sz w:val="22"/>
          <w:szCs w:val="22"/>
        </w:rPr>
        <w:fldChar w:fldCharType="separate"/>
      </w:r>
      <w:r>
        <w:rPr>
          <w:rStyle w:val="16"/>
          <w:rFonts w:hint="eastAsia" w:ascii="仿宋" w:hAnsi="仿宋" w:eastAsia="仿宋" w:cs="仿宋"/>
          <w:sz w:val="22"/>
          <w:szCs w:val="22"/>
        </w:rPr>
        <w:t>附录Ⅱ  稳健性检验</w:t>
      </w:r>
      <w:r>
        <w:rPr>
          <w:rFonts w:hint="eastAsia" w:ascii="仿宋" w:hAnsi="仿宋" w:eastAsia="仿宋" w:cs="仿宋"/>
          <w:sz w:val="22"/>
          <w:szCs w:val="22"/>
        </w:rPr>
        <w:tab/>
      </w:r>
      <w:r>
        <w:rPr>
          <w:rFonts w:hint="eastAsia" w:ascii="仿宋" w:hAnsi="仿宋" w:eastAsia="仿宋" w:cs="仿宋"/>
          <w:sz w:val="22"/>
          <w:szCs w:val="22"/>
          <w:lang w:val="en-US" w:eastAsia="zh-CN"/>
        </w:rPr>
        <w:t>2</w:t>
      </w:r>
      <w:r>
        <w:rPr>
          <w:rFonts w:hint="eastAsia" w:ascii="仿宋" w:hAnsi="仿宋" w:eastAsia="仿宋" w:cs="仿宋"/>
          <w:sz w:val="22"/>
          <w:szCs w:val="22"/>
        </w:rPr>
        <w:fldChar w:fldCharType="end"/>
      </w:r>
    </w:p>
    <w:p>
      <w:pPr>
        <w:pStyle w:val="10"/>
        <w:tabs>
          <w:tab w:val="right" w:leader="dot" w:pos="8296"/>
        </w:tabs>
        <w:spacing w:before="312" w:beforeLines="100" w:after="312" w:afterLines="100"/>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"_Toc160293716" </w:instrText>
      </w:r>
      <w:r>
        <w:rPr>
          <w:rFonts w:hint="eastAsia" w:ascii="仿宋" w:hAnsi="仿宋" w:eastAsia="仿宋" w:cs="仿宋"/>
          <w:sz w:val="22"/>
          <w:szCs w:val="22"/>
        </w:rPr>
        <w:fldChar w:fldCharType="separate"/>
      </w:r>
      <w:r>
        <w:rPr>
          <w:rStyle w:val="16"/>
          <w:rFonts w:hint="eastAsia" w:ascii="仿宋" w:hAnsi="仿宋" w:eastAsia="仿宋" w:cs="仿宋"/>
          <w:sz w:val="22"/>
          <w:szCs w:val="22"/>
        </w:rPr>
        <w:t>附录Ⅲ  异质性分析</w:t>
      </w:r>
      <w:r>
        <w:rPr>
          <w:rFonts w:hint="eastAsia" w:ascii="仿宋" w:hAnsi="仿宋" w:eastAsia="仿宋" w:cs="仿宋"/>
          <w:sz w:val="22"/>
          <w:szCs w:val="22"/>
        </w:rPr>
        <w:tab/>
      </w:r>
      <w:r>
        <w:rPr>
          <w:rFonts w:hint="eastAsia" w:ascii="仿宋" w:hAnsi="仿宋" w:eastAsia="仿宋" w:cs="仿宋"/>
          <w:sz w:val="22"/>
          <w:szCs w:val="22"/>
          <w:lang w:val="en-US" w:eastAsia="zh-CN"/>
        </w:rPr>
        <w:t>7</w:t>
      </w:r>
      <w:r>
        <w:rPr>
          <w:rFonts w:hint="eastAsia" w:ascii="仿宋" w:hAnsi="仿宋" w:eastAsia="仿宋" w:cs="仿宋"/>
          <w:sz w:val="22"/>
          <w:szCs w:val="22"/>
        </w:rPr>
        <w:fldChar w:fldCharType="end"/>
      </w:r>
    </w:p>
    <w:p>
      <w:pPr>
        <w:pStyle w:val="10"/>
        <w:tabs>
          <w:tab w:val="right" w:leader="dot" w:pos="8296"/>
        </w:tabs>
        <w:spacing w:before="312" w:beforeLines="100" w:after="312" w:afterLines="100"/>
        <w:rPr>
          <w:rFonts w:hint="eastAsia" w:ascii="仿宋" w:hAnsi="仿宋" w:eastAsia="仿宋" w:cs="仿宋"/>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"_Toc160293717" </w:instrText>
      </w:r>
      <w:r>
        <w:rPr>
          <w:rFonts w:hint="eastAsia" w:ascii="仿宋" w:hAnsi="仿宋" w:eastAsia="仿宋" w:cs="仿宋"/>
          <w:sz w:val="22"/>
          <w:szCs w:val="22"/>
        </w:rPr>
        <w:fldChar w:fldCharType="separate"/>
      </w:r>
      <w:r>
        <w:rPr>
          <w:rStyle w:val="16"/>
          <w:rFonts w:hint="eastAsia" w:ascii="仿宋" w:hAnsi="仿宋" w:eastAsia="仿宋" w:cs="仿宋"/>
          <w:sz w:val="22"/>
          <w:szCs w:val="22"/>
        </w:rPr>
        <w:t>附录Ⅳ  机制分析</w:t>
      </w:r>
      <w:r>
        <w:rPr>
          <w:rFonts w:hint="eastAsia" w:ascii="仿宋" w:hAnsi="仿宋" w:eastAsia="仿宋" w:cs="仿宋"/>
          <w:sz w:val="22"/>
          <w:szCs w:val="22"/>
        </w:rPr>
        <w:tab/>
      </w:r>
      <w:r>
        <w:rPr>
          <w:rFonts w:hint="eastAsia" w:ascii="仿宋" w:hAnsi="仿宋" w:eastAsia="仿宋" w:cs="仿宋"/>
          <w:sz w:val="22"/>
          <w:szCs w:val="22"/>
          <w:lang w:val="en-US" w:eastAsia="zh-CN"/>
        </w:rPr>
        <w:t>8</w:t>
      </w:r>
      <w:r>
        <w:rPr>
          <w:rFonts w:hint="eastAsia" w:ascii="仿宋" w:hAnsi="仿宋" w:eastAsia="仿宋" w:cs="仿宋"/>
          <w:sz w:val="22"/>
          <w:szCs w:val="22"/>
        </w:rPr>
        <w:fldChar w:fldCharType="end"/>
      </w:r>
    </w:p>
    <w:p>
      <w:pPr>
        <w:spacing w:before="312" w:beforeLines="100" w:after="312" w:afterLines="100"/>
        <w:rPr>
          <w:rFonts w:ascii="黑体" w:hAnsi="黑体" w:eastAsia="黑体"/>
          <w:sz w:val="28"/>
          <w:szCs w:val="28"/>
        </w:rPr>
      </w:pPr>
      <w:r>
        <w:rPr>
          <w:rFonts w:hint="eastAsia" w:ascii="仿宋" w:hAnsi="仿宋" w:eastAsia="仿宋" w:cs="仿宋"/>
          <w:sz w:val="22"/>
          <w:szCs w:val="22"/>
        </w:rPr>
        <w:fldChar w:fldCharType="end"/>
      </w:r>
    </w:p>
    <w:p>
      <w:pPr>
        <w:widowControl/>
        <w:jc w:val="left"/>
      </w:pPr>
      <w:r>
        <w:br w:type="page"/>
      </w:r>
    </w:p>
    <w:p>
      <w:pPr>
        <w:ind w:firstLine="420" w:firstLineChars="200"/>
        <w:rPr>
          <w:rFonts w:ascii="Times New Roman" w:hAnsi="Times New Roman" w:eastAsia="仿宋" w:cs="Times New Roman"/>
        </w:rPr>
        <w:sectPr>
          <w:headerReference r:id="rId4" w:type="default"/>
          <w:pgSz w:w="11906" w:h="16838"/>
          <w:pgMar w:top="1440" w:right="1800" w:bottom="1440" w:left="1800" w:header="851" w:footer="992" w:gutter="0"/>
          <w:cols w:space="425" w:num="1"/>
          <w:docGrid w:type="lines" w:linePitch="312" w:charSpace="0"/>
        </w:sectPr>
      </w:pPr>
    </w:p>
    <w:p>
      <w:pPr>
        <w:pStyle w:val="31"/>
        <w:ind w:firstLine="482"/>
        <w:jc w:val="center"/>
        <w:rPr>
          <w:rFonts w:hint="eastAsia" w:ascii="楷体" w:hAnsi="楷体" w:eastAsia="楷体" w:cs="楷体"/>
          <w:b w:val="0"/>
          <w:bCs/>
          <w:sz w:val="28"/>
          <w:szCs w:val="28"/>
        </w:rPr>
      </w:pPr>
      <w:bookmarkStart w:id="0" w:name="_Toc160293714"/>
      <w:r>
        <w:rPr>
          <w:rFonts w:hint="eastAsia" w:ascii="楷体" w:hAnsi="楷体" w:eastAsia="楷体" w:cs="楷体"/>
          <w:b w:val="0"/>
          <w:bCs/>
          <w:sz w:val="28"/>
          <w:szCs w:val="28"/>
        </w:rPr>
        <w:t>附录Ⅰ 描述性统计表</w:t>
      </w:r>
      <w:bookmarkEnd w:id="0"/>
    </w:p>
    <w:p>
      <w:pPr>
        <w:pStyle w:val="6"/>
        <w:jc w:val="center"/>
        <w:rPr>
          <w:rFonts w:hint="eastAsia" w:ascii="黑体" w:hAnsi="黑体" w:eastAsia="黑体" w:cs="黑体"/>
          <w:sz w:val="18"/>
          <w:szCs w:val="18"/>
        </w:rPr>
      </w:pPr>
      <w:r>
        <w:rPr>
          <w:rFonts w:hint="eastAsia" w:ascii="黑体" w:hAnsi="黑体" w:eastAsia="黑体" w:cs="黑体"/>
          <w:sz w:val="18"/>
          <w:szCs w:val="18"/>
        </w:rPr>
        <w:t>表Ⅰ1  描述性统计</w:t>
      </w:r>
    </w:p>
    <w:tbl>
      <w:tblPr>
        <w:tblStyle w:val="14"/>
        <w:tblW w:w="1587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677"/>
        <w:gridCol w:w="780"/>
        <w:gridCol w:w="845"/>
        <w:gridCol w:w="845"/>
        <w:gridCol w:w="7"/>
        <w:gridCol w:w="953"/>
        <w:gridCol w:w="874"/>
        <w:gridCol w:w="1032"/>
        <w:gridCol w:w="7"/>
        <w:gridCol w:w="1039"/>
        <w:gridCol w:w="1039"/>
        <w:gridCol w:w="1169"/>
        <w:gridCol w:w="7"/>
        <w:gridCol w:w="1040"/>
        <w:gridCol w:w="716"/>
        <w:gridCol w:w="84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auto" w:sz="8" w:space="0"/>
            </w:tcBorders>
            <w:vAlign w:val="center"/>
          </w:tcPr>
          <w:p>
            <w:pPr>
              <w:jc w:val="center"/>
              <w:rPr>
                <w:rFonts w:ascii="Times New Roman" w:hAnsi="Times New Roman" w:eastAsia="仿宋" w:cs="Times New Roman"/>
                <w:szCs w:val="21"/>
              </w:rPr>
            </w:pPr>
          </w:p>
        </w:tc>
        <w:tc>
          <w:tcPr>
            <w:tcW w:w="0" w:type="auto"/>
            <w:gridSpan w:val="7"/>
            <w:tcBorders>
              <w:top w:val="single" w:color="auto" w:sz="8"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区内企业</w:t>
            </w:r>
          </w:p>
        </w:tc>
        <w:tc>
          <w:tcPr>
            <w:tcW w:w="0" w:type="auto"/>
            <w:tcBorders>
              <w:top w:val="single" w:color="auto" w:sz="8" w:space="0"/>
              <w:bottom w:val="nil"/>
            </w:tcBorders>
            <w:vAlign w:val="center"/>
          </w:tcPr>
          <w:p>
            <w:pPr>
              <w:jc w:val="center"/>
              <w:rPr>
                <w:rFonts w:ascii="Times New Roman" w:hAnsi="Times New Roman" w:eastAsia="仿宋" w:cs="Times New Roman"/>
                <w:szCs w:val="21"/>
              </w:rPr>
            </w:pPr>
          </w:p>
        </w:tc>
        <w:tc>
          <w:tcPr>
            <w:tcW w:w="0" w:type="auto"/>
            <w:gridSpan w:val="7"/>
            <w:tcBorders>
              <w:top w:val="single" w:color="auto" w:sz="8"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区外企业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bottom w:val="single" w:color="auto" w:sz="4" w:space="0"/>
            </w:tcBorders>
            <w:vAlign w:val="center"/>
          </w:tcPr>
          <w:p>
            <w:pPr>
              <w:jc w:val="center"/>
              <w:rPr>
                <w:rFonts w:ascii="Times New Roman" w:hAnsi="Times New Roman" w:eastAsia="仿宋" w:cs="Times New Roman"/>
                <w:szCs w:val="21"/>
              </w:rPr>
            </w:pP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样本数</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均值</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标准误</w:t>
            </w:r>
          </w:p>
        </w:tc>
        <w:tc>
          <w:tcPr>
            <w:tcW w:w="0" w:type="auto"/>
            <w:gridSpan w:val="2"/>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p1</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p50</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p99</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样本数</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均值</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标准误</w:t>
            </w:r>
          </w:p>
        </w:tc>
        <w:tc>
          <w:tcPr>
            <w:tcW w:w="0" w:type="auto"/>
            <w:gridSpan w:val="2"/>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p1</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p50</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p99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8"/>
            <w:tcBorders>
              <w:bottom w:val="single" w:color="auto" w:sz="4" w:space="0"/>
            </w:tcBorders>
            <w:vAlign w:val="center"/>
          </w:tcPr>
          <w:p>
            <w:pPr>
              <w:jc w:val="left"/>
              <w:rPr>
                <w:rFonts w:ascii="Times New Roman" w:hAnsi="Times New Roman" w:eastAsia="仿宋" w:cs="Times New Roman"/>
                <w:szCs w:val="21"/>
              </w:rPr>
            </w:pPr>
            <w:r>
              <w:rPr>
                <w:rFonts w:ascii="Times New Roman" w:hAnsi="Times New Roman" w:eastAsia="仿宋" w:cs="Times New Roman"/>
                <w:szCs w:val="21"/>
              </w:rPr>
              <w:t>A.供方企业</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gridSpan w:val="7"/>
            <w:tcBorders>
              <w:top w:val="single" w:color="auto" w:sz="4" w:space="0"/>
              <w:bottom w:val="single" w:color="auto" w:sz="4" w:space="0"/>
            </w:tcBorders>
            <w:vAlign w:val="center"/>
          </w:tcPr>
          <w:p>
            <w:pPr>
              <w:jc w:val="center"/>
              <w:rPr>
                <w:rFonts w:ascii="Times New Roman" w:hAnsi="Times New Roman" w:eastAsia="仿宋" w:cs="Times New Roman"/>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auto" w:sz="4" w:space="0"/>
              <w:bottom w:val="nil"/>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交易额(万元)</w:t>
            </w:r>
          </w:p>
        </w:tc>
        <w:tc>
          <w:tcPr>
            <w:tcW w:w="0" w:type="auto"/>
            <w:tcBorders>
              <w:top w:val="single" w:color="auto" w:sz="4" w:space="0"/>
              <w:bottom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31 127</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113.450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1100 </w:t>
            </w:r>
          </w:p>
        </w:tc>
        <w:tc>
          <w:tcPr>
            <w:tcW w:w="0" w:type="auto"/>
            <w:gridSpan w:val="2"/>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2.761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1940 </w:t>
            </w:r>
          </w:p>
        </w:tc>
        <w:tc>
          <w:tcPr>
            <w:tcW w:w="0" w:type="auto"/>
            <w:tcBorders>
              <w:top w:val="nil"/>
              <w:bottom w:val="nil"/>
            </w:tcBorders>
          </w:tcPr>
          <w:p>
            <w:pPr>
              <w:jc w:val="center"/>
              <w:rPr>
                <w:rFonts w:ascii="Times New Roman" w:hAnsi="Times New Roman" w:eastAsia="仿宋" w:cs="Times New Roman"/>
                <w:szCs w:val="21"/>
              </w:rPr>
            </w:pPr>
          </w:p>
        </w:tc>
        <w:tc>
          <w:tcPr>
            <w:tcW w:w="0" w:type="auto"/>
            <w:tcBorders>
              <w:top w:val="single" w:color="auto" w:sz="4" w:space="0"/>
              <w:bottom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2 597 526</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84.990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2190 </w:t>
            </w:r>
          </w:p>
        </w:tc>
        <w:tc>
          <w:tcPr>
            <w:tcW w:w="0" w:type="auto"/>
            <w:gridSpan w:val="2"/>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3.441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1110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税额（万元）</w:t>
            </w:r>
          </w:p>
        </w:tc>
        <w:tc>
          <w:tcPr>
            <w:tcW w:w="0" w:type="auto"/>
            <w:tcBorders>
              <w:top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28 526</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20.538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194.150 </w:t>
            </w:r>
          </w:p>
        </w:tc>
        <w:tc>
          <w:tcPr>
            <w:tcW w:w="0" w:type="auto"/>
            <w:gridSpan w:val="2"/>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0.003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0.531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346.196 </w:t>
            </w:r>
          </w:p>
        </w:tc>
        <w:tc>
          <w:tcPr>
            <w:tcW w:w="0" w:type="auto"/>
            <w:tcBorders>
              <w:top w:val="nil"/>
              <w:bottom w:val="nil"/>
            </w:tcBorders>
          </w:tcPr>
          <w:p>
            <w:pPr>
              <w:jc w:val="center"/>
              <w:rPr>
                <w:rFonts w:ascii="Times New Roman" w:hAnsi="Times New Roman" w:eastAsia="仿宋" w:cs="Times New Roman"/>
                <w:szCs w:val="21"/>
              </w:rPr>
            </w:pPr>
          </w:p>
        </w:tc>
        <w:tc>
          <w:tcPr>
            <w:tcW w:w="0" w:type="auto"/>
            <w:tcBorders>
              <w:top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2 375 867</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15.2124.4</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382.765 </w:t>
            </w:r>
          </w:p>
        </w:tc>
        <w:tc>
          <w:tcPr>
            <w:tcW w:w="0" w:type="auto"/>
            <w:gridSpan w:val="2"/>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0.002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0.686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199.682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客户数</w:t>
            </w:r>
          </w:p>
        </w:tc>
        <w:tc>
          <w:tcPr>
            <w:tcW w:w="0" w:type="auto"/>
            <w:vAlign w:val="bottom"/>
          </w:tcPr>
          <w:p>
            <w:pPr>
              <w:jc w:val="center"/>
              <w:rPr>
                <w:rFonts w:ascii="Times New Roman" w:hAnsi="Times New Roman" w:eastAsia="仿宋" w:cs="Times New Roman"/>
                <w:szCs w:val="21"/>
              </w:rPr>
            </w:pPr>
            <w:r>
              <w:rPr>
                <w:rFonts w:ascii="Times New Roman" w:hAnsi="Times New Roman" w:eastAsia="仿宋" w:cs="Times New Roman"/>
                <w:szCs w:val="21"/>
              </w:rPr>
              <w:t>31 127</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39.594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41.302 </w:t>
            </w:r>
          </w:p>
        </w:tc>
        <w:tc>
          <w:tcPr>
            <w:tcW w:w="0" w:type="auto"/>
            <w:gridSpan w:val="2"/>
          </w:tcPr>
          <w:p>
            <w:pPr>
              <w:jc w:val="center"/>
              <w:rPr>
                <w:rFonts w:ascii="Times New Roman" w:hAnsi="Times New Roman" w:eastAsia="仿宋" w:cs="Times New Roman"/>
                <w:szCs w:val="21"/>
              </w:rPr>
            </w:pPr>
            <w:r>
              <w:rPr>
                <w:rFonts w:ascii="Times New Roman" w:hAnsi="Times New Roman" w:eastAsia="仿宋" w:cs="Times New Roman"/>
                <w:szCs w:val="21"/>
              </w:rPr>
              <w:t xml:space="preserve">1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23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186 </w:t>
            </w:r>
          </w:p>
        </w:tc>
        <w:tc>
          <w:tcPr>
            <w:tcW w:w="0" w:type="auto"/>
            <w:tcBorders>
              <w:top w:val="nil"/>
              <w:bottom w:val="nil"/>
            </w:tcBorders>
          </w:tcPr>
          <w:p>
            <w:pPr>
              <w:jc w:val="center"/>
              <w:rPr>
                <w:rFonts w:ascii="Times New Roman" w:hAnsi="Times New Roman" w:eastAsia="仿宋" w:cs="Times New Roman"/>
                <w:szCs w:val="21"/>
              </w:rPr>
            </w:pPr>
          </w:p>
        </w:tc>
        <w:tc>
          <w:tcPr>
            <w:tcW w:w="0" w:type="auto"/>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2 597 526</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33.850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54.617 </w:t>
            </w:r>
          </w:p>
        </w:tc>
        <w:tc>
          <w:tcPr>
            <w:tcW w:w="0" w:type="auto"/>
            <w:gridSpan w:val="2"/>
          </w:tcPr>
          <w:p>
            <w:pPr>
              <w:jc w:val="center"/>
              <w:rPr>
                <w:rFonts w:ascii="Times New Roman" w:hAnsi="Times New Roman" w:eastAsia="仿宋" w:cs="Times New Roman"/>
                <w:szCs w:val="21"/>
              </w:rPr>
            </w:pPr>
            <w:r>
              <w:rPr>
                <w:rFonts w:ascii="Times New Roman" w:hAnsi="Times New Roman" w:eastAsia="仿宋" w:cs="Times New Roman"/>
                <w:szCs w:val="21"/>
              </w:rPr>
              <w:t xml:space="preserve">1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19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214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bottom w:val="nil"/>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雇佣人数</w:t>
            </w:r>
          </w:p>
        </w:tc>
        <w:tc>
          <w:tcPr>
            <w:tcW w:w="0" w:type="auto"/>
            <w:tcBorders>
              <w:bottom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31 122</w:t>
            </w:r>
          </w:p>
        </w:tc>
        <w:tc>
          <w:tcPr>
            <w:tcW w:w="0" w:type="auto"/>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157.872 </w:t>
            </w:r>
          </w:p>
        </w:tc>
        <w:tc>
          <w:tcPr>
            <w:tcW w:w="0" w:type="auto"/>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437.859 </w:t>
            </w:r>
          </w:p>
        </w:tc>
        <w:tc>
          <w:tcPr>
            <w:tcW w:w="0" w:type="auto"/>
            <w:gridSpan w:val="2"/>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 </w:t>
            </w:r>
          </w:p>
        </w:tc>
        <w:tc>
          <w:tcPr>
            <w:tcW w:w="0" w:type="auto"/>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20 </w:t>
            </w:r>
          </w:p>
        </w:tc>
        <w:tc>
          <w:tcPr>
            <w:tcW w:w="0" w:type="auto"/>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1993 </w:t>
            </w:r>
          </w:p>
        </w:tc>
        <w:tc>
          <w:tcPr>
            <w:tcW w:w="0" w:type="auto"/>
            <w:tcBorders>
              <w:top w:val="nil"/>
              <w:bottom w:val="nil"/>
            </w:tcBorders>
          </w:tcPr>
          <w:p>
            <w:pPr>
              <w:jc w:val="center"/>
              <w:rPr>
                <w:rFonts w:ascii="Times New Roman" w:hAnsi="Times New Roman" w:eastAsia="仿宋" w:cs="Times New Roman"/>
                <w:szCs w:val="21"/>
              </w:rPr>
            </w:pPr>
          </w:p>
        </w:tc>
        <w:tc>
          <w:tcPr>
            <w:tcW w:w="0" w:type="auto"/>
            <w:tcBorders>
              <w:bottom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2 557 132</w:t>
            </w:r>
          </w:p>
        </w:tc>
        <w:tc>
          <w:tcPr>
            <w:tcW w:w="0" w:type="auto"/>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146.615 </w:t>
            </w:r>
          </w:p>
        </w:tc>
        <w:tc>
          <w:tcPr>
            <w:tcW w:w="0" w:type="auto"/>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448.213 </w:t>
            </w:r>
          </w:p>
        </w:tc>
        <w:tc>
          <w:tcPr>
            <w:tcW w:w="0" w:type="auto"/>
            <w:gridSpan w:val="2"/>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 </w:t>
            </w:r>
          </w:p>
        </w:tc>
        <w:tc>
          <w:tcPr>
            <w:tcW w:w="0" w:type="auto"/>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27 </w:t>
            </w:r>
          </w:p>
        </w:tc>
        <w:tc>
          <w:tcPr>
            <w:tcW w:w="0" w:type="auto"/>
            <w:tcBorders>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1800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注册资本（万元）</w:t>
            </w:r>
          </w:p>
        </w:tc>
        <w:tc>
          <w:tcPr>
            <w:tcW w:w="0" w:type="auto"/>
            <w:tcBorders>
              <w:top w:val="nil"/>
              <w:bottom w:val="single" w:color="auto" w:sz="4" w:space="0"/>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31 116</w:t>
            </w:r>
          </w:p>
        </w:tc>
        <w:tc>
          <w:tcPr>
            <w:tcW w:w="0" w:type="auto"/>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11800 </w:t>
            </w:r>
          </w:p>
        </w:tc>
        <w:tc>
          <w:tcPr>
            <w:tcW w:w="0" w:type="auto"/>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59400 </w:t>
            </w:r>
          </w:p>
        </w:tc>
        <w:tc>
          <w:tcPr>
            <w:tcW w:w="0" w:type="auto"/>
            <w:gridSpan w:val="2"/>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 </w:t>
            </w:r>
          </w:p>
        </w:tc>
        <w:tc>
          <w:tcPr>
            <w:tcW w:w="0" w:type="auto"/>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500 </w:t>
            </w:r>
          </w:p>
        </w:tc>
        <w:tc>
          <w:tcPr>
            <w:tcW w:w="0" w:type="auto"/>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40500 </w:t>
            </w:r>
          </w:p>
        </w:tc>
        <w:tc>
          <w:tcPr>
            <w:tcW w:w="0" w:type="auto"/>
            <w:tcBorders>
              <w:top w:val="nil"/>
              <w:bottom w:val="nil"/>
            </w:tcBorders>
          </w:tcPr>
          <w:p>
            <w:pPr>
              <w:jc w:val="center"/>
              <w:rPr>
                <w:rFonts w:ascii="Times New Roman" w:hAnsi="Times New Roman" w:eastAsia="仿宋" w:cs="Times New Roman"/>
                <w:szCs w:val="21"/>
              </w:rPr>
            </w:pPr>
          </w:p>
        </w:tc>
        <w:tc>
          <w:tcPr>
            <w:tcW w:w="0" w:type="auto"/>
            <w:tcBorders>
              <w:top w:val="nil"/>
              <w:bottom w:val="single" w:color="auto" w:sz="4" w:space="0"/>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2 554 609</w:t>
            </w:r>
          </w:p>
        </w:tc>
        <w:tc>
          <w:tcPr>
            <w:tcW w:w="0" w:type="auto"/>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91 500 </w:t>
            </w:r>
          </w:p>
        </w:tc>
        <w:tc>
          <w:tcPr>
            <w:tcW w:w="0" w:type="auto"/>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13 900 000 </w:t>
            </w:r>
          </w:p>
        </w:tc>
        <w:tc>
          <w:tcPr>
            <w:tcW w:w="0" w:type="auto"/>
            <w:gridSpan w:val="2"/>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 </w:t>
            </w:r>
          </w:p>
        </w:tc>
        <w:tc>
          <w:tcPr>
            <w:tcW w:w="0" w:type="auto"/>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350 </w:t>
            </w:r>
          </w:p>
        </w:tc>
        <w:tc>
          <w:tcPr>
            <w:tcW w:w="0" w:type="auto"/>
            <w:tcBorders>
              <w:top w:val="nil"/>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63 500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8"/>
            <w:tcBorders>
              <w:top w:val="nil"/>
              <w:bottom w:val="single" w:color="auto" w:sz="4" w:space="0"/>
            </w:tcBorders>
            <w:vAlign w:val="center"/>
          </w:tcPr>
          <w:p>
            <w:pPr>
              <w:jc w:val="left"/>
              <w:rPr>
                <w:rFonts w:ascii="Times New Roman" w:hAnsi="Times New Roman" w:eastAsia="仿宋" w:cs="Times New Roman"/>
                <w:szCs w:val="21"/>
              </w:rPr>
            </w:pPr>
            <w:r>
              <w:rPr>
                <w:rFonts w:ascii="Times New Roman" w:hAnsi="Times New Roman" w:eastAsia="仿宋" w:cs="Times New Roman"/>
                <w:szCs w:val="21"/>
              </w:rPr>
              <w:t>B.需方企业</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gridSpan w:val="7"/>
            <w:tcBorders>
              <w:top w:val="nil"/>
              <w:bottom w:val="single" w:color="auto" w:sz="4" w:space="0"/>
            </w:tcBorders>
            <w:vAlign w:val="center"/>
          </w:tcPr>
          <w:p>
            <w:pPr>
              <w:jc w:val="center"/>
              <w:rPr>
                <w:rFonts w:ascii="Times New Roman" w:hAnsi="Times New Roman" w:eastAsia="仿宋" w:cs="Times New Roman"/>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auto" w:sz="4" w:space="0"/>
              <w:bottom w:val="nil"/>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交易额(万元)</w:t>
            </w:r>
          </w:p>
        </w:tc>
        <w:tc>
          <w:tcPr>
            <w:tcW w:w="0" w:type="auto"/>
            <w:tcBorders>
              <w:top w:val="single" w:color="auto" w:sz="4" w:space="0"/>
              <w:bottom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28 538</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155.287 </w:t>
            </w:r>
          </w:p>
        </w:tc>
        <w:tc>
          <w:tcPr>
            <w:tcW w:w="0" w:type="auto"/>
            <w:tcBorders>
              <w:top w:val="single" w:color="auto" w:sz="4" w:space="0"/>
              <w:bottom w:val="nil"/>
              <w:right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2140 </w:t>
            </w:r>
          </w:p>
        </w:tc>
        <w:tc>
          <w:tcPr>
            <w:tcW w:w="0" w:type="auto"/>
            <w:gridSpan w:val="2"/>
            <w:tcBorders>
              <w:top w:val="single" w:color="auto" w:sz="4" w:space="0"/>
              <w:left w:val="nil"/>
              <w:bottom w:val="nil"/>
              <w:right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 </w:t>
            </w:r>
          </w:p>
        </w:tc>
        <w:tc>
          <w:tcPr>
            <w:tcW w:w="0" w:type="auto"/>
            <w:tcBorders>
              <w:top w:val="single" w:color="auto" w:sz="4" w:space="0"/>
              <w:left w:val="nil"/>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2.608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2460 </w:t>
            </w:r>
          </w:p>
        </w:tc>
        <w:tc>
          <w:tcPr>
            <w:tcW w:w="0" w:type="auto"/>
            <w:tcBorders>
              <w:top w:val="nil"/>
              <w:bottom w:val="nil"/>
            </w:tcBorders>
          </w:tcPr>
          <w:p>
            <w:pPr>
              <w:jc w:val="center"/>
              <w:rPr>
                <w:rFonts w:ascii="Times New Roman" w:hAnsi="Times New Roman" w:eastAsia="仿宋" w:cs="Times New Roman"/>
                <w:szCs w:val="21"/>
              </w:rPr>
            </w:pPr>
          </w:p>
        </w:tc>
        <w:tc>
          <w:tcPr>
            <w:tcW w:w="0" w:type="auto"/>
            <w:tcBorders>
              <w:top w:val="single" w:color="auto" w:sz="4" w:space="0"/>
              <w:bottom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2 600 115</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84.559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2180 </w:t>
            </w:r>
          </w:p>
        </w:tc>
        <w:tc>
          <w:tcPr>
            <w:tcW w:w="0" w:type="auto"/>
            <w:gridSpan w:val="2"/>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3.442 </w:t>
            </w:r>
          </w:p>
        </w:tc>
        <w:tc>
          <w:tcPr>
            <w:tcW w:w="0" w:type="auto"/>
            <w:tcBorders>
              <w:top w:val="single" w:color="auto" w:sz="4" w:space="0"/>
              <w:bottom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1110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税额(万元)</w:t>
            </w:r>
          </w:p>
        </w:tc>
        <w:tc>
          <w:tcPr>
            <w:tcW w:w="0" w:type="auto"/>
            <w:tcBorders>
              <w:top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26 601</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27.826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377.158 </w:t>
            </w:r>
          </w:p>
        </w:tc>
        <w:tc>
          <w:tcPr>
            <w:tcW w:w="0" w:type="auto"/>
            <w:gridSpan w:val="2"/>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0.003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0.465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442.232 </w:t>
            </w:r>
          </w:p>
        </w:tc>
        <w:tc>
          <w:tcPr>
            <w:tcW w:w="0" w:type="auto"/>
            <w:tcBorders>
              <w:top w:val="nil"/>
              <w:bottom w:val="nil"/>
            </w:tcBorders>
          </w:tcPr>
          <w:p>
            <w:pPr>
              <w:jc w:val="center"/>
              <w:rPr>
                <w:rFonts w:ascii="Times New Roman" w:hAnsi="Times New Roman" w:eastAsia="仿宋" w:cs="Times New Roman"/>
                <w:szCs w:val="21"/>
              </w:rPr>
            </w:pPr>
          </w:p>
        </w:tc>
        <w:tc>
          <w:tcPr>
            <w:tcW w:w="0" w:type="auto"/>
            <w:tcBorders>
              <w:top w:val="nil"/>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2 377 792</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15.135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381.116 </w:t>
            </w:r>
          </w:p>
        </w:tc>
        <w:tc>
          <w:tcPr>
            <w:tcW w:w="0" w:type="auto"/>
            <w:gridSpan w:val="2"/>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0.002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0.687 </w:t>
            </w:r>
          </w:p>
        </w:tc>
        <w:tc>
          <w:tcPr>
            <w:tcW w:w="0" w:type="auto"/>
            <w:tcBorders>
              <w:top w:val="nil"/>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199.516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供应商数</w:t>
            </w:r>
          </w:p>
        </w:tc>
        <w:tc>
          <w:tcPr>
            <w:tcW w:w="0" w:type="auto"/>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28 538</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61.330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71.506 </w:t>
            </w:r>
          </w:p>
        </w:tc>
        <w:tc>
          <w:tcPr>
            <w:tcW w:w="0" w:type="auto"/>
            <w:gridSpan w:val="2"/>
          </w:tcPr>
          <w:p>
            <w:pPr>
              <w:jc w:val="center"/>
              <w:rPr>
                <w:rFonts w:ascii="Times New Roman" w:hAnsi="Times New Roman" w:eastAsia="仿宋" w:cs="Times New Roman"/>
                <w:szCs w:val="21"/>
              </w:rPr>
            </w:pPr>
            <w:r>
              <w:rPr>
                <w:rFonts w:ascii="Times New Roman" w:hAnsi="Times New Roman" w:eastAsia="仿宋" w:cs="Times New Roman"/>
                <w:szCs w:val="21"/>
              </w:rPr>
              <w:t xml:space="preserve">1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34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373 </w:t>
            </w:r>
          </w:p>
        </w:tc>
        <w:tc>
          <w:tcPr>
            <w:tcW w:w="0" w:type="auto"/>
            <w:tcBorders>
              <w:top w:val="nil"/>
              <w:bottom w:val="nil"/>
            </w:tcBorders>
          </w:tcPr>
          <w:p>
            <w:pPr>
              <w:jc w:val="center"/>
              <w:rPr>
                <w:rFonts w:ascii="Times New Roman" w:hAnsi="Times New Roman" w:eastAsia="仿宋" w:cs="Times New Roman"/>
                <w:szCs w:val="21"/>
              </w:rPr>
            </w:pPr>
          </w:p>
        </w:tc>
        <w:tc>
          <w:tcPr>
            <w:tcW w:w="0" w:type="auto"/>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2 600 115</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179.044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657.408 </w:t>
            </w:r>
          </w:p>
        </w:tc>
        <w:tc>
          <w:tcPr>
            <w:tcW w:w="0" w:type="auto"/>
            <w:gridSpan w:val="2"/>
          </w:tcPr>
          <w:p>
            <w:pPr>
              <w:jc w:val="center"/>
              <w:rPr>
                <w:rFonts w:ascii="Times New Roman" w:hAnsi="Times New Roman" w:eastAsia="仿宋" w:cs="Times New Roman"/>
                <w:szCs w:val="21"/>
              </w:rPr>
            </w:pPr>
            <w:r>
              <w:rPr>
                <w:rFonts w:ascii="Times New Roman" w:hAnsi="Times New Roman" w:eastAsia="仿宋" w:cs="Times New Roman"/>
                <w:szCs w:val="21"/>
              </w:rPr>
              <w:t xml:space="preserve">1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34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1837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雇佣人数</w:t>
            </w:r>
          </w:p>
        </w:tc>
        <w:tc>
          <w:tcPr>
            <w:tcW w:w="0" w:type="auto"/>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28 521</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45.710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161.288 </w:t>
            </w:r>
          </w:p>
        </w:tc>
        <w:tc>
          <w:tcPr>
            <w:tcW w:w="0" w:type="auto"/>
            <w:gridSpan w:val="2"/>
          </w:tcPr>
          <w:p>
            <w:pPr>
              <w:jc w:val="center"/>
              <w:rPr>
                <w:rFonts w:ascii="Times New Roman" w:hAnsi="Times New Roman" w:eastAsia="仿宋" w:cs="Times New Roman"/>
                <w:szCs w:val="21"/>
              </w:rPr>
            </w:pPr>
            <w:r>
              <w:rPr>
                <w:rFonts w:ascii="Times New Roman" w:hAnsi="Times New Roman" w:eastAsia="仿宋" w:cs="Times New Roman"/>
                <w:szCs w:val="21"/>
              </w:rPr>
              <w:t xml:space="preserve">2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10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967 </w:t>
            </w:r>
          </w:p>
        </w:tc>
        <w:tc>
          <w:tcPr>
            <w:tcW w:w="0" w:type="auto"/>
            <w:tcBorders>
              <w:top w:val="nil"/>
              <w:bottom w:val="nil"/>
            </w:tcBorders>
          </w:tcPr>
          <w:p>
            <w:pPr>
              <w:jc w:val="center"/>
              <w:rPr>
                <w:rFonts w:ascii="Times New Roman" w:hAnsi="Times New Roman" w:eastAsia="仿宋" w:cs="Times New Roman"/>
                <w:szCs w:val="21"/>
              </w:rPr>
            </w:pPr>
          </w:p>
        </w:tc>
        <w:tc>
          <w:tcPr>
            <w:tcW w:w="0" w:type="auto"/>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2 470 078</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105.486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339.274 </w:t>
            </w:r>
          </w:p>
        </w:tc>
        <w:tc>
          <w:tcPr>
            <w:tcW w:w="0" w:type="auto"/>
            <w:gridSpan w:val="2"/>
          </w:tcPr>
          <w:p>
            <w:pPr>
              <w:jc w:val="center"/>
              <w:rPr>
                <w:rFonts w:ascii="Times New Roman" w:hAnsi="Times New Roman" w:eastAsia="仿宋" w:cs="Times New Roman"/>
                <w:szCs w:val="21"/>
              </w:rPr>
            </w:pPr>
            <w:r>
              <w:rPr>
                <w:rFonts w:ascii="Times New Roman" w:hAnsi="Times New Roman" w:eastAsia="仿宋" w:cs="Times New Roman"/>
                <w:szCs w:val="21"/>
              </w:rPr>
              <w:t xml:space="preserve">2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12 </w:t>
            </w:r>
          </w:p>
        </w:tc>
        <w:tc>
          <w:tcPr>
            <w:tcW w:w="0" w:type="auto"/>
          </w:tcPr>
          <w:p>
            <w:pPr>
              <w:jc w:val="center"/>
              <w:rPr>
                <w:rFonts w:ascii="Times New Roman" w:hAnsi="Times New Roman" w:eastAsia="仿宋" w:cs="Times New Roman"/>
                <w:szCs w:val="21"/>
              </w:rPr>
            </w:pPr>
            <w:r>
              <w:rPr>
                <w:rFonts w:ascii="Times New Roman" w:hAnsi="Times New Roman" w:eastAsia="仿宋" w:cs="Times New Roman"/>
                <w:szCs w:val="21"/>
              </w:rPr>
              <w:t xml:space="preserve">1518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注册资本(万元)</w:t>
            </w:r>
          </w:p>
        </w:tc>
        <w:tc>
          <w:tcPr>
            <w:tcW w:w="0" w:type="auto"/>
            <w:tcBorders>
              <w:bottom w:val="single" w:color="auto" w:sz="4" w:space="0"/>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28 514</w:t>
            </w:r>
          </w:p>
        </w:tc>
        <w:tc>
          <w:tcPr>
            <w:tcW w:w="0" w:type="auto"/>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1130 </w:t>
            </w:r>
          </w:p>
        </w:tc>
        <w:tc>
          <w:tcPr>
            <w:tcW w:w="0" w:type="auto"/>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11200 </w:t>
            </w:r>
          </w:p>
        </w:tc>
        <w:tc>
          <w:tcPr>
            <w:tcW w:w="0" w:type="auto"/>
            <w:gridSpan w:val="2"/>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 </w:t>
            </w:r>
          </w:p>
        </w:tc>
        <w:tc>
          <w:tcPr>
            <w:tcW w:w="0" w:type="auto"/>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150 </w:t>
            </w:r>
          </w:p>
        </w:tc>
        <w:tc>
          <w:tcPr>
            <w:tcW w:w="0" w:type="auto"/>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13900 </w:t>
            </w:r>
          </w:p>
        </w:tc>
        <w:tc>
          <w:tcPr>
            <w:tcW w:w="0" w:type="auto"/>
            <w:tcBorders>
              <w:top w:val="nil"/>
              <w:bottom w:val="nil"/>
            </w:tcBorders>
          </w:tcPr>
          <w:p>
            <w:pPr>
              <w:jc w:val="center"/>
              <w:rPr>
                <w:rFonts w:ascii="Times New Roman" w:hAnsi="Times New Roman" w:eastAsia="仿宋" w:cs="Times New Roman"/>
                <w:szCs w:val="21"/>
              </w:rPr>
            </w:pPr>
          </w:p>
        </w:tc>
        <w:tc>
          <w:tcPr>
            <w:tcW w:w="0" w:type="auto"/>
            <w:tcBorders>
              <w:bottom w:val="single" w:color="auto" w:sz="4" w:space="0"/>
            </w:tcBorders>
            <w:vAlign w:val="bottom"/>
          </w:tcPr>
          <w:p>
            <w:pPr>
              <w:jc w:val="center"/>
              <w:rPr>
                <w:rFonts w:ascii="Times New Roman" w:hAnsi="Times New Roman" w:eastAsia="仿宋" w:cs="Times New Roman"/>
                <w:szCs w:val="21"/>
              </w:rPr>
            </w:pPr>
            <w:r>
              <w:rPr>
                <w:rFonts w:ascii="Times New Roman" w:hAnsi="Times New Roman" w:eastAsia="仿宋" w:cs="Times New Roman"/>
                <w:szCs w:val="21"/>
              </w:rPr>
              <w:t>2 467 155</w:t>
            </w:r>
          </w:p>
        </w:tc>
        <w:tc>
          <w:tcPr>
            <w:tcW w:w="0" w:type="auto"/>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109 000 </w:t>
            </w:r>
          </w:p>
        </w:tc>
        <w:tc>
          <w:tcPr>
            <w:tcW w:w="0" w:type="auto"/>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12 300 000 </w:t>
            </w:r>
          </w:p>
        </w:tc>
        <w:tc>
          <w:tcPr>
            <w:tcW w:w="0" w:type="auto"/>
            <w:gridSpan w:val="2"/>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0 </w:t>
            </w:r>
          </w:p>
        </w:tc>
        <w:tc>
          <w:tcPr>
            <w:tcW w:w="0" w:type="auto"/>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200 </w:t>
            </w:r>
          </w:p>
        </w:tc>
        <w:tc>
          <w:tcPr>
            <w:tcW w:w="0" w:type="auto"/>
            <w:tcBorders>
              <w:bottom w:val="single" w:color="auto" w:sz="4" w:space="0"/>
            </w:tcBorders>
          </w:tcPr>
          <w:p>
            <w:pPr>
              <w:jc w:val="center"/>
              <w:rPr>
                <w:rFonts w:ascii="Times New Roman" w:hAnsi="Times New Roman" w:eastAsia="仿宋" w:cs="Times New Roman"/>
                <w:szCs w:val="21"/>
              </w:rPr>
            </w:pPr>
            <w:r>
              <w:rPr>
                <w:rFonts w:ascii="Times New Roman" w:hAnsi="Times New Roman" w:eastAsia="仿宋" w:cs="Times New Roman"/>
                <w:szCs w:val="21"/>
              </w:rPr>
              <w:t xml:space="preserve">100 000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auto" w:sz="4" w:space="0"/>
              <w:bottom w:val="nil"/>
            </w:tcBorders>
            <w:vAlign w:val="center"/>
          </w:tcPr>
          <w:p>
            <w:pPr>
              <w:jc w:val="center"/>
              <w:rPr>
                <w:rFonts w:ascii="Times New Roman" w:hAnsi="Times New Roman" w:eastAsia="仿宋" w:cs="Times New Roman"/>
                <w:szCs w:val="21"/>
              </w:rPr>
            </w:pPr>
          </w:p>
        </w:tc>
        <w:tc>
          <w:tcPr>
            <w:tcW w:w="0" w:type="auto"/>
            <w:gridSpan w:val="15"/>
            <w:tcBorders>
              <w:top w:val="single" w:color="auto" w:sz="4" w:space="0"/>
              <w:bottom w:val="nil"/>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C.贸易对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gridSpan w:val="3"/>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供、需方均在区内</w:t>
            </w:r>
          </w:p>
        </w:tc>
        <w:tc>
          <w:tcPr>
            <w:tcW w:w="0" w:type="auto"/>
            <w:tcBorders>
              <w:top w:val="single" w:color="auto" w:sz="4" w:space="0"/>
              <w:bottom w:val="nil"/>
            </w:tcBorders>
            <w:vAlign w:val="center"/>
          </w:tcPr>
          <w:p>
            <w:pPr>
              <w:jc w:val="center"/>
              <w:rPr>
                <w:rFonts w:ascii="Times New Roman" w:hAnsi="Times New Roman" w:eastAsia="仿宋" w:cs="Times New Roman"/>
                <w:szCs w:val="21"/>
              </w:rPr>
            </w:pPr>
          </w:p>
        </w:tc>
        <w:tc>
          <w:tcPr>
            <w:tcW w:w="0" w:type="auto"/>
            <w:gridSpan w:val="3"/>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供方在区内，需方在区外</w:t>
            </w:r>
          </w:p>
        </w:tc>
        <w:tc>
          <w:tcPr>
            <w:tcW w:w="0" w:type="auto"/>
            <w:tcBorders>
              <w:top w:val="single" w:color="auto" w:sz="4" w:space="0"/>
              <w:bottom w:val="nil"/>
            </w:tcBorders>
            <w:vAlign w:val="center"/>
          </w:tcPr>
          <w:p>
            <w:pPr>
              <w:jc w:val="center"/>
              <w:rPr>
                <w:rFonts w:ascii="Times New Roman" w:hAnsi="Times New Roman" w:eastAsia="仿宋" w:cs="Times New Roman"/>
                <w:szCs w:val="21"/>
              </w:rPr>
            </w:pPr>
          </w:p>
        </w:tc>
        <w:tc>
          <w:tcPr>
            <w:tcW w:w="0" w:type="auto"/>
            <w:gridSpan w:val="3"/>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供方在区外，需方在区内</w:t>
            </w:r>
          </w:p>
        </w:tc>
        <w:tc>
          <w:tcPr>
            <w:tcW w:w="0" w:type="auto"/>
            <w:tcBorders>
              <w:top w:val="single" w:color="auto" w:sz="4" w:space="0"/>
              <w:bottom w:val="nil"/>
            </w:tcBorders>
            <w:vAlign w:val="center"/>
          </w:tcPr>
          <w:p>
            <w:pPr>
              <w:jc w:val="center"/>
              <w:rPr>
                <w:rFonts w:ascii="Times New Roman" w:hAnsi="Times New Roman" w:eastAsia="仿宋" w:cs="Times New Roman"/>
                <w:szCs w:val="21"/>
              </w:rPr>
            </w:pPr>
          </w:p>
        </w:tc>
        <w:tc>
          <w:tcPr>
            <w:tcW w:w="0" w:type="auto"/>
            <w:gridSpan w:val="3"/>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供、需方均在区外</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样本数</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均值</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标准误</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样本数</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均值</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标准误</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样本数</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均值</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标准误</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样本数</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均值</w:t>
            </w:r>
          </w:p>
        </w:tc>
        <w:tc>
          <w:tcPr>
            <w:tcW w:w="0" w:type="auto"/>
            <w:tcBorders>
              <w:top w:val="single" w:color="auto" w:sz="4" w:space="0"/>
              <w:bottom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标准误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贸易关系持续时间</w:t>
            </w: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1555</w:t>
            </w: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3.758</w:t>
            </w: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2.633</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29 572</w:t>
            </w: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3.778</w:t>
            </w: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2.559</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26 983</w:t>
            </w: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3.403</w:t>
            </w: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2.449</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2 570 543</w:t>
            </w: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3.560</w:t>
            </w:r>
          </w:p>
        </w:tc>
        <w:tc>
          <w:tcPr>
            <w:tcW w:w="0" w:type="auto"/>
            <w:tcBorders>
              <w:top w:val="single" w:color="auto"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2.576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供需方企业地理距离（公里）</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1555</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3.806</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12.845</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29 326</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37.058</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57.335</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26 778</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48.956</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65.416</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2 540 807</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54.169</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72.067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供需方企业高速路网距离（公里）</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1555</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4.861</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16.758</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28 340</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54.471</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72.918</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26 751</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68.399</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85.996</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2 431 977</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71.863</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103.200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供需方企业与最近高速入口距离（公里）</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1448</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19.612</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2.936</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24 656</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18.536</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8.433</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23 409</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18.717</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9.321</w:t>
            </w:r>
          </w:p>
        </w:tc>
        <w:tc>
          <w:tcPr>
            <w:tcW w:w="0" w:type="auto"/>
            <w:tcBorders>
              <w:top w:val="nil"/>
              <w:bottom w:val="nil"/>
            </w:tcBorders>
            <w:vAlign w:val="center"/>
          </w:tcPr>
          <w:p>
            <w:pPr>
              <w:jc w:val="center"/>
              <w:rPr>
                <w:rFonts w:ascii="Times New Roman" w:hAnsi="Times New Roman" w:eastAsia="仿宋" w:cs="Times New Roman"/>
                <w:szCs w:val="21"/>
              </w:rPr>
            </w:pP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2 318 095</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18.392</w:t>
            </w:r>
          </w:p>
        </w:tc>
        <w:tc>
          <w:tcPr>
            <w:tcW w:w="0" w:type="auto"/>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15.554</w:t>
            </w:r>
          </w:p>
        </w:tc>
      </w:tr>
    </w:tbl>
    <w:p>
      <w:pPr>
        <w:sectPr>
          <w:footerReference r:id="rId5" w:type="default"/>
          <w:type w:val="continuous"/>
          <w:pgSz w:w="16838" w:h="11906" w:orient="landscape"/>
          <w:pgMar w:top="1800" w:right="1440" w:bottom="1800" w:left="1440" w:header="851" w:footer="992" w:gutter="0"/>
          <w:pgNumType w:start="1"/>
          <w:cols w:space="425" w:num="1"/>
          <w:docGrid w:type="lines" w:linePitch="312" w:charSpace="0"/>
        </w:sectPr>
      </w:pPr>
    </w:p>
    <w:p>
      <w:pPr>
        <w:pStyle w:val="31"/>
        <w:ind w:firstLine="482"/>
        <w:jc w:val="center"/>
        <w:rPr>
          <w:rFonts w:hint="eastAsia" w:ascii="楷体" w:hAnsi="楷体" w:eastAsia="楷体" w:cs="楷体"/>
          <w:b w:val="0"/>
          <w:bCs/>
          <w:sz w:val="28"/>
          <w:szCs w:val="22"/>
        </w:rPr>
      </w:pPr>
      <w:bookmarkStart w:id="1" w:name="_Toc160293715"/>
      <w:r>
        <w:rPr>
          <w:rFonts w:hint="eastAsia" w:ascii="楷体" w:hAnsi="楷体" w:eastAsia="楷体" w:cs="楷体"/>
          <w:b w:val="0"/>
          <w:bCs/>
          <w:sz w:val="28"/>
          <w:szCs w:val="22"/>
        </w:rPr>
        <w:t>附录Ⅱ  稳健性检验</w:t>
      </w:r>
      <w:bookmarkEnd w:id="1"/>
    </w:p>
    <w:p>
      <w:pPr>
        <w:ind w:firstLine="420" w:firstLineChars="200"/>
        <w:rPr>
          <w:rFonts w:ascii="Times New Roman" w:hAnsi="Times New Roman" w:eastAsia="仿宋" w:cs="Times New Roman"/>
        </w:rPr>
      </w:pPr>
    </w:p>
    <w:p>
      <w:pPr>
        <w:ind w:firstLine="422" w:firstLineChars="200"/>
        <w:rPr>
          <w:rFonts w:ascii="Times New Roman" w:hAnsi="Times New Roman" w:eastAsia="仿宋" w:cs="Times New Roman"/>
          <w:b/>
          <w:bCs/>
        </w:rPr>
      </w:pPr>
      <w:r>
        <w:rPr>
          <w:rFonts w:ascii="Times New Roman" w:hAnsi="Times New Roman" w:eastAsia="仿宋" w:cs="Times New Roman"/>
          <w:b/>
          <w:bCs/>
        </w:rPr>
        <w:t>1．平行趋势检验</w:t>
      </w:r>
    </w:p>
    <w:p>
      <w:pPr>
        <w:ind w:firstLine="420" w:firstLineChars="200"/>
        <w:rPr>
          <w:rFonts w:ascii="Times New Roman" w:hAnsi="Times New Roman" w:eastAsia="仿宋" w:cs="Times New Roman"/>
        </w:rPr>
      </w:pPr>
      <w:r>
        <w:rPr>
          <w:rFonts w:ascii="Times New Roman" w:hAnsi="Times New Roman" w:eastAsia="仿宋" w:cs="Times New Roman"/>
        </w:rPr>
        <w:t>使用双重差分法的一个重要前提是处理组与控制组之间满足平行趋势假设，即本文中的区内、外企业</w:t>
      </w:r>
      <w:r>
        <w:rPr>
          <w:rFonts w:ascii="Times New Roman" w:hAnsi="Times New Roman" w:eastAsia="仿宋" w:cs="Times New Roman"/>
          <w:vertAlign w:val="superscript"/>
        </w:rPr>
        <w:footnoteReference w:id="0"/>
      </w:r>
      <w:r>
        <w:rPr>
          <w:rFonts w:ascii="Times New Roman" w:hAnsi="Times New Roman" w:eastAsia="仿宋" w:cs="Times New Roman"/>
        </w:rPr>
        <w:t>贸易额在自贸区成立前的变化趋势不能有显著差异。为此，本文利用事件研究法进行平行趋势检验，即将自贸区成立年份前一年设为基期，并分别设置政策前后各年份的虚拟变量，同时控制贸易伙伴数量、高速路网距离、贸易便利度等因素和个体、时间固定效应，具体模型设定如下：</w:t>
      </w:r>
    </w:p>
    <w:p>
      <w:pPr>
        <w:ind w:firstLine="420" w:firstLineChars="200"/>
        <w:rPr>
          <w:rFonts w:ascii="Times New Roman" w:hAnsi="Times New Roman" w:cs="Times New Roman"/>
        </w:rPr>
      </w:pPr>
      <m:oMath>
        <m:sSub>
          <m:sSubPr>
            <m:ctrlPr>
              <w:rPr>
                <w:rFonts w:ascii="Cambria Math" w:hAnsi="Cambria Math" w:eastAsia="仿宋" w:cs="Times New Roman"/>
                <w:i/>
              </w:rPr>
            </m:ctrlPr>
          </m:sSubPr>
          <m:e>
            <m:r>
              <m:rPr/>
              <w:rPr>
                <w:rFonts w:ascii="Cambria Math" w:hAnsi="Cambria Math" w:eastAsia="仿宋" w:cs="Times New Roman"/>
              </w:rPr>
              <m:t>lnagtrade</m:t>
            </m:r>
            <m:ctrlPr>
              <w:rPr>
                <w:rFonts w:ascii="Cambria Math" w:hAnsi="Cambria Math" w:eastAsia="仿宋" w:cs="Times New Roman"/>
                <w:i/>
              </w:rPr>
            </m:ctrlPr>
          </m:e>
          <m:sub>
            <m:r>
              <m:rPr/>
              <w:rPr>
                <w:rFonts w:ascii="Cambria Math" w:hAnsi="Cambria Math" w:eastAsia="仿宋" w:cs="Times New Roman"/>
              </w:rPr>
              <m:t>it</m:t>
            </m:r>
            <m:ctrlPr>
              <w:rPr>
                <w:rFonts w:ascii="Cambria Math" w:hAnsi="Cambria Math" w:eastAsia="仿宋" w:cs="Times New Roman"/>
                <w:i/>
              </w:rPr>
            </m:ctrlPr>
          </m:sub>
        </m:sSub>
        <m:r>
          <m:rPr>
            <m:sty m:val="p"/>
          </m:rPr>
          <w:rPr>
            <w:rFonts w:ascii="Cambria Math" w:hAnsi="Cambria Math" w:eastAsia="仿宋" w:cs="Times New Roman"/>
          </w:rPr>
          <m:t>=α+</m:t>
        </m:r>
        <m:nary>
          <m:naryPr>
            <m:chr m:val="∑"/>
            <m:limLoc m:val="subSup"/>
            <m:ctrlPr>
              <w:rPr>
                <w:rFonts w:ascii="Cambria Math" w:hAnsi="Cambria Math" w:eastAsia="仿宋" w:cs="Times New Roman"/>
              </w:rPr>
            </m:ctrlPr>
          </m:naryPr>
          <m:sub>
            <m:r>
              <m:rPr/>
              <w:rPr>
                <w:rFonts w:ascii="Cambria Math" w:hAnsi="Cambria Math" w:eastAsia="仿宋" w:cs="Times New Roman"/>
              </w:rPr>
              <m:t>t</m:t>
            </m:r>
            <m:r>
              <m:rPr>
                <m:sty m:val="p"/>
              </m:rPr>
              <w:rPr>
                <w:rFonts w:ascii="Cambria Math" w:hAnsi="Cambria Math" w:eastAsia="仿宋" w:cs="Times New Roman"/>
              </w:rPr>
              <m:t>=−6,t≠0</m:t>
            </m:r>
            <m:ctrlPr>
              <w:rPr>
                <w:rFonts w:ascii="Cambria Math" w:hAnsi="Cambria Math" w:eastAsia="仿宋" w:cs="Times New Roman"/>
              </w:rPr>
            </m:ctrlPr>
          </m:sub>
          <m:sup>
            <m:r>
              <m:rPr/>
              <w:rPr>
                <w:rFonts w:ascii="Cambria Math" w:hAnsi="Cambria Math" w:eastAsia="仿宋" w:cs="Times New Roman"/>
              </w:rPr>
              <m:t>2</m:t>
            </m:r>
            <m:ctrlPr>
              <w:rPr>
                <w:rFonts w:ascii="Cambria Math" w:hAnsi="Cambria Math" w:eastAsia="仿宋" w:cs="Times New Roman"/>
              </w:rPr>
            </m:ctrlPr>
          </m:sup>
          <m:e>
            <m:sSub>
              <m:sSubPr>
                <m:ctrlPr>
                  <w:rPr>
                    <w:rFonts w:ascii="Cambria Math" w:hAnsi="Cambria Math" w:eastAsia="仿宋" w:cs="Times New Roman"/>
                  </w:rPr>
                </m:ctrlPr>
              </m:sSubPr>
              <m:e>
                <m:r>
                  <m:rPr/>
                  <w:rPr>
                    <w:rFonts w:ascii="Cambria Math" w:hAnsi="Cambria Math" w:eastAsia="仿宋" w:cs="Times New Roman"/>
                  </w:rPr>
                  <m:t>β</m:t>
                </m:r>
                <m:ctrlPr>
                  <w:rPr>
                    <w:rFonts w:ascii="Cambria Math" w:hAnsi="Cambria Math" w:eastAsia="仿宋" w:cs="Times New Roman"/>
                  </w:rPr>
                </m:ctrlPr>
              </m:e>
              <m:sub>
                <m:r>
                  <m:rPr/>
                  <w:rPr>
                    <w:rFonts w:ascii="Cambria Math" w:hAnsi="Cambria Math" w:eastAsia="仿宋" w:cs="Times New Roman"/>
                  </w:rPr>
                  <m:t>t</m:t>
                </m:r>
                <m:ctrlPr>
                  <w:rPr>
                    <w:rFonts w:ascii="Cambria Math" w:hAnsi="Cambria Math" w:eastAsia="仿宋" w:cs="Times New Roman"/>
                  </w:rPr>
                </m:ctrlPr>
              </m:sub>
            </m:sSub>
            <m:ctrlPr>
              <w:rPr>
                <w:rFonts w:ascii="Cambria Math" w:hAnsi="Cambria Math" w:eastAsia="仿宋" w:cs="Times New Roman"/>
              </w:rPr>
            </m:ctrlPr>
          </m:e>
        </m:nary>
        <m:sSub>
          <m:sSubPr>
            <m:ctrlPr>
              <w:rPr>
                <w:rFonts w:ascii="Cambria Math" w:hAnsi="Cambria Math" w:eastAsia="仿宋" w:cs="Times New Roman"/>
              </w:rPr>
            </m:ctrlPr>
          </m:sSubPr>
          <m:e>
            <m:sSub>
              <m:sSubPr>
                <m:ctrlPr>
                  <w:rPr>
                    <w:rFonts w:ascii="Cambria Math" w:hAnsi="Cambria Math" w:eastAsia="仿宋" w:cs="Times New Roman"/>
                  </w:rPr>
                </m:ctrlPr>
              </m:sSubPr>
              <m:e>
                <m:r>
                  <m:rPr/>
                  <w:rPr>
                    <w:rFonts w:ascii="Cambria Math" w:hAnsi="Cambria Math" w:eastAsia="仿宋" w:cs="Times New Roman"/>
                  </w:rPr>
                  <m:t>PFTZ</m:t>
                </m:r>
                <m:ctrlPr>
                  <w:rPr>
                    <w:rFonts w:ascii="Cambria Math" w:hAnsi="Cambria Math" w:eastAsia="仿宋" w:cs="Times New Roman"/>
                  </w:rPr>
                </m:ctrlPr>
              </m:e>
              <m:sub>
                <m:r>
                  <m:rPr/>
                  <w:rPr>
                    <w:rFonts w:ascii="Cambria Math" w:hAnsi="Cambria Math" w:eastAsia="仿宋" w:cs="Times New Roman"/>
                  </w:rPr>
                  <m:t>i</m:t>
                </m:r>
                <m:ctrlPr>
                  <w:rPr>
                    <w:rFonts w:ascii="Cambria Math" w:hAnsi="Cambria Math" w:eastAsia="仿宋" w:cs="Times New Roman"/>
                  </w:rPr>
                </m:ctrlPr>
              </m:sub>
            </m:sSub>
            <m:r>
              <m:rPr>
                <m:sty m:val="p"/>
              </m:rPr>
              <w:rPr>
                <w:rFonts w:ascii="Cambria Math" w:hAnsi="Cambria Math" w:eastAsia="仿宋" w:cs="Times New Roman"/>
              </w:rPr>
              <m:t>∙</m:t>
            </m:r>
            <m:r>
              <m:rPr/>
              <w:rPr>
                <w:rFonts w:ascii="Cambria Math" w:hAnsi="Cambria Math" w:eastAsia="仿宋" w:cs="Times New Roman"/>
              </w:rPr>
              <m:t>D</m:t>
            </m:r>
            <m:ctrlPr>
              <w:rPr>
                <w:rFonts w:ascii="Cambria Math" w:hAnsi="Cambria Math" w:eastAsia="仿宋" w:cs="Times New Roman"/>
              </w:rPr>
            </m:ctrlPr>
          </m:e>
          <m:sub>
            <m:r>
              <m:rPr/>
              <w:rPr>
                <w:rFonts w:ascii="Cambria Math" w:hAnsi="Cambria Math" w:eastAsia="仿宋" w:cs="Times New Roman"/>
              </w:rPr>
              <m:t>t</m:t>
            </m:r>
            <m:ctrlPr>
              <w:rPr>
                <w:rFonts w:ascii="Cambria Math" w:hAnsi="Cambria Math" w:eastAsia="仿宋" w:cs="Times New Roman"/>
              </w:rPr>
            </m:ctrlPr>
          </m:sub>
        </m:sSub>
        <m:r>
          <m:rPr>
            <m:sty m:val="p"/>
          </m:rPr>
          <w:rPr>
            <w:rFonts w:ascii="Cambria Math" w:hAnsi="Cambria Math" w:eastAsia="仿宋" w:cs="Times New Roman"/>
          </w:rPr>
          <m:t>+</m:t>
        </m:r>
        <m:r>
          <m:rPr/>
          <w:rPr>
            <w:rFonts w:ascii="Cambria Math" w:hAnsi="Cambria Math" w:eastAsia="仿宋" w:cs="Times New Roman"/>
          </w:rPr>
          <m:t>Φ</m:t>
        </m:r>
        <m:r>
          <m:rPr>
            <m:sty m:val="b"/>
          </m:rPr>
          <w:rPr>
            <w:rFonts w:ascii="Cambria Math" w:hAnsi="Cambria Math" w:eastAsia="仿宋" w:cs="Times New Roman"/>
          </w:rPr>
          <m:t>X</m:t>
        </m:r>
        <m:r>
          <m:rPr>
            <m:sty m:val="p"/>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μ</m:t>
            </m:r>
            <m:ctrlPr>
              <w:rPr>
                <w:rFonts w:ascii="Cambria Math" w:hAnsi="Cambria Math" w:eastAsia="仿宋" w:cs="Times New Roman"/>
                <w:i/>
              </w:rPr>
            </m:ctrlPr>
          </m:e>
          <m:sub>
            <m:r>
              <m:rPr/>
              <w:rPr>
                <w:rFonts w:ascii="Cambria Math" w:hAnsi="Cambria Math" w:eastAsia="仿宋" w:cs="Times New Roman"/>
              </w:rPr>
              <m:t>i</m:t>
            </m:r>
            <m:ctrlPr>
              <w:rPr>
                <w:rFonts w:ascii="Cambria Math" w:hAnsi="Cambria Math" w:eastAsia="仿宋" w:cs="Times New Roman"/>
                <w:i/>
              </w:rPr>
            </m:ctrlPr>
          </m:sub>
        </m:sSub>
        <m:r>
          <m:rPr>
            <m:sty m:val="p"/>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η</m:t>
            </m:r>
            <m:ctrlPr>
              <w:rPr>
                <w:rFonts w:ascii="Cambria Math" w:hAnsi="Cambria Math" w:eastAsia="仿宋" w:cs="Times New Roman"/>
                <w:i/>
              </w:rPr>
            </m:ctrlPr>
          </m:e>
          <m:sub>
            <m:r>
              <m:rPr/>
              <w:rPr>
                <w:rFonts w:ascii="Cambria Math" w:hAnsi="Cambria Math" w:eastAsia="仿宋" w:cs="Times New Roman"/>
              </w:rPr>
              <m:t>t</m:t>
            </m:r>
            <m:ctrlPr>
              <w:rPr>
                <w:rFonts w:ascii="Cambria Math" w:hAnsi="Cambria Math" w:eastAsia="仿宋" w:cs="Times New Roman"/>
                <w:i/>
              </w:rPr>
            </m:ctrlPr>
          </m:sub>
        </m:sSub>
        <m:r>
          <m:rPr>
            <m:sty m:val="p"/>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ε</m:t>
            </m:r>
            <m:ctrlPr>
              <w:rPr>
                <w:rFonts w:ascii="Cambria Math" w:hAnsi="Cambria Math" w:eastAsia="仿宋" w:cs="Times New Roman"/>
                <w:i/>
              </w:rPr>
            </m:ctrlPr>
          </m:e>
          <m:sub>
            <m:r>
              <m:rPr/>
              <w:rPr>
                <w:rFonts w:ascii="Cambria Math" w:hAnsi="Cambria Math" w:eastAsia="仿宋" w:cs="Times New Roman"/>
              </w:rPr>
              <m:t>it</m:t>
            </m:r>
            <m:ctrlPr>
              <w:rPr>
                <w:rFonts w:ascii="Cambria Math" w:hAnsi="Cambria Math" w:eastAsia="仿宋" w:cs="Times New Roman"/>
                <w:i/>
              </w:rPr>
            </m:ctrlPr>
          </m:sub>
        </m:sSub>
      </m:oMath>
      <w:r>
        <w:rPr>
          <w:rFonts w:ascii="Times New Roman" w:hAnsi="Times New Roman" w:cs="Times New Roman"/>
        </w:rPr>
        <w:t xml:space="preserve"> </w:t>
      </w:r>
      <w:r>
        <w:rPr>
          <w:rFonts w:hint="eastAsia" w:ascii="Times New Roman" w:hAnsi="Times New Roman" w:cs="Times New Roman"/>
        </w:rPr>
        <w:t>,</w:t>
      </w:r>
      <w:r>
        <w:rPr>
          <w:rFonts w:ascii="Times New Roman" w:hAnsi="Times New Roman" w:cs="Times New Roman"/>
        </w:rPr>
        <w:t xml:space="preserve">                 （1）</w:t>
      </w:r>
    </w:p>
    <w:p>
      <w:pPr>
        <w:rPr>
          <w:rFonts w:ascii="Times New Roman" w:hAnsi="Times New Roman" w:eastAsia="仿宋" w:cs="Times New Roman"/>
        </w:rPr>
      </w:pPr>
      <w:r>
        <w:rPr>
          <w:rFonts w:ascii="Times New Roman" w:hAnsi="Times New Roman" w:eastAsia="仿宋" w:cs="Times New Roman"/>
        </w:rPr>
        <w:t>其中，</w:t>
      </w:r>
      <m:oMath>
        <m:sSub>
          <m:sSubPr>
            <m:ctrlPr>
              <w:rPr>
                <w:rFonts w:ascii="Cambria Math" w:hAnsi="Cambria Math" w:eastAsia="仿宋" w:cs="Times New Roman"/>
              </w:rPr>
            </m:ctrlPr>
          </m:sSubPr>
          <m:e>
            <m:r>
              <m:rPr/>
              <w:rPr>
                <w:rFonts w:ascii="Cambria Math" w:hAnsi="Cambria Math" w:eastAsia="仿宋" w:cs="Times New Roman"/>
              </w:rPr>
              <m:t>D</m:t>
            </m:r>
            <m:ctrlPr>
              <w:rPr>
                <w:rFonts w:ascii="Cambria Math" w:hAnsi="Cambria Math" w:eastAsia="仿宋" w:cs="Times New Roman"/>
              </w:rPr>
            </m:ctrlPr>
          </m:e>
          <m:sub>
            <m:r>
              <m:rPr/>
              <w:rPr>
                <w:rFonts w:ascii="Cambria Math" w:hAnsi="Cambria Math" w:eastAsia="仿宋" w:cs="Times New Roman"/>
              </w:rPr>
              <m:t>t</m:t>
            </m:r>
            <m:ctrlPr>
              <w:rPr>
                <w:rFonts w:ascii="Cambria Math" w:hAnsi="Cambria Math" w:eastAsia="仿宋" w:cs="Times New Roman"/>
              </w:rPr>
            </m:ctrlPr>
          </m:sub>
        </m:sSub>
      </m:oMath>
      <w:r>
        <w:rPr>
          <w:rFonts w:ascii="Times New Roman" w:hAnsi="Times New Roman" w:eastAsia="仿宋" w:cs="Times New Roman"/>
        </w:rPr>
        <w:t>为年度虚拟变量，设定福建省自贸试验区成立前一年即2014年为事件分析的基准年，本文所关心的系数为</w:t>
      </w:r>
      <m:oMath>
        <m:sSub>
          <m:sSubPr>
            <m:ctrlPr>
              <w:rPr>
                <w:rFonts w:ascii="Cambria Math" w:hAnsi="Cambria Math" w:eastAsia="仿宋" w:cs="Times New Roman"/>
              </w:rPr>
            </m:ctrlPr>
          </m:sSubPr>
          <m:e>
            <m:r>
              <m:rPr/>
              <w:rPr>
                <w:rFonts w:ascii="Cambria Math" w:hAnsi="Cambria Math" w:eastAsia="仿宋" w:cs="Times New Roman"/>
              </w:rPr>
              <m:t>β</m:t>
            </m:r>
            <m:ctrlPr>
              <w:rPr>
                <w:rFonts w:ascii="Cambria Math" w:hAnsi="Cambria Math" w:eastAsia="仿宋" w:cs="Times New Roman"/>
              </w:rPr>
            </m:ctrlPr>
          </m:e>
          <m:sub>
            <m:r>
              <m:rPr/>
              <w:rPr>
                <w:rFonts w:ascii="Cambria Math" w:hAnsi="Cambria Math" w:eastAsia="仿宋" w:cs="Times New Roman"/>
              </w:rPr>
              <m:t>t</m:t>
            </m:r>
            <m:ctrlPr>
              <w:rPr>
                <w:rFonts w:ascii="Cambria Math" w:hAnsi="Cambria Math" w:eastAsia="仿宋" w:cs="Times New Roman"/>
              </w:rPr>
            </m:ctrlPr>
          </m:sub>
        </m:sSub>
      </m:oMath>
      <w:r>
        <w:rPr>
          <w:rFonts w:ascii="Times New Roman" w:hAnsi="Times New Roman" w:eastAsia="仿宋" w:cs="Times New Roman"/>
        </w:rPr>
        <w:t>。平行趋势要求与基准年相比，试验区成立起始年份之前区内外的处理效应不应显著异于0，具体结果如图</w:t>
      </w:r>
      <w:r>
        <w:rPr>
          <w:rFonts w:hint="eastAsia" w:ascii="Times New Roman" w:hAnsi="Times New Roman" w:eastAsia="仿宋" w:cs="Times New Roman"/>
          <w:szCs w:val="21"/>
        </w:rPr>
        <w:t>Ⅱ</w:t>
      </w:r>
      <w:r>
        <w:rPr>
          <w:rFonts w:ascii="Times New Roman" w:hAnsi="Times New Roman" w:eastAsia="仿宋" w:cs="Times New Roman"/>
        </w:rPr>
        <w:t>1。平行趋势结果表明，自贸区内外在其成立之前均无显著差异，表明其满足平行趋势假定。</w:t>
      </w:r>
    </w:p>
    <w:p>
      <w:pPr>
        <w:rPr>
          <w:rFonts w:ascii="Times New Roman" w:hAnsi="Times New Roman" w:cs="Times New Roman"/>
        </w:rPr>
      </w:pPr>
    </w:p>
    <w:p>
      <w:pPr>
        <w:pStyle w:val="6"/>
        <w:keepNext/>
        <w:jc w:val="left"/>
        <w:rPr>
          <w:rFonts w:ascii="Times New Roman" w:hAnsi="Times New Roman" w:cs="Times New Roman"/>
        </w:rPr>
      </w:pPr>
      <w:r>
        <w:rPr>
          <w:rFonts w:ascii="Times New Roman" w:hAnsi="Times New Roman" w:cs="Times New Roman"/>
        </w:rPr>
        <w:drawing>
          <wp:inline distT="0" distB="0" distL="0" distR="0">
            <wp:extent cx="2419350" cy="17602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9640" cy="1760400"/>
                    </a:xfrm>
                    <a:prstGeom prst="rect">
                      <a:avLst/>
                    </a:prstGeom>
                  </pic:spPr>
                </pic:pic>
              </a:graphicData>
            </a:graphic>
          </wp:inline>
        </w:drawing>
      </w:r>
      <w:r>
        <w:rPr>
          <w:rFonts w:ascii="Times New Roman" w:hAnsi="Times New Roman" w:cs="Times New Roman"/>
        </w:rPr>
        <w:drawing>
          <wp:anchor distT="0" distB="0" distL="114300" distR="114300" simplePos="0" relativeHeight="251660288" behindDoc="0" locked="0" layoutInCell="1" allowOverlap="1">
            <wp:simplePos x="0" y="0"/>
            <wp:positionH relativeFrom="margin">
              <wp:align>right</wp:align>
            </wp:positionH>
            <wp:positionV relativeFrom="paragraph">
              <wp:posOffset>264160</wp:posOffset>
            </wp:positionV>
            <wp:extent cx="2334895" cy="1698625"/>
            <wp:effectExtent l="0" t="0" r="825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4895" cy="1698625"/>
                    </a:xfrm>
                    <a:prstGeom prst="rect">
                      <a:avLst/>
                    </a:prstGeom>
                  </pic:spPr>
                </pic:pic>
              </a:graphicData>
            </a:graphic>
          </wp:anchor>
        </w:drawing>
      </w:r>
    </w:p>
    <w:p>
      <w:pPr>
        <w:pStyle w:val="6"/>
        <w:ind w:firstLine="1200" w:firstLineChars="600"/>
        <w:jc w:val="left"/>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154305</wp:posOffset>
                </wp:positionV>
                <wp:extent cx="2365375" cy="19812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2365375" cy="198120"/>
                        </a:xfrm>
                        <a:prstGeom prst="rect">
                          <a:avLst/>
                        </a:prstGeom>
                        <a:solidFill>
                          <a:prstClr val="white"/>
                        </a:solidFill>
                        <a:ln>
                          <a:noFill/>
                        </a:ln>
                      </wps:spPr>
                      <wps:txbx>
                        <w:txbxContent>
                          <w:p>
                            <w:pPr>
                              <w:pStyle w:val="6"/>
                              <w:ind w:firstLine="1080" w:firstLineChars="600"/>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图Ⅱ1 平行趋势检验</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6" o:spid="_x0000_s1026" o:spt="202" type="#_x0000_t202" style="position:absolute;left:0pt;margin-left:0pt;margin-top:12.15pt;height:15.6pt;width:186.25pt;mso-position-horizontal-relative:margin;z-index:251661312;mso-width-relative:page;mso-height-relative:page;" fillcolor="#FFFFFF" filled="t" stroked="f" coordsize="21600,21600" o:gfxdata="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z9h9rYAAAABgEAAA8AAAAAAAAAAQAgAAAAIgAA&#10;AGRycy9kb3ducmV2LnhtbFBLAQIUABQAAAAIAIdO4kBB22hyQQIAAHYEAAAOAAAAAAAAAAEAIAAA&#10;ACcBAABkcnMvZTJvRG9jLnhtbFBLBQYAAAAABgAGAFkBAADaBQAAAAA=&#10;">
                <v:fill on="t" focussize="0,0"/>
                <v:stroke on="f"/>
                <v:imagedata o:title=""/>
                <o:lock v:ext="edit" aspectratio="f"/>
                <v:textbox inset="0mm,0mm,0mm,0mm" style="mso-fit-shape-to-text:t;">
                  <w:txbxContent>
                    <w:p>
                      <w:pPr>
                        <w:pStyle w:val="6"/>
                        <w:ind w:firstLine="1080" w:firstLineChars="600"/>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图Ⅱ1 平行趋势检验</w:t>
                      </w: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3053080</wp:posOffset>
                </wp:positionH>
                <wp:positionV relativeFrom="paragraph">
                  <wp:posOffset>164465</wp:posOffset>
                </wp:positionV>
                <wp:extent cx="2365375" cy="198120"/>
                <wp:effectExtent l="0" t="0" r="0" b="0"/>
                <wp:wrapNone/>
                <wp:docPr id="39" name="文本框 26"/>
                <wp:cNvGraphicFramePr/>
                <a:graphic xmlns:a="http://schemas.openxmlformats.org/drawingml/2006/main">
                  <a:graphicData uri="http://schemas.microsoft.com/office/word/2010/wordprocessingShape">
                    <wps:wsp>
                      <wps:cNvSpPr txBox="1"/>
                      <wps:spPr>
                        <a:xfrm>
                          <a:off x="0" y="0"/>
                          <a:ext cx="2365375" cy="198120"/>
                        </a:xfrm>
                        <a:prstGeom prst="rect">
                          <a:avLst/>
                        </a:prstGeom>
                        <a:solidFill>
                          <a:prstClr val="white"/>
                        </a:solidFill>
                        <a:ln>
                          <a:noFill/>
                        </a:ln>
                      </wps:spPr>
                      <wps:txbx>
                        <w:txbxContent>
                          <w:p>
                            <w:pPr>
                              <w:pStyle w:val="6"/>
                              <w:ind w:firstLine="720" w:firstLineChars="400"/>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图Ⅱ2  安慰剂检验（之二）</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6" o:spid="_x0000_s1026" o:spt="202" type="#_x0000_t202" style="position:absolute;left:0pt;margin-left:240.4pt;margin-top:12.95pt;height:15.6pt;width:186.25pt;mso-position-horizontal-relative:margin;z-index:251659264;mso-width-relative:page;mso-height-relative:page;" fillcolor="#FFFFFF" filled="t" stroked="f" coordsize="21600,21600" o:gfxdata="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N/dbX2gAAAAkBAAAPAAAAAAAAAAEAIAAA&#10;ACIAAABkcnMvZG93bnJldi54bWxQSwECFAAUAAAACACHTuJAncBtAkMCAAB3BAAADgAAAAAAAAAB&#10;ACAAAAApAQAAZHJzL2Uyb0RvYy54bWxQSwUGAAAAAAYABgBZAQAA3gUAAAAA&#10;">
                <v:fill on="t" focussize="0,0"/>
                <v:stroke on="f"/>
                <v:imagedata o:title=""/>
                <o:lock v:ext="edit" aspectratio="f"/>
                <v:textbox inset="0mm,0mm,0mm,0mm" style="mso-fit-shape-to-text:t;">
                  <w:txbxContent>
                    <w:p>
                      <w:pPr>
                        <w:pStyle w:val="6"/>
                        <w:ind w:firstLine="720" w:firstLineChars="400"/>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图Ⅱ2  安慰剂检验（之二）</w:t>
                      </w:r>
                    </w:p>
                  </w:txbxContent>
                </v:textbox>
              </v:shape>
            </w:pict>
          </mc:Fallback>
        </mc:AlternateContent>
      </w:r>
    </w:p>
    <w:p>
      <w:pPr>
        <w:rPr>
          <w:rFonts w:ascii="Times New Roman" w:hAnsi="Times New Roman" w:cs="Times New Roman"/>
        </w:rPr>
      </w:pPr>
    </w:p>
    <w:p>
      <w:pPr>
        <w:ind w:firstLine="422" w:firstLineChars="200"/>
        <w:rPr>
          <w:rFonts w:ascii="Times New Roman" w:hAnsi="Times New Roman" w:eastAsia="仿宋" w:cs="Times New Roman"/>
          <w:b/>
          <w:bCs/>
        </w:rPr>
      </w:pPr>
    </w:p>
    <w:p>
      <w:pPr>
        <w:ind w:firstLine="422" w:firstLineChars="200"/>
        <w:rPr>
          <w:rFonts w:ascii="Times New Roman" w:hAnsi="Times New Roman" w:eastAsia="仿宋" w:cs="Times New Roman"/>
          <w:b/>
          <w:bCs/>
        </w:rPr>
      </w:pPr>
      <w:r>
        <w:rPr>
          <w:rFonts w:ascii="Times New Roman" w:hAnsi="Times New Roman" w:eastAsia="仿宋" w:cs="Times New Roman"/>
          <w:b/>
          <w:bCs/>
        </w:rPr>
        <w:t>2．改变样本区间与安慰剂检验</w:t>
      </w:r>
    </w:p>
    <w:p>
      <w:pPr>
        <w:ind w:firstLine="420" w:firstLineChars="200"/>
        <w:rPr>
          <w:rFonts w:ascii="Times New Roman" w:hAnsi="Times New Roman" w:eastAsia="仿宋" w:cs="Times New Roman"/>
        </w:rPr>
      </w:pPr>
      <w:r>
        <w:rPr>
          <w:rFonts w:ascii="Times New Roman" w:hAnsi="Times New Roman" w:eastAsia="仿宋" w:cs="Times New Roman"/>
        </w:rPr>
        <w:t>在基准回归中，我们发现自贸区存在显著的贸易促进效应，但是这一结果仍然需要我们进行敏感性分析，以验证其稳健性。为此，本文采用</w:t>
      </w:r>
      <w:r>
        <w:rPr>
          <w:rFonts w:hint="eastAsia" w:ascii="Times New Roman" w:hAnsi="Times New Roman" w:eastAsia="仿宋" w:cs="Times New Roman"/>
        </w:rPr>
        <w:t>三</w:t>
      </w:r>
      <w:r>
        <w:rPr>
          <w:rFonts w:ascii="Times New Roman" w:hAnsi="Times New Roman" w:eastAsia="仿宋" w:cs="Times New Roman"/>
        </w:rPr>
        <w:t>种策略分析基准结果稳健性。</w:t>
      </w:r>
    </w:p>
    <w:p>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首先，</w:t>
      </w:r>
      <w:r>
        <w:rPr>
          <w:rFonts w:ascii="Times New Roman" w:hAnsi="Times New Roman" w:eastAsia="仿宋" w:cs="Times New Roman"/>
          <w:szCs w:val="21"/>
        </w:rPr>
        <w:t>在基准回归中，我们发现自贸试验区存在显著的贸易促进效应，但是这一结果仍然需要我们进行敏感性分析，以验证其稳健性。由于干扰项的变动常常受到产业</w:t>
      </w:r>
      <w:r>
        <w:rPr>
          <w:rFonts w:hint="eastAsia" w:ascii="Times New Roman" w:hAnsi="Times New Roman" w:eastAsia="仿宋" w:cs="Times New Roman"/>
          <w:szCs w:val="21"/>
        </w:rPr>
        <w:t>和地区</w:t>
      </w:r>
      <w:r>
        <w:rPr>
          <w:rFonts w:ascii="Times New Roman" w:hAnsi="Times New Roman" w:eastAsia="仿宋" w:cs="Times New Roman"/>
          <w:szCs w:val="21"/>
        </w:rPr>
        <w:t>共同因素的影响，回归有可能在存在集群方差问题。根据Cameron and Miller（2015）有关标准误聚类的选取原则，我们将聚类调整到</w:t>
      </w:r>
      <w:r>
        <w:rPr>
          <w:rFonts w:hint="eastAsia" w:ascii="Times New Roman" w:hAnsi="Times New Roman" w:eastAsia="仿宋" w:cs="Times New Roman"/>
          <w:szCs w:val="21"/>
        </w:rPr>
        <w:t>区县或行业</w:t>
      </w:r>
      <w:r>
        <w:rPr>
          <w:rFonts w:ascii="Times New Roman" w:hAnsi="Times New Roman" w:eastAsia="仿宋" w:cs="Times New Roman"/>
          <w:szCs w:val="21"/>
        </w:rPr>
        <w:t>层面，以提高集群方差的估计准确性，回归结果如表</w:t>
      </w:r>
      <w:r>
        <w:rPr>
          <w:rFonts w:hint="eastAsia" w:ascii="Times New Roman" w:hAnsi="Times New Roman" w:eastAsia="仿宋" w:cs="Times New Roman"/>
          <w:szCs w:val="21"/>
        </w:rPr>
        <w:t>Ⅱ</w:t>
      </w:r>
      <w:r>
        <w:rPr>
          <w:rFonts w:ascii="Times New Roman" w:hAnsi="Times New Roman" w:eastAsia="仿宋" w:cs="Times New Roman"/>
          <w:szCs w:val="21"/>
        </w:rPr>
        <w:t>1第（1）-（4）列所示，可知估计结果仍然是显著的。</w:t>
      </w:r>
    </w:p>
    <w:p>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其次</w:t>
      </w:r>
      <w:r>
        <w:rPr>
          <w:rFonts w:ascii="Times New Roman" w:hAnsi="Times New Roman" w:eastAsia="仿宋" w:cs="Times New Roman"/>
          <w:szCs w:val="21"/>
        </w:rPr>
        <w:t>，本文在表1的回归中使用了2008至2016年的增值税发票数据，而福建省自贸区成立于2015年，因此政策冲击前样本相较于冲击后较多，这可能带来两方面影响，一是更长的冲击前时段使企业信息更具完整性，反映更多企业在处理时点前的贸易信息，二是可能提升数据所包含样本企业受到其他因素或政策影响的概率，因此我们将数据时间限定在自贸区成立前后两年时间，同时考虑到福建自贸区于2014年开始筹备，本文截取2012-2016年数据进行稳健性检验，具体结果如</w:t>
      </w:r>
      <w:r>
        <w:rPr>
          <w:rFonts w:hint="eastAsia" w:ascii="Times New Roman" w:hAnsi="Times New Roman" w:eastAsia="仿宋" w:cs="Times New Roman"/>
          <w:szCs w:val="21"/>
        </w:rPr>
        <w:t>附</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1第（5）</w:t>
      </w:r>
      <w:r>
        <w:rPr>
          <w:rFonts w:hint="eastAsia" w:ascii="Times New Roman" w:hAnsi="Times New Roman" w:eastAsia="仿宋" w:cs="Times New Roman"/>
          <w:szCs w:val="21"/>
        </w:rPr>
        <w:t>、</w:t>
      </w:r>
      <w:r>
        <w:rPr>
          <w:rFonts w:ascii="Times New Roman" w:hAnsi="Times New Roman" w:eastAsia="仿宋" w:cs="Times New Roman"/>
          <w:szCs w:val="21"/>
        </w:rPr>
        <w:t>（6）</w:t>
      </w:r>
      <w:r>
        <w:rPr>
          <w:rFonts w:hint="eastAsia" w:ascii="Times New Roman" w:hAnsi="Times New Roman" w:eastAsia="仿宋" w:cs="Times New Roman"/>
          <w:szCs w:val="21"/>
        </w:rPr>
        <w:t>列</w:t>
      </w:r>
      <w:r>
        <w:rPr>
          <w:rFonts w:ascii="Times New Roman" w:hAnsi="Times New Roman" w:eastAsia="仿宋" w:cs="Times New Roman"/>
          <w:szCs w:val="21"/>
        </w:rPr>
        <w:t>所示，可知估计结果仍然显著且系数大小与表1类似。</w:t>
      </w:r>
    </w:p>
    <w:p>
      <w:pPr>
        <w:ind w:firstLine="420" w:firstLineChars="200"/>
        <w:rPr>
          <w:rFonts w:ascii="Times New Roman" w:hAnsi="Times New Roman" w:eastAsia="仿宋" w:cs="Times New Roman"/>
        </w:rPr>
      </w:pPr>
      <w:r>
        <w:rPr>
          <w:rFonts w:hint="eastAsia" w:ascii="Times New Roman" w:hAnsi="Times New Roman" w:eastAsia="仿宋" w:cs="Times New Roman"/>
        </w:rPr>
        <w:t>再次</w:t>
      </w:r>
      <w:r>
        <w:rPr>
          <w:rFonts w:ascii="Times New Roman" w:hAnsi="Times New Roman" w:eastAsia="仿宋" w:cs="Times New Roman"/>
        </w:rPr>
        <w:t>，本文利用政策冲击的安慰剂检验来分析研究可靠性（Atanasov and Black，2016）。为进一步检验自贸区内外企业在其成立之前的特征差异以及模型中不可观测变量是否会影响本文结果，我们设计两种形式的安慰剂检验，第一种是假设将自贸区设立时间提前一年，剔除2015年及之后年份数据，考察初始政策变量是否捕获了同期发生其他事件的影响。估计结果如</w:t>
      </w:r>
      <w:r>
        <w:rPr>
          <w:rFonts w:hint="eastAsia" w:ascii="Times New Roman" w:hAnsi="Times New Roman" w:eastAsia="仿宋" w:cs="Times New Roman"/>
          <w:szCs w:val="21"/>
        </w:rPr>
        <w:t>附</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1</w:t>
      </w:r>
      <w:r>
        <w:rPr>
          <w:rFonts w:ascii="Times New Roman" w:hAnsi="Times New Roman" w:eastAsia="仿宋" w:cs="Times New Roman"/>
        </w:rPr>
        <w:t>第（7）（8）列所示，可知虚拟自贸区政策的估计结果并不显著。第二种是在增值税数据中随机抽取与自贸区企业数量相同的企业作为虚拟区内企业，然后使用虚拟区内企业重新估计基准回归模型并保存</w:t>
      </w:r>
      <m:oMath>
        <m:sSub>
          <m:sSubPr>
            <m:ctrlPr>
              <w:rPr>
                <w:rFonts w:ascii="Cambria Math" w:hAnsi="Cambria Math" w:eastAsia="仿宋" w:cs="Times New Roman"/>
              </w:rPr>
            </m:ctrlPr>
          </m:sSubPr>
          <m:e>
            <m:r>
              <m:rPr/>
              <w:rPr>
                <w:rFonts w:ascii="Cambria Math" w:hAnsi="Cambria Math" w:eastAsia="仿宋" w:cs="Times New Roman"/>
              </w:rPr>
              <m:t>β</m:t>
            </m:r>
            <m:ctrlPr>
              <w:rPr>
                <w:rFonts w:ascii="Cambria Math" w:hAnsi="Cambria Math" w:eastAsia="仿宋" w:cs="Times New Roman"/>
              </w:rPr>
            </m:ctrlPr>
          </m:e>
          <m:sub>
            <m:r>
              <m:rPr>
                <m:sty m:val="p"/>
              </m:rPr>
              <w:rPr>
                <w:rFonts w:ascii="Cambria Math" w:hAnsi="Cambria Math" w:eastAsia="仿宋" w:cs="Times New Roman"/>
              </w:rPr>
              <m:t>1</m:t>
            </m:r>
            <m:ctrlPr>
              <w:rPr>
                <w:rFonts w:ascii="Cambria Math" w:hAnsi="Cambria Math" w:eastAsia="仿宋" w:cs="Times New Roman"/>
              </w:rPr>
            </m:ctrlPr>
          </m:sub>
        </m:sSub>
      </m:oMath>
      <w:r>
        <w:rPr>
          <w:rFonts w:ascii="Times New Roman" w:hAnsi="Times New Roman" w:eastAsia="仿宋" w:cs="Times New Roman"/>
        </w:rPr>
        <w:t>的系数以及其p值，重复该过程500次并将结果绘入图中，同时将用实竖线标示本文回归结果以作参考，具体结果如图</w:t>
      </w:r>
      <w:r>
        <w:rPr>
          <w:rFonts w:hint="eastAsia" w:ascii="Times New Roman" w:hAnsi="Times New Roman" w:eastAsia="仿宋" w:cs="Times New Roman"/>
          <w:szCs w:val="21"/>
        </w:rPr>
        <w:t>Ⅱ</w:t>
      </w:r>
      <w:r>
        <w:rPr>
          <w:rFonts w:ascii="Times New Roman" w:hAnsi="Times New Roman" w:eastAsia="仿宋" w:cs="Times New Roman"/>
        </w:rPr>
        <w:t>2所示，可知基准回归结果并非因捕获了其他未观测因素而产生。</w:t>
      </w:r>
    </w:p>
    <w:p>
      <w:pPr>
        <w:ind w:firstLine="420" w:firstLineChars="200"/>
        <w:rPr>
          <w:rFonts w:ascii="Times New Roman" w:hAnsi="Times New Roman" w:eastAsia="仿宋" w:cs="Times New Roman"/>
        </w:rPr>
      </w:pPr>
    </w:p>
    <w:p>
      <w:pPr>
        <w:ind w:firstLine="360" w:firstLineChars="200"/>
        <w:jc w:val="center"/>
        <w:rPr>
          <w:rFonts w:hint="eastAsia" w:ascii="黑体" w:hAnsi="黑体" w:eastAsia="黑体" w:cs="黑体"/>
          <w:sz w:val="18"/>
          <w:szCs w:val="20"/>
        </w:rPr>
      </w:pPr>
      <w:r>
        <w:rPr>
          <w:rFonts w:hint="eastAsia" w:ascii="黑体" w:hAnsi="黑体" w:eastAsia="黑体" w:cs="黑体"/>
          <w:sz w:val="18"/>
          <w:szCs w:val="18"/>
        </w:rPr>
        <w:t>表Ⅱ1</w:t>
      </w:r>
      <w:r>
        <w:rPr>
          <w:rFonts w:hint="eastAsia" w:ascii="黑体" w:hAnsi="黑体" w:eastAsia="黑体" w:cs="黑体"/>
          <w:sz w:val="18"/>
          <w:szCs w:val="20"/>
        </w:rPr>
        <w:t xml:space="preserve">  改变聚类层次、样本区间与安慰剂检验</w:t>
      </w:r>
    </w:p>
    <w:tbl>
      <w:tblPr>
        <w:tblStyle w:val="13"/>
        <w:tblW w:w="8306" w:type="dxa"/>
        <w:jc w:val="center"/>
        <w:tblLayout w:type="autofit"/>
        <w:tblCellMar>
          <w:top w:w="0" w:type="dxa"/>
          <w:left w:w="0" w:type="dxa"/>
          <w:bottom w:w="0" w:type="dxa"/>
          <w:right w:w="0" w:type="dxa"/>
        </w:tblCellMar>
      </w:tblPr>
      <w:tblGrid>
        <w:gridCol w:w="1415"/>
        <w:gridCol w:w="827"/>
        <w:gridCol w:w="827"/>
        <w:gridCol w:w="808"/>
        <w:gridCol w:w="808"/>
        <w:gridCol w:w="904"/>
        <w:gridCol w:w="886"/>
        <w:gridCol w:w="937"/>
        <w:gridCol w:w="894"/>
      </w:tblGrid>
      <w:tr>
        <w:tblPrEx>
          <w:tblCellMar>
            <w:top w:w="0" w:type="dxa"/>
            <w:left w:w="0" w:type="dxa"/>
            <w:bottom w:w="0" w:type="dxa"/>
            <w:right w:w="0" w:type="dxa"/>
          </w:tblCellMar>
        </w:tblPrEx>
        <w:trPr>
          <w:jc w:val="center"/>
        </w:trPr>
        <w:tc>
          <w:tcPr>
            <w:tcW w:w="1415" w:type="dxa"/>
            <w:tcBorders>
              <w:top w:val="single" w:color="auto" w:sz="12" w:space="0"/>
              <w:lef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1654" w:type="dxa"/>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标准误聚类至区县</w:t>
            </w:r>
          </w:p>
        </w:tc>
        <w:tc>
          <w:tcPr>
            <w:tcW w:w="1616" w:type="dxa"/>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标准误聚类至行业</w:t>
            </w:r>
          </w:p>
        </w:tc>
        <w:tc>
          <w:tcPr>
            <w:tcW w:w="1790" w:type="dxa"/>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自贸区成立前后两年数据</w:t>
            </w:r>
          </w:p>
        </w:tc>
        <w:tc>
          <w:tcPr>
            <w:tcW w:w="1831" w:type="dxa"/>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安慰剂（之一）：提前一年</w:t>
            </w:r>
          </w:p>
        </w:tc>
      </w:tr>
      <w:tr>
        <w:tblPrEx>
          <w:tblCellMar>
            <w:top w:w="0" w:type="dxa"/>
            <w:left w:w="0" w:type="dxa"/>
            <w:bottom w:w="0" w:type="dxa"/>
            <w:right w:w="0" w:type="dxa"/>
          </w:tblCellMar>
        </w:tblPrEx>
        <w:trPr>
          <w:jc w:val="center"/>
        </w:trPr>
        <w:tc>
          <w:tcPr>
            <w:tcW w:w="1415" w:type="dxa"/>
            <w:tcBorders>
              <w:lef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被解释变量</w:t>
            </w:r>
          </w:p>
        </w:tc>
        <w:tc>
          <w:tcPr>
            <w:tcW w:w="827"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827"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c>
          <w:tcPr>
            <w:tcW w:w="808"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808"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c>
          <w:tcPr>
            <w:tcW w:w="904"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886"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c>
          <w:tcPr>
            <w:tcW w:w="937"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894" w:type="dxa"/>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r>
      <w:tr>
        <w:tblPrEx>
          <w:tblCellMar>
            <w:top w:w="0" w:type="dxa"/>
            <w:left w:w="0" w:type="dxa"/>
            <w:bottom w:w="0" w:type="dxa"/>
            <w:right w:w="0" w:type="dxa"/>
          </w:tblCellMar>
        </w:tblPrEx>
        <w:trPr>
          <w:jc w:val="center"/>
        </w:trPr>
        <w:tc>
          <w:tcPr>
            <w:tcW w:w="1415" w:type="dxa"/>
            <w:tcBorders>
              <w:left w:val="nil"/>
              <w:bottom w:val="single" w:color="auto" w:sz="4" w:space="0"/>
            </w:tcBorders>
            <w:vAlign w:val="center"/>
          </w:tcPr>
          <w:p>
            <w:pPr>
              <w:autoSpaceDE w:val="0"/>
              <w:autoSpaceDN w:val="0"/>
              <w:adjustRightInd w:val="0"/>
              <w:jc w:val="center"/>
              <w:rPr>
                <w:rFonts w:ascii="Times New Roman" w:hAnsi="Times New Roman" w:eastAsia="等线" w:cs="Times New Roman"/>
                <w:kern w:val="0"/>
                <w:szCs w:val="21"/>
              </w:rPr>
            </w:pPr>
          </w:p>
        </w:tc>
        <w:tc>
          <w:tcPr>
            <w:tcW w:w="827"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w:t>
            </w:r>
          </w:p>
        </w:tc>
        <w:tc>
          <w:tcPr>
            <w:tcW w:w="827"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（2）</w:t>
            </w:r>
          </w:p>
        </w:tc>
        <w:tc>
          <w:tcPr>
            <w:tcW w:w="808"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（3）</w:t>
            </w:r>
          </w:p>
        </w:tc>
        <w:tc>
          <w:tcPr>
            <w:tcW w:w="808"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（4）</w:t>
            </w:r>
          </w:p>
        </w:tc>
        <w:tc>
          <w:tcPr>
            <w:tcW w:w="904"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（5）</w:t>
            </w:r>
          </w:p>
        </w:tc>
        <w:tc>
          <w:tcPr>
            <w:tcW w:w="886"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（6）</w:t>
            </w:r>
          </w:p>
        </w:tc>
        <w:tc>
          <w:tcPr>
            <w:tcW w:w="937"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w:t>
            </w:r>
            <w:r>
              <w:rPr>
                <w:rFonts w:hint="eastAsia" w:ascii="Times New Roman" w:hAnsi="Times New Roman" w:eastAsia="仿宋" w:cs="Times New Roman"/>
                <w:kern w:val="0"/>
                <w:szCs w:val="21"/>
              </w:rPr>
              <w:t>7</w:t>
            </w:r>
            <w:r>
              <w:rPr>
                <w:rFonts w:ascii="Times New Roman" w:hAnsi="Times New Roman" w:eastAsia="仿宋" w:cs="Times New Roman"/>
                <w:kern w:val="0"/>
                <w:szCs w:val="21"/>
              </w:rPr>
              <w:t>）</w:t>
            </w:r>
          </w:p>
        </w:tc>
        <w:tc>
          <w:tcPr>
            <w:tcW w:w="894" w:type="dxa"/>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w:t>
            </w:r>
            <w:r>
              <w:rPr>
                <w:rFonts w:hint="eastAsia" w:ascii="Times New Roman" w:hAnsi="Times New Roman" w:eastAsia="仿宋" w:cs="Times New Roman"/>
                <w:kern w:val="0"/>
                <w:szCs w:val="21"/>
              </w:rPr>
              <w:t>8</w:t>
            </w:r>
            <w:r>
              <w:rPr>
                <w:rFonts w:ascii="Times New Roman" w:hAnsi="Times New Roman" w:eastAsia="仿宋" w:cs="Times New Roman"/>
                <w:kern w:val="0"/>
                <w:szCs w:val="21"/>
              </w:rPr>
              <w:t>）</w:t>
            </w:r>
          </w:p>
        </w:tc>
      </w:tr>
      <w:tr>
        <w:tblPrEx>
          <w:tblCellMar>
            <w:top w:w="0" w:type="dxa"/>
            <w:left w:w="0" w:type="dxa"/>
            <w:bottom w:w="0" w:type="dxa"/>
            <w:right w:w="0" w:type="dxa"/>
          </w:tblCellMar>
        </w:tblPrEx>
        <w:trPr>
          <w:jc w:val="center"/>
        </w:trPr>
        <w:tc>
          <w:tcPr>
            <w:tcW w:w="1415" w:type="dxa"/>
            <w:vMerge w:val="restart"/>
            <w:tcBorders>
              <w:top w:val="single" w:color="auto" w:sz="4" w:space="0"/>
              <w:left w:val="nil"/>
            </w:tcBorders>
            <w:vAlign w:val="center"/>
          </w:tcPr>
          <w:p>
            <w:pPr>
              <w:autoSpaceDE w:val="0"/>
              <w:autoSpaceDN w:val="0"/>
              <w:adjustRightInd w:val="0"/>
              <w:jc w:val="center"/>
              <w:rPr>
                <w:rFonts w:ascii="Times New Roman" w:hAnsi="Times New Roman" w:eastAsia="仿宋" w:cs="Times New Roman"/>
                <w:kern w:val="0"/>
                <w:szCs w:val="21"/>
              </w:rPr>
            </w:pPr>
            <m:oMathPara>
              <m:oMath>
                <m:r>
                  <m:rPr>
                    <m:nor/>
                    <m:sty m:val="p"/>
                  </m:rPr>
                  <w:rPr>
                    <w:rFonts w:ascii="Times New Roman" w:hAnsi="Times New Roman" w:eastAsia="仿宋" w:cs="Times New Roman"/>
                    <w:kern w:val="0"/>
                    <w:szCs w:val="21"/>
                  </w:rPr>
                  <m:t>自贸区×</m:t>
                </m:r>
                <m:sSub>
                  <m:sSubPr>
                    <m:ctrlPr>
                      <w:rPr>
                        <w:rFonts w:ascii="Cambria Math" w:hAnsi="Cambria Math" w:eastAsia="仿宋" w:cs="Times New Roman"/>
                        <w:kern w:val="0"/>
                        <w:szCs w:val="21"/>
                      </w:rPr>
                    </m:ctrlPr>
                  </m:sSubPr>
                  <m:e>
                    <m:r>
                      <m:rPr/>
                      <w:rPr>
                        <w:rFonts w:ascii="Cambria Math" w:hAnsi="Cambria Math" w:eastAsia="仿宋" w:cs="Times New Roman"/>
                        <w:kern w:val="0"/>
                        <w:szCs w:val="21"/>
                      </w:rPr>
                      <m:t>Post</m:t>
                    </m:r>
                    <m:ctrlPr>
                      <w:rPr>
                        <w:rFonts w:ascii="Cambria Math" w:hAnsi="Cambria Math" w:eastAsia="仿宋" w:cs="Times New Roman"/>
                        <w:kern w:val="0"/>
                        <w:szCs w:val="21"/>
                      </w:rPr>
                    </m:ctrlPr>
                  </m:e>
                  <m:sub>
                    <m:r>
                      <m:rPr/>
                      <w:rPr>
                        <w:rFonts w:ascii="Cambria Math" w:hAnsi="Cambria Math" w:eastAsia="仿宋" w:cs="Times New Roman"/>
                        <w:kern w:val="0"/>
                        <w:szCs w:val="21"/>
                      </w:rPr>
                      <m:t>t</m:t>
                    </m:r>
                    <m:ctrlPr>
                      <w:rPr>
                        <w:rFonts w:ascii="Cambria Math" w:hAnsi="Cambria Math" w:eastAsia="仿宋" w:cs="Times New Roman"/>
                        <w:kern w:val="0"/>
                        <w:szCs w:val="21"/>
                      </w:rPr>
                    </m:ctrlPr>
                  </m:sub>
                </m:sSub>
              </m:oMath>
            </m:oMathPara>
          </w:p>
        </w:tc>
        <w:tc>
          <w:tcPr>
            <w:tcW w:w="827" w:type="dxa"/>
            <w:tcBorders>
              <w:top w:val="single" w:color="auto" w:sz="4" w:space="0"/>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0.127</w:t>
            </w:r>
            <w:r>
              <w:rPr>
                <w:rFonts w:ascii="Times New Roman" w:hAnsi="Times New Roman" w:cs="Times New Roman"/>
                <w:kern w:val="0"/>
                <w:szCs w:val="21"/>
                <w:vertAlign w:val="superscript"/>
              </w:rPr>
              <w:t>*</w:t>
            </w:r>
          </w:p>
        </w:tc>
        <w:tc>
          <w:tcPr>
            <w:tcW w:w="827" w:type="dxa"/>
            <w:tcBorders>
              <w:top w:val="single" w:color="auto" w:sz="4" w:space="0"/>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3.924</w:t>
            </w:r>
            <w:r>
              <w:rPr>
                <w:rFonts w:ascii="Times New Roman" w:hAnsi="Times New Roman" w:cs="Times New Roman"/>
                <w:kern w:val="0"/>
                <w:szCs w:val="21"/>
                <w:vertAlign w:val="superscript"/>
              </w:rPr>
              <w:t>**</w:t>
            </w:r>
          </w:p>
        </w:tc>
        <w:tc>
          <w:tcPr>
            <w:tcW w:w="808" w:type="dxa"/>
            <w:tcBorders>
              <w:top w:val="single" w:color="auto" w:sz="4" w:space="0"/>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0.127</w:t>
            </w:r>
            <w:r>
              <w:rPr>
                <w:rFonts w:ascii="Times New Roman" w:hAnsi="Times New Roman" w:cs="Times New Roman"/>
                <w:kern w:val="0"/>
                <w:szCs w:val="21"/>
                <w:vertAlign w:val="superscript"/>
              </w:rPr>
              <w:t>**</w:t>
            </w:r>
          </w:p>
        </w:tc>
        <w:tc>
          <w:tcPr>
            <w:tcW w:w="808" w:type="dxa"/>
            <w:tcBorders>
              <w:top w:val="single" w:color="auto" w:sz="4" w:space="0"/>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3.924</w:t>
            </w:r>
            <w:r>
              <w:rPr>
                <w:rFonts w:ascii="Times New Roman" w:hAnsi="Times New Roman" w:cs="Times New Roman"/>
                <w:kern w:val="0"/>
                <w:szCs w:val="21"/>
                <w:vertAlign w:val="superscript"/>
              </w:rPr>
              <w:t>**</w:t>
            </w:r>
          </w:p>
        </w:tc>
        <w:tc>
          <w:tcPr>
            <w:tcW w:w="904" w:type="dxa"/>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0.116</w:t>
            </w:r>
            <w:r>
              <w:rPr>
                <w:rFonts w:ascii="Times New Roman" w:hAnsi="Times New Roman" w:eastAsia="仿宋" w:cs="Times New Roman"/>
                <w:kern w:val="0"/>
                <w:szCs w:val="21"/>
                <w:vertAlign w:val="superscript"/>
              </w:rPr>
              <w:t>*</w:t>
            </w:r>
          </w:p>
        </w:tc>
        <w:tc>
          <w:tcPr>
            <w:tcW w:w="886" w:type="dxa"/>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5.249</w:t>
            </w:r>
            <w:r>
              <w:rPr>
                <w:rFonts w:ascii="Times New Roman" w:hAnsi="Times New Roman" w:cs="Times New Roman"/>
                <w:kern w:val="0"/>
                <w:szCs w:val="21"/>
                <w:vertAlign w:val="superscript"/>
              </w:rPr>
              <w:t>**</w:t>
            </w:r>
          </w:p>
        </w:tc>
        <w:tc>
          <w:tcPr>
            <w:tcW w:w="937" w:type="dxa"/>
            <w:tcBorders>
              <w:top w:val="single" w:color="auto" w:sz="4" w:space="0"/>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-0.019</w:t>
            </w:r>
          </w:p>
        </w:tc>
        <w:tc>
          <w:tcPr>
            <w:tcW w:w="894" w:type="dxa"/>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-0.470</w:t>
            </w:r>
          </w:p>
        </w:tc>
      </w:tr>
      <w:tr>
        <w:tblPrEx>
          <w:tblCellMar>
            <w:top w:w="0" w:type="dxa"/>
            <w:left w:w="0" w:type="dxa"/>
            <w:bottom w:w="0" w:type="dxa"/>
            <w:right w:w="0" w:type="dxa"/>
          </w:tblCellMar>
        </w:tblPrEx>
        <w:trPr>
          <w:jc w:val="center"/>
        </w:trPr>
        <w:tc>
          <w:tcPr>
            <w:tcW w:w="1415" w:type="dxa"/>
            <w:vMerge w:val="continue"/>
            <w:tcBorders>
              <w:left w:val="nil"/>
              <w:bottom w:val="nil"/>
            </w:tcBorders>
            <w:vAlign w:val="center"/>
          </w:tcPr>
          <w:p>
            <w:pPr>
              <w:autoSpaceDE w:val="0"/>
              <w:autoSpaceDN w:val="0"/>
              <w:adjustRightInd w:val="0"/>
              <w:jc w:val="center"/>
              <w:rPr>
                <w:rFonts w:ascii="Times New Roman" w:hAnsi="Times New Roman" w:eastAsia="仿宋" w:cs="Times New Roman"/>
                <w:kern w:val="0"/>
                <w:szCs w:val="21"/>
              </w:rPr>
            </w:pPr>
          </w:p>
        </w:tc>
        <w:tc>
          <w:tcPr>
            <w:tcW w:w="827" w:type="dxa"/>
            <w:tcBorders>
              <w:bottom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(0.075)</w:t>
            </w:r>
          </w:p>
        </w:tc>
        <w:tc>
          <w:tcPr>
            <w:tcW w:w="827" w:type="dxa"/>
            <w:tcBorders>
              <w:bottom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(1.954)</w:t>
            </w:r>
          </w:p>
        </w:tc>
        <w:tc>
          <w:tcPr>
            <w:tcW w:w="808" w:type="dxa"/>
            <w:tcBorders>
              <w:bottom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(0.062)</w:t>
            </w:r>
          </w:p>
        </w:tc>
        <w:tc>
          <w:tcPr>
            <w:tcW w:w="808" w:type="dxa"/>
            <w:tcBorders>
              <w:bottom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(1.798)</w:t>
            </w:r>
          </w:p>
        </w:tc>
        <w:tc>
          <w:tcPr>
            <w:tcW w:w="904"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(0.067)</w:t>
            </w:r>
          </w:p>
        </w:tc>
        <w:tc>
          <w:tcPr>
            <w:tcW w:w="886"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(2.211)</w:t>
            </w:r>
          </w:p>
        </w:tc>
        <w:tc>
          <w:tcPr>
            <w:tcW w:w="937" w:type="dxa"/>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(0.086)</w:t>
            </w:r>
          </w:p>
        </w:tc>
        <w:tc>
          <w:tcPr>
            <w:tcW w:w="894"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(2.383)</w:t>
            </w:r>
          </w:p>
        </w:tc>
      </w:tr>
      <w:tr>
        <w:tblPrEx>
          <w:tblCellMar>
            <w:top w:w="0" w:type="dxa"/>
            <w:left w:w="0" w:type="dxa"/>
            <w:bottom w:w="0" w:type="dxa"/>
            <w:right w:w="0" w:type="dxa"/>
          </w:tblCellMar>
        </w:tblPrEx>
        <w:trPr>
          <w:jc w:val="center"/>
        </w:trPr>
        <w:tc>
          <w:tcPr>
            <w:tcW w:w="1415" w:type="dxa"/>
            <w:tcBorders>
              <w:top w:val="nil"/>
              <w:left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控制变量</w:t>
            </w:r>
          </w:p>
        </w:tc>
        <w:tc>
          <w:tcPr>
            <w:tcW w:w="827" w:type="dxa"/>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27"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08" w:type="dxa"/>
            <w:tcBorders>
              <w:top w:val="nil"/>
              <w:bottom w:val="nil"/>
            </w:tcBorders>
          </w:tcPr>
          <w:p>
            <w:pPr>
              <w:autoSpaceDE w:val="0"/>
              <w:autoSpaceDN w:val="0"/>
              <w:adjustRightInd w:val="0"/>
              <w:jc w:val="center"/>
              <w:rPr>
                <w:rFonts w:ascii="Times New Roman" w:hAnsi="Times New Roman" w:cs="Times New Roman"/>
                <w:kern w:val="0"/>
                <w:szCs w:val="21"/>
              </w:rPr>
            </w:pPr>
            <w:r>
              <w:rPr>
                <w:rFonts w:hint="eastAsia" w:ascii="Times New Roman" w:hAnsi="Times New Roman" w:eastAsia="仿宋" w:cs="Times New Roman"/>
                <w:kern w:val="0"/>
                <w:szCs w:val="21"/>
              </w:rPr>
              <w:t>是</w:t>
            </w:r>
          </w:p>
        </w:tc>
        <w:tc>
          <w:tcPr>
            <w:tcW w:w="808" w:type="dxa"/>
            <w:tcBorders>
              <w:top w:val="nil"/>
              <w:bottom w:val="nil"/>
            </w:tcBorders>
          </w:tcPr>
          <w:p>
            <w:pPr>
              <w:autoSpaceDE w:val="0"/>
              <w:autoSpaceDN w:val="0"/>
              <w:adjustRightInd w:val="0"/>
              <w:jc w:val="center"/>
              <w:rPr>
                <w:rFonts w:ascii="Times New Roman" w:hAnsi="Times New Roman" w:cs="Times New Roman"/>
                <w:kern w:val="0"/>
                <w:szCs w:val="21"/>
              </w:rPr>
            </w:pPr>
            <w:r>
              <w:rPr>
                <w:rFonts w:hint="eastAsia" w:ascii="Times New Roman" w:hAnsi="Times New Roman" w:eastAsia="仿宋" w:cs="Times New Roman"/>
                <w:kern w:val="0"/>
                <w:szCs w:val="21"/>
              </w:rPr>
              <w:t>是</w:t>
            </w:r>
          </w:p>
        </w:tc>
        <w:tc>
          <w:tcPr>
            <w:tcW w:w="904"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86"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937"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94"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CellMar>
            <w:top w:w="0" w:type="dxa"/>
            <w:left w:w="0" w:type="dxa"/>
            <w:bottom w:w="0" w:type="dxa"/>
            <w:right w:w="0" w:type="dxa"/>
          </w:tblCellMar>
        </w:tblPrEx>
        <w:trPr>
          <w:jc w:val="center"/>
        </w:trPr>
        <w:tc>
          <w:tcPr>
            <w:tcW w:w="1415" w:type="dxa"/>
            <w:tcBorders>
              <w:top w:val="nil"/>
              <w:left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企业 FE</w:t>
            </w:r>
          </w:p>
        </w:tc>
        <w:tc>
          <w:tcPr>
            <w:tcW w:w="827"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27"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08" w:type="dxa"/>
            <w:tcBorders>
              <w:top w:val="nil"/>
              <w:bottom w:val="nil"/>
            </w:tcBorders>
          </w:tcPr>
          <w:p>
            <w:pPr>
              <w:autoSpaceDE w:val="0"/>
              <w:autoSpaceDN w:val="0"/>
              <w:adjustRightInd w:val="0"/>
              <w:jc w:val="center"/>
              <w:rPr>
                <w:rFonts w:ascii="Times New Roman" w:hAnsi="Times New Roman" w:cs="Times New Roman"/>
                <w:kern w:val="0"/>
                <w:szCs w:val="21"/>
              </w:rPr>
            </w:pPr>
            <w:r>
              <w:rPr>
                <w:rFonts w:hint="eastAsia" w:ascii="Times New Roman" w:hAnsi="Times New Roman" w:eastAsia="仿宋" w:cs="Times New Roman"/>
                <w:kern w:val="0"/>
                <w:szCs w:val="21"/>
              </w:rPr>
              <w:t>是</w:t>
            </w:r>
          </w:p>
        </w:tc>
        <w:tc>
          <w:tcPr>
            <w:tcW w:w="808" w:type="dxa"/>
            <w:tcBorders>
              <w:top w:val="nil"/>
              <w:bottom w:val="nil"/>
            </w:tcBorders>
          </w:tcPr>
          <w:p>
            <w:pPr>
              <w:autoSpaceDE w:val="0"/>
              <w:autoSpaceDN w:val="0"/>
              <w:adjustRightInd w:val="0"/>
              <w:jc w:val="center"/>
              <w:rPr>
                <w:rFonts w:ascii="Times New Roman" w:hAnsi="Times New Roman" w:cs="Times New Roman"/>
                <w:kern w:val="0"/>
                <w:szCs w:val="21"/>
              </w:rPr>
            </w:pPr>
            <w:r>
              <w:rPr>
                <w:rFonts w:hint="eastAsia" w:ascii="Times New Roman" w:hAnsi="Times New Roman" w:eastAsia="仿宋" w:cs="Times New Roman"/>
                <w:kern w:val="0"/>
                <w:szCs w:val="21"/>
              </w:rPr>
              <w:t>是</w:t>
            </w:r>
          </w:p>
        </w:tc>
        <w:tc>
          <w:tcPr>
            <w:tcW w:w="904"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86"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937"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94" w:type="dxa"/>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5" w:type="dxa"/>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年份 FE</w:t>
            </w:r>
          </w:p>
        </w:tc>
        <w:tc>
          <w:tcPr>
            <w:tcW w:w="82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2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08" w:type="dxa"/>
            <w:tcBorders>
              <w:top w:val="nil"/>
              <w:left w:val="nil"/>
              <w:bottom w:val="nil"/>
              <w:right w:val="nil"/>
            </w:tcBorders>
          </w:tcPr>
          <w:p>
            <w:pPr>
              <w:autoSpaceDE w:val="0"/>
              <w:autoSpaceDN w:val="0"/>
              <w:adjustRightInd w:val="0"/>
              <w:jc w:val="center"/>
              <w:rPr>
                <w:rFonts w:ascii="Times New Roman" w:hAnsi="Times New Roman" w:cs="Times New Roman"/>
                <w:kern w:val="0"/>
                <w:szCs w:val="21"/>
              </w:rPr>
            </w:pPr>
            <w:r>
              <w:rPr>
                <w:rFonts w:hint="eastAsia" w:ascii="Times New Roman" w:hAnsi="Times New Roman" w:eastAsia="仿宋" w:cs="Times New Roman"/>
                <w:kern w:val="0"/>
                <w:szCs w:val="21"/>
              </w:rPr>
              <w:t>是</w:t>
            </w:r>
          </w:p>
        </w:tc>
        <w:tc>
          <w:tcPr>
            <w:tcW w:w="808" w:type="dxa"/>
            <w:tcBorders>
              <w:top w:val="nil"/>
              <w:left w:val="nil"/>
              <w:bottom w:val="nil"/>
              <w:right w:val="nil"/>
            </w:tcBorders>
          </w:tcPr>
          <w:p>
            <w:pPr>
              <w:autoSpaceDE w:val="0"/>
              <w:autoSpaceDN w:val="0"/>
              <w:adjustRightInd w:val="0"/>
              <w:jc w:val="center"/>
              <w:rPr>
                <w:rFonts w:ascii="Times New Roman" w:hAnsi="Times New Roman" w:cs="Times New Roman"/>
                <w:kern w:val="0"/>
                <w:szCs w:val="21"/>
              </w:rPr>
            </w:pPr>
            <w:r>
              <w:rPr>
                <w:rFonts w:hint="eastAsia" w:ascii="Times New Roman" w:hAnsi="Times New Roman" w:eastAsia="仿宋" w:cs="Times New Roman"/>
                <w:kern w:val="0"/>
                <w:szCs w:val="21"/>
              </w:rPr>
              <w:t>是</w:t>
            </w:r>
          </w:p>
        </w:tc>
        <w:tc>
          <w:tcPr>
            <w:tcW w:w="90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8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93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8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5" w:type="dxa"/>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Observations</w:t>
            </w:r>
          </w:p>
        </w:tc>
        <w:tc>
          <w:tcPr>
            <w:tcW w:w="827" w:type="dxa"/>
            <w:tcBorders>
              <w:top w:val="nil"/>
              <w:left w:val="nil"/>
              <w:bottom w:val="nil"/>
              <w:right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175 802</w:t>
            </w:r>
          </w:p>
        </w:tc>
        <w:tc>
          <w:tcPr>
            <w:tcW w:w="827" w:type="dxa"/>
            <w:tcBorders>
              <w:top w:val="nil"/>
              <w:left w:val="nil"/>
              <w:bottom w:val="nil"/>
              <w:right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141 486</w:t>
            </w:r>
          </w:p>
        </w:tc>
        <w:tc>
          <w:tcPr>
            <w:tcW w:w="808" w:type="dxa"/>
            <w:tcBorders>
              <w:top w:val="nil"/>
              <w:left w:val="nil"/>
              <w:bottom w:val="nil"/>
              <w:right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175 794</w:t>
            </w:r>
          </w:p>
        </w:tc>
        <w:tc>
          <w:tcPr>
            <w:tcW w:w="808" w:type="dxa"/>
            <w:tcBorders>
              <w:top w:val="nil"/>
              <w:left w:val="nil"/>
              <w:bottom w:val="nil"/>
              <w:right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141 479</w:t>
            </w:r>
          </w:p>
        </w:tc>
        <w:tc>
          <w:tcPr>
            <w:tcW w:w="90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103 266</w:t>
            </w:r>
          </w:p>
        </w:tc>
        <w:tc>
          <w:tcPr>
            <w:tcW w:w="88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92 166</w:t>
            </w:r>
          </w:p>
        </w:tc>
        <w:tc>
          <w:tcPr>
            <w:tcW w:w="937" w:type="dxa"/>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133 378</w:t>
            </w:r>
          </w:p>
        </w:tc>
        <w:tc>
          <w:tcPr>
            <w:tcW w:w="8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103 723</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5" w:type="dxa"/>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R-squared</w:t>
            </w:r>
          </w:p>
        </w:tc>
        <w:tc>
          <w:tcPr>
            <w:tcW w:w="827" w:type="dxa"/>
            <w:tcBorders>
              <w:top w:val="nil"/>
              <w:left w:val="nil"/>
              <w:bottom w:val="single" w:color="auto" w:sz="12" w:space="0"/>
              <w:right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0.818</w:t>
            </w:r>
          </w:p>
        </w:tc>
        <w:tc>
          <w:tcPr>
            <w:tcW w:w="827" w:type="dxa"/>
            <w:tcBorders>
              <w:top w:val="nil"/>
              <w:left w:val="nil"/>
              <w:bottom w:val="single" w:color="auto" w:sz="12" w:space="0"/>
              <w:right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0.331</w:t>
            </w:r>
          </w:p>
        </w:tc>
        <w:tc>
          <w:tcPr>
            <w:tcW w:w="808" w:type="dxa"/>
            <w:tcBorders>
              <w:top w:val="nil"/>
              <w:left w:val="nil"/>
              <w:bottom w:val="single" w:color="auto" w:sz="12" w:space="0"/>
              <w:right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0.818</w:t>
            </w:r>
          </w:p>
        </w:tc>
        <w:tc>
          <w:tcPr>
            <w:tcW w:w="808" w:type="dxa"/>
            <w:tcBorders>
              <w:top w:val="nil"/>
              <w:left w:val="nil"/>
              <w:bottom w:val="single" w:color="auto" w:sz="12" w:space="0"/>
              <w:right w:val="nil"/>
            </w:tcBorders>
          </w:tcPr>
          <w:p>
            <w:pPr>
              <w:autoSpaceDE w:val="0"/>
              <w:autoSpaceDN w:val="0"/>
              <w:adjustRightInd w:val="0"/>
              <w:jc w:val="center"/>
              <w:rPr>
                <w:rFonts w:ascii="Times New Roman" w:hAnsi="Times New Roman" w:cs="Times New Roman"/>
                <w:kern w:val="0"/>
                <w:szCs w:val="21"/>
              </w:rPr>
            </w:pPr>
            <w:r>
              <w:rPr>
                <w:rFonts w:ascii="Times New Roman" w:hAnsi="Times New Roman" w:cs="Times New Roman"/>
                <w:kern w:val="0"/>
                <w:szCs w:val="21"/>
              </w:rPr>
              <w:t>0.331</w:t>
            </w:r>
          </w:p>
        </w:tc>
        <w:tc>
          <w:tcPr>
            <w:tcW w:w="904" w:type="dxa"/>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0.859</w:t>
            </w:r>
          </w:p>
        </w:tc>
        <w:tc>
          <w:tcPr>
            <w:tcW w:w="886" w:type="dxa"/>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0.364</w:t>
            </w:r>
          </w:p>
        </w:tc>
        <w:tc>
          <w:tcPr>
            <w:tcW w:w="937" w:type="dxa"/>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0.838</w:t>
            </w:r>
          </w:p>
        </w:tc>
        <w:tc>
          <w:tcPr>
            <w:tcW w:w="894" w:type="dxa"/>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0.359</w:t>
            </w:r>
          </w:p>
        </w:tc>
      </w:tr>
    </w:tbl>
    <w:p>
      <w:pPr>
        <w:ind w:firstLine="420" w:firstLineChars="200"/>
        <w:rPr>
          <w:rFonts w:ascii="Times New Roman" w:hAnsi="Times New Roman" w:eastAsia="仿宋" w:cs="Times New Roman"/>
        </w:rPr>
      </w:pPr>
    </w:p>
    <w:p>
      <w:pPr>
        <w:ind w:firstLine="422" w:firstLineChars="200"/>
        <w:rPr>
          <w:rFonts w:ascii="Times New Roman" w:hAnsi="Times New Roman" w:eastAsia="仿宋" w:cs="Times New Roman"/>
          <w:b/>
          <w:bCs/>
        </w:rPr>
      </w:pPr>
      <w:r>
        <w:rPr>
          <w:rFonts w:ascii="Times New Roman" w:hAnsi="Times New Roman" w:eastAsia="仿宋" w:cs="Times New Roman"/>
          <w:b/>
          <w:bCs/>
        </w:rPr>
        <w:t>3．替代样本估计</w:t>
      </w:r>
    </w:p>
    <w:p>
      <w:pPr>
        <w:ind w:firstLine="420" w:firstLineChars="200"/>
        <w:rPr>
          <w:rFonts w:ascii="Times New Roman" w:hAnsi="Times New Roman" w:eastAsia="仿宋" w:cs="Times New Roman"/>
        </w:rPr>
      </w:pPr>
      <w:r>
        <w:rPr>
          <w:rFonts w:ascii="Times New Roman" w:hAnsi="Times New Roman" w:eastAsia="仿宋" w:cs="Times New Roman"/>
        </w:rPr>
        <w:t>此外，本文还从两方面讨论了有可能影响结果稳健性的问题：一是针对样本选择的敏感性问题，采用替代样本分析；二是针对可能的竞争性解释，排除具有潜在影响力政策的作用。其中，替代样本分析主要包括如下</w:t>
      </w:r>
      <w:r>
        <w:rPr>
          <w:rFonts w:hint="eastAsia" w:ascii="Times New Roman" w:hAnsi="Times New Roman" w:eastAsia="仿宋" w:cs="Times New Roman"/>
        </w:rPr>
        <w:t>四</w:t>
      </w:r>
      <w:r>
        <w:rPr>
          <w:rFonts w:ascii="Times New Roman" w:hAnsi="Times New Roman" w:eastAsia="仿宋" w:cs="Times New Roman"/>
        </w:rPr>
        <w:t>种处理：</w:t>
      </w:r>
    </w:p>
    <w:p>
      <w:pPr>
        <w:ind w:firstLine="420" w:firstLineChars="200"/>
        <w:rPr>
          <w:rFonts w:ascii="Times New Roman" w:hAnsi="Times New Roman" w:eastAsia="仿宋" w:cs="Times New Roman"/>
        </w:rPr>
      </w:pPr>
      <w:r>
        <w:rPr>
          <w:rFonts w:ascii="Times New Roman" w:hAnsi="Times New Roman" w:eastAsia="仿宋" w:cs="Times New Roman"/>
        </w:rPr>
        <w:t>第一，剔除网络边缘个体。位于生产网络边缘的企业往往是整个经济中的非核心个体，它们参与产业链融合程度更低，也意味着更有可能产生经营指标异常值。我们计算了所有企业在生产网络中的接近中心度</w:t>
      </w:r>
      <w:r>
        <w:rPr>
          <w:rFonts w:ascii="Times New Roman" w:hAnsi="Times New Roman" w:eastAsia="仿宋" w:cs="Times New Roman"/>
          <w:vertAlign w:val="superscript"/>
        </w:rPr>
        <w:footnoteReference w:id="1"/>
      </w:r>
      <w:r>
        <w:rPr>
          <w:rFonts w:ascii="Times New Roman" w:hAnsi="Times New Roman" w:eastAsia="仿宋" w:cs="Times New Roman"/>
        </w:rPr>
        <w:t>，其代表了一家企业与其他所有企业的网络距离，接近中心度越大代表该企业与其他所有企业的距离越近，说明该企业越靠近生产网络的中心位置。本文剔除处于边缘位置，即接近中心度小于15%分位点的企业，以避免可能存在的异常值干扰，回归结果如</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2</w:t>
      </w:r>
      <w:r>
        <w:rPr>
          <w:rFonts w:ascii="Times New Roman" w:hAnsi="Times New Roman" w:eastAsia="仿宋" w:cs="Times New Roman"/>
        </w:rPr>
        <w:t>第（1）（2）列所示。</w:t>
      </w:r>
    </w:p>
    <w:p>
      <w:pPr>
        <w:ind w:firstLine="420" w:firstLineChars="200"/>
        <w:rPr>
          <w:rFonts w:ascii="Times New Roman" w:hAnsi="Times New Roman" w:eastAsia="仿宋" w:cs="Times New Roman"/>
        </w:rPr>
      </w:pPr>
      <w:r>
        <w:rPr>
          <w:rFonts w:ascii="Times New Roman" w:hAnsi="Times New Roman" w:eastAsia="仿宋" w:cs="Times New Roman"/>
        </w:rPr>
        <w:t>第二，剔除2008-2014年没有交易记录的企业。自贸区建立及其带来的贸促效应可能影响企业对经营产品范围的选择，促使企业从其他非增值税行业转向缴纳增值税的中间品贸易行业，从而导致企业在政策冲击前后数据不可比。为解决行业自选择所产生的估计偏误，本文剔除了在自贸区成立之前没有交易记录的企业，结果见</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2</w:t>
      </w:r>
      <w:r>
        <w:rPr>
          <w:rFonts w:ascii="Times New Roman" w:hAnsi="Times New Roman" w:eastAsia="仿宋" w:cs="Times New Roman"/>
        </w:rPr>
        <w:t>第（3）（4）列。</w:t>
      </w:r>
    </w:p>
    <w:p>
      <w:pPr>
        <w:ind w:firstLine="420" w:firstLineChars="200"/>
        <w:rPr>
          <w:rFonts w:ascii="Times New Roman" w:hAnsi="Times New Roman" w:eastAsia="仿宋" w:cs="Times New Roman"/>
        </w:rPr>
      </w:pPr>
      <w:r>
        <w:rPr>
          <w:rFonts w:ascii="Times New Roman" w:hAnsi="Times New Roman" w:eastAsia="仿宋" w:cs="Times New Roman"/>
        </w:rPr>
        <w:t>第三</w:t>
      </w:r>
      <w:r>
        <w:rPr>
          <w:rFonts w:ascii="Times New Roman" w:hAnsi="Times New Roman" w:eastAsia="宋体" w:cs="Times New Roman"/>
        </w:rPr>
        <w:t>，</w:t>
      </w:r>
      <w:r>
        <w:rPr>
          <w:rFonts w:ascii="Times New Roman" w:hAnsi="Times New Roman" w:eastAsia="仿宋" w:cs="Times New Roman"/>
        </w:rPr>
        <w:t>限制地理范围。由于福建省地处山地、丘陵地带，地势总体上西北高东南低，所以地形因素可能导致企业间的异质性。另外，由于福建省经济发展水平较高的地区集中在东南沿海一带，位处西部边远地区的企业在经济环境、地理物流条件以及信息成本等方面也会形成企业间竞争的非均衡性。考虑到以上因素，本文将样本控制在与自贸区距离小于90%分位点的企业中，即剔除地理上处于边缘地区的企业，具体结果见</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2</w:t>
      </w:r>
      <w:r>
        <w:rPr>
          <w:rFonts w:ascii="Times New Roman" w:hAnsi="Times New Roman" w:eastAsia="仿宋" w:cs="Times New Roman"/>
        </w:rPr>
        <w:t>第（5）（6）列。</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第四，由于自贸区内存在多重优惠政策，一些企业可能会在政策冲击前后迁移至自贸区内，造成样本自选择问题，因此有必要对企业迁移因素的影响进行考察。首先，本文将增值税数据与中国工商注册企业数据库（以下简称“注册工商数据”）以企业名称为准进行匹配，收集注册工商数据中的“企业变更信息”，其中“变更事项”涵盖了包括住所地址、经营场所、驻在地址等企业地址更换信息。然后，考虑到企业可能在成立后发生迁移行为，我们将2015-2016年期间发生地址更换的企业样本剔除，进行</w:t>
      </w:r>
      <w:r>
        <w:rPr>
          <w:rFonts w:hint="eastAsia" w:ascii="Times New Roman" w:hAnsi="Times New Roman" w:eastAsia="仿宋" w:cs="Times New Roman"/>
          <w:szCs w:val="21"/>
        </w:rPr>
        <w:t>正文中</w:t>
      </w:r>
      <w:r>
        <w:rPr>
          <w:rFonts w:ascii="Times New Roman" w:hAnsi="Times New Roman" w:eastAsia="仿宋" w:cs="Times New Roman"/>
          <w:szCs w:val="21"/>
        </w:rPr>
        <w:t>式（1）模型的回归，结果如表</w:t>
      </w:r>
      <w:r>
        <w:rPr>
          <w:rFonts w:hint="eastAsia" w:ascii="Times New Roman" w:hAnsi="Times New Roman" w:eastAsia="仿宋" w:cs="Times New Roman"/>
          <w:szCs w:val="21"/>
        </w:rPr>
        <w:t>Ⅱ</w:t>
      </w:r>
      <w:r>
        <w:rPr>
          <w:rFonts w:ascii="Times New Roman" w:hAnsi="Times New Roman" w:eastAsia="仿宋" w:cs="Times New Roman"/>
          <w:szCs w:val="21"/>
        </w:rPr>
        <w:t>2第（7）（8）所示。可以看出，政策冲击的系数与</w:t>
      </w:r>
      <w:r>
        <w:rPr>
          <w:rFonts w:hint="eastAsia" w:ascii="Times New Roman" w:hAnsi="Times New Roman" w:eastAsia="仿宋" w:cs="Times New Roman"/>
          <w:szCs w:val="21"/>
        </w:rPr>
        <w:t>正文中</w:t>
      </w:r>
      <w:r>
        <w:rPr>
          <w:rFonts w:ascii="Times New Roman" w:hAnsi="Times New Roman" w:eastAsia="仿宋" w:cs="Times New Roman"/>
          <w:szCs w:val="21"/>
        </w:rPr>
        <w:t>表1中几乎无异，因此企业迁移因素的影响对本文自贸区贸促效应的识别不构成重大威胁。</w:t>
      </w:r>
    </w:p>
    <w:p>
      <w:pPr>
        <w:rPr>
          <w:rFonts w:ascii="Times New Roman" w:hAnsi="Times New Roman" w:eastAsia="仿宋" w:cs="Times New Roman"/>
          <w:sz w:val="24"/>
          <w:szCs w:val="24"/>
        </w:rPr>
      </w:pPr>
    </w:p>
    <w:p>
      <w:pPr>
        <w:pStyle w:val="6"/>
        <w:keepNext/>
        <w:jc w:val="center"/>
        <w:rPr>
          <w:rFonts w:hint="eastAsia" w:ascii="黑体" w:hAnsi="黑体" w:eastAsia="黑体" w:cs="黑体"/>
          <w:sz w:val="18"/>
          <w:szCs w:val="18"/>
        </w:rPr>
      </w:pPr>
      <w:bookmarkStart w:id="2" w:name="_Hlk112254574"/>
      <w:r>
        <w:rPr>
          <w:rFonts w:hint="eastAsia" w:ascii="黑体" w:hAnsi="黑体" w:eastAsia="黑体" w:cs="黑体"/>
          <w:sz w:val="18"/>
          <w:szCs w:val="18"/>
        </w:rPr>
        <w:t>表Ⅱ2  替代样本分析</w:t>
      </w:r>
    </w:p>
    <w:tbl>
      <w:tblPr>
        <w:tblStyle w:val="13"/>
        <w:tblW w:w="5000" w:type="pct"/>
        <w:jc w:val="center"/>
        <w:tblLayout w:type="autofit"/>
        <w:tblCellMar>
          <w:top w:w="0" w:type="dxa"/>
          <w:left w:w="0" w:type="dxa"/>
          <w:bottom w:w="0" w:type="dxa"/>
          <w:right w:w="0" w:type="dxa"/>
        </w:tblCellMar>
      </w:tblPr>
      <w:tblGrid>
        <w:gridCol w:w="1254"/>
        <w:gridCol w:w="910"/>
        <w:gridCol w:w="915"/>
        <w:gridCol w:w="817"/>
        <w:gridCol w:w="910"/>
        <w:gridCol w:w="796"/>
        <w:gridCol w:w="910"/>
        <w:gridCol w:w="889"/>
        <w:gridCol w:w="905"/>
      </w:tblGrid>
      <w:tr>
        <w:tblPrEx>
          <w:tblCellMar>
            <w:top w:w="0" w:type="dxa"/>
            <w:left w:w="0" w:type="dxa"/>
            <w:bottom w:w="0" w:type="dxa"/>
            <w:right w:w="0" w:type="dxa"/>
          </w:tblCellMar>
        </w:tblPrEx>
        <w:trPr>
          <w:jc w:val="center"/>
        </w:trPr>
        <w:tc>
          <w:tcPr>
            <w:tcW w:w="755" w:type="pct"/>
            <w:tcBorders>
              <w:top w:val="single" w:color="auto" w:sz="12" w:space="0"/>
              <w:lef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1099" w:type="pct"/>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剔除网络边缘个体（接近中心度小于15%分位数）</w:t>
            </w:r>
          </w:p>
        </w:tc>
        <w:tc>
          <w:tcPr>
            <w:tcW w:w="1040" w:type="pct"/>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剔除2008-2014年没有交易记录的企业</w:t>
            </w:r>
          </w:p>
        </w:tc>
        <w:tc>
          <w:tcPr>
            <w:tcW w:w="1027" w:type="pct"/>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限制地理范围（10%，191公里）</w:t>
            </w:r>
          </w:p>
        </w:tc>
        <w:tc>
          <w:tcPr>
            <w:tcW w:w="1079" w:type="pct"/>
            <w:gridSpan w:val="2"/>
            <w:tcBorders>
              <w:top w:val="single" w:color="auto" w:sz="12" w:space="0"/>
              <w:bottom w:val="single" w:color="auto" w:sz="6"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szCs w:val="21"/>
              </w:rPr>
              <w:t>剔除2015-2016年期间地址发生变化的企业样本</w:t>
            </w:r>
          </w:p>
        </w:tc>
      </w:tr>
      <w:tr>
        <w:tblPrEx>
          <w:tblCellMar>
            <w:top w:w="0" w:type="dxa"/>
            <w:left w:w="0" w:type="dxa"/>
            <w:bottom w:w="0" w:type="dxa"/>
            <w:right w:w="0" w:type="dxa"/>
          </w:tblCellMar>
        </w:tblPrEx>
        <w:trPr>
          <w:jc w:val="center"/>
        </w:trPr>
        <w:tc>
          <w:tcPr>
            <w:tcW w:w="755" w:type="pct"/>
            <w:tcBorders>
              <w:lef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被解释变量</w:t>
            </w:r>
          </w:p>
        </w:tc>
        <w:tc>
          <w:tcPr>
            <w:tcW w:w="548" w:type="pct"/>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551" w:type="pct"/>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c>
          <w:tcPr>
            <w:tcW w:w="492" w:type="pct"/>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548" w:type="pct"/>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c>
          <w:tcPr>
            <w:tcW w:w="479" w:type="pct"/>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548" w:type="pct"/>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c>
          <w:tcPr>
            <w:tcW w:w="535" w:type="pct"/>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544" w:type="pct"/>
            <w:tcBorders>
              <w:top w:val="single" w:color="auto" w:sz="6" w:space="0"/>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r>
      <w:tr>
        <w:tblPrEx>
          <w:tblCellMar>
            <w:top w:w="0" w:type="dxa"/>
            <w:left w:w="0" w:type="dxa"/>
            <w:bottom w:w="0" w:type="dxa"/>
            <w:right w:w="0" w:type="dxa"/>
          </w:tblCellMar>
        </w:tblPrEx>
        <w:trPr>
          <w:jc w:val="center"/>
        </w:trPr>
        <w:tc>
          <w:tcPr>
            <w:tcW w:w="755" w:type="pct"/>
            <w:tcBorders>
              <w:left w:val="nil"/>
              <w:bottom w:val="single" w:color="auto" w:sz="4" w:space="0"/>
            </w:tcBorders>
            <w:vAlign w:val="center"/>
          </w:tcPr>
          <w:p>
            <w:pPr>
              <w:autoSpaceDE w:val="0"/>
              <w:autoSpaceDN w:val="0"/>
              <w:adjustRightInd w:val="0"/>
              <w:jc w:val="center"/>
              <w:rPr>
                <w:rFonts w:ascii="Times New Roman" w:hAnsi="Times New Roman" w:eastAsia="等线" w:cs="Times New Roman"/>
                <w:kern w:val="0"/>
                <w:szCs w:val="21"/>
              </w:rPr>
            </w:pPr>
          </w:p>
        </w:tc>
        <w:tc>
          <w:tcPr>
            <w:tcW w:w="548" w:type="pct"/>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w:t>
            </w:r>
          </w:p>
        </w:tc>
        <w:tc>
          <w:tcPr>
            <w:tcW w:w="551" w:type="pct"/>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（2）</w:t>
            </w:r>
          </w:p>
        </w:tc>
        <w:tc>
          <w:tcPr>
            <w:tcW w:w="492" w:type="pct"/>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（3）</w:t>
            </w:r>
          </w:p>
        </w:tc>
        <w:tc>
          <w:tcPr>
            <w:tcW w:w="548" w:type="pct"/>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（4）</w:t>
            </w:r>
          </w:p>
        </w:tc>
        <w:tc>
          <w:tcPr>
            <w:tcW w:w="479" w:type="pct"/>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（5）</w:t>
            </w:r>
          </w:p>
        </w:tc>
        <w:tc>
          <w:tcPr>
            <w:tcW w:w="548" w:type="pct"/>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（6）</w:t>
            </w:r>
          </w:p>
        </w:tc>
        <w:tc>
          <w:tcPr>
            <w:tcW w:w="535" w:type="pct"/>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（7）</w:t>
            </w:r>
          </w:p>
        </w:tc>
        <w:tc>
          <w:tcPr>
            <w:tcW w:w="544" w:type="pct"/>
            <w:tcBorders>
              <w:top w:val="single" w:color="auto" w:sz="6" w:space="0"/>
              <w:bottom w:val="single" w:color="auto" w:sz="4"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（8）</w:t>
            </w:r>
          </w:p>
        </w:tc>
      </w:tr>
      <w:tr>
        <w:tblPrEx>
          <w:tblCellMar>
            <w:top w:w="0" w:type="dxa"/>
            <w:left w:w="0" w:type="dxa"/>
            <w:bottom w:w="0" w:type="dxa"/>
            <w:right w:w="0" w:type="dxa"/>
          </w:tblCellMar>
        </w:tblPrEx>
        <w:trPr>
          <w:jc w:val="center"/>
        </w:trPr>
        <w:tc>
          <w:tcPr>
            <w:tcW w:w="755" w:type="pct"/>
            <w:vMerge w:val="restart"/>
            <w:tcBorders>
              <w:top w:val="single" w:color="auto" w:sz="4" w:space="0"/>
              <w:left w:val="nil"/>
            </w:tcBorders>
            <w:vAlign w:val="center"/>
          </w:tcPr>
          <w:p>
            <w:pPr>
              <w:autoSpaceDE w:val="0"/>
              <w:autoSpaceDN w:val="0"/>
              <w:adjustRightInd w:val="0"/>
              <w:jc w:val="center"/>
              <w:rPr>
                <w:rFonts w:ascii="Times New Roman" w:hAnsi="Times New Roman" w:eastAsia="仿宋" w:cs="Times New Roman"/>
                <w:kern w:val="0"/>
                <w:szCs w:val="21"/>
              </w:rPr>
            </w:pPr>
            <m:oMathPara>
              <m:oMath>
                <m:r>
                  <m:rPr>
                    <m:nor/>
                    <m:sty m:val="p"/>
                  </m:rPr>
                  <w:rPr>
                    <w:rFonts w:ascii="Times New Roman" w:hAnsi="Times New Roman" w:eastAsia="仿宋" w:cs="Times New Roman"/>
                    <w:kern w:val="0"/>
                    <w:szCs w:val="21"/>
                  </w:rPr>
                  <m:t>自贸区×</m:t>
                </m:r>
                <m:sSub>
                  <m:sSubPr>
                    <m:ctrlPr>
                      <w:rPr>
                        <w:rFonts w:ascii="Cambria Math" w:hAnsi="Cambria Math" w:eastAsia="仿宋" w:cs="Times New Roman"/>
                        <w:kern w:val="0"/>
                        <w:szCs w:val="21"/>
                      </w:rPr>
                    </m:ctrlPr>
                  </m:sSubPr>
                  <m:e>
                    <m:r>
                      <m:rPr/>
                      <w:rPr>
                        <w:rFonts w:ascii="Cambria Math" w:hAnsi="Cambria Math" w:eastAsia="仿宋" w:cs="Times New Roman"/>
                        <w:kern w:val="0"/>
                        <w:szCs w:val="21"/>
                      </w:rPr>
                      <m:t>Post</m:t>
                    </m:r>
                    <m:ctrlPr>
                      <w:rPr>
                        <w:rFonts w:ascii="Cambria Math" w:hAnsi="Cambria Math" w:eastAsia="仿宋" w:cs="Times New Roman"/>
                        <w:kern w:val="0"/>
                        <w:szCs w:val="21"/>
                      </w:rPr>
                    </m:ctrlPr>
                  </m:e>
                  <m:sub>
                    <m:r>
                      <m:rPr/>
                      <w:rPr>
                        <w:rFonts w:ascii="Cambria Math" w:hAnsi="Cambria Math" w:eastAsia="仿宋" w:cs="Times New Roman"/>
                        <w:kern w:val="0"/>
                        <w:szCs w:val="21"/>
                      </w:rPr>
                      <m:t>t</m:t>
                    </m:r>
                    <m:ctrlPr>
                      <w:rPr>
                        <w:rFonts w:ascii="Cambria Math" w:hAnsi="Cambria Math" w:eastAsia="仿宋" w:cs="Times New Roman"/>
                        <w:kern w:val="0"/>
                        <w:szCs w:val="21"/>
                      </w:rPr>
                    </m:ctrlPr>
                  </m:sub>
                </m:sSub>
              </m:oMath>
            </m:oMathPara>
          </w:p>
        </w:tc>
        <w:tc>
          <w:tcPr>
            <w:tcW w:w="548" w:type="pct"/>
            <w:tcBorders>
              <w:top w:val="single" w:color="auto" w:sz="4" w:space="0"/>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0.118</w:t>
            </w:r>
            <w:r>
              <w:rPr>
                <w:rFonts w:ascii="Times New Roman" w:hAnsi="Times New Roman" w:eastAsia="仿宋" w:cs="Times New Roman"/>
                <w:kern w:val="0"/>
                <w:szCs w:val="21"/>
                <w:vertAlign w:val="superscript"/>
              </w:rPr>
              <w:t>*</w:t>
            </w:r>
          </w:p>
        </w:tc>
        <w:tc>
          <w:tcPr>
            <w:tcW w:w="551" w:type="pct"/>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2.419</w:t>
            </w:r>
            <w:r>
              <w:rPr>
                <w:rFonts w:ascii="Times New Roman" w:hAnsi="Times New Roman" w:cs="Times New Roman"/>
                <w:kern w:val="0"/>
                <w:szCs w:val="21"/>
                <w:vertAlign w:val="superscript"/>
              </w:rPr>
              <w:t>***</w:t>
            </w:r>
          </w:p>
        </w:tc>
        <w:tc>
          <w:tcPr>
            <w:tcW w:w="492" w:type="pct"/>
            <w:tcBorders>
              <w:top w:val="single" w:color="auto" w:sz="4" w:space="0"/>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0.121</w:t>
            </w:r>
            <w:r>
              <w:rPr>
                <w:rFonts w:ascii="Times New Roman" w:hAnsi="Times New Roman" w:eastAsia="仿宋" w:cs="Times New Roman"/>
                <w:kern w:val="0"/>
                <w:szCs w:val="21"/>
                <w:vertAlign w:val="superscript"/>
              </w:rPr>
              <w:t>*</w:t>
            </w:r>
          </w:p>
        </w:tc>
        <w:tc>
          <w:tcPr>
            <w:tcW w:w="548" w:type="pct"/>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3.587</w:t>
            </w:r>
            <w:r>
              <w:rPr>
                <w:rFonts w:ascii="Times New Roman" w:hAnsi="Times New Roman" w:cs="Times New Roman"/>
                <w:kern w:val="0"/>
                <w:szCs w:val="21"/>
                <w:vertAlign w:val="superscript"/>
              </w:rPr>
              <w:t>**</w:t>
            </w:r>
          </w:p>
        </w:tc>
        <w:tc>
          <w:tcPr>
            <w:tcW w:w="479" w:type="pct"/>
            <w:tcBorders>
              <w:top w:val="single" w:color="auto" w:sz="4" w:space="0"/>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0.386</w:t>
            </w:r>
            <w:r>
              <w:rPr>
                <w:rFonts w:ascii="Times New Roman" w:hAnsi="Times New Roman" w:eastAsia="仿宋" w:cs="Times New Roman"/>
                <w:kern w:val="0"/>
                <w:szCs w:val="21"/>
                <w:vertAlign w:val="superscript"/>
              </w:rPr>
              <w:t>***</w:t>
            </w:r>
          </w:p>
        </w:tc>
        <w:tc>
          <w:tcPr>
            <w:tcW w:w="548" w:type="pct"/>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4.429</w:t>
            </w:r>
            <w:r>
              <w:rPr>
                <w:rFonts w:ascii="Times New Roman" w:hAnsi="Times New Roman" w:cs="Times New Roman"/>
                <w:kern w:val="0"/>
                <w:szCs w:val="21"/>
                <w:vertAlign w:val="superscript"/>
              </w:rPr>
              <w:t>**</w:t>
            </w:r>
          </w:p>
        </w:tc>
        <w:tc>
          <w:tcPr>
            <w:tcW w:w="535" w:type="pct"/>
            <w:tcBorders>
              <w:top w:val="single" w:color="auto" w:sz="4" w:space="0"/>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0.130</w:t>
            </w:r>
            <w:r>
              <w:rPr>
                <w:rFonts w:ascii="Times New Roman" w:hAnsi="Times New Roman" w:eastAsia="仿宋" w:cs="Times New Roman"/>
                <w:kern w:val="0"/>
                <w:szCs w:val="21"/>
                <w:vertAlign w:val="superscript"/>
              </w:rPr>
              <w:t>*</w:t>
            </w:r>
          </w:p>
        </w:tc>
        <w:tc>
          <w:tcPr>
            <w:tcW w:w="544" w:type="pct"/>
            <w:tcBorders>
              <w:top w:val="single" w:color="auto" w:sz="4" w:space="0"/>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3.906</w:t>
            </w:r>
            <w:r>
              <w:rPr>
                <w:rFonts w:ascii="Times New Roman" w:hAnsi="Times New Roman" w:cs="Times New Roman"/>
                <w:kern w:val="0"/>
                <w:szCs w:val="21"/>
                <w:vertAlign w:val="superscript"/>
              </w:rPr>
              <w:t>**</w:t>
            </w:r>
          </w:p>
        </w:tc>
      </w:tr>
      <w:tr>
        <w:tblPrEx>
          <w:tblCellMar>
            <w:top w:w="0" w:type="dxa"/>
            <w:left w:w="0" w:type="dxa"/>
            <w:bottom w:w="0" w:type="dxa"/>
            <w:right w:w="0" w:type="dxa"/>
          </w:tblCellMar>
        </w:tblPrEx>
        <w:trPr>
          <w:jc w:val="center"/>
        </w:trPr>
        <w:tc>
          <w:tcPr>
            <w:tcW w:w="755" w:type="pct"/>
            <w:vMerge w:val="continue"/>
            <w:tcBorders>
              <w:left w:val="nil"/>
              <w:bottom w:val="nil"/>
            </w:tcBorders>
            <w:vAlign w:val="center"/>
          </w:tcPr>
          <w:p>
            <w:pPr>
              <w:autoSpaceDE w:val="0"/>
              <w:autoSpaceDN w:val="0"/>
              <w:adjustRightInd w:val="0"/>
              <w:jc w:val="center"/>
              <w:rPr>
                <w:rFonts w:ascii="Times New Roman" w:hAnsi="Times New Roman" w:eastAsia="仿宋" w:cs="Times New Roman"/>
                <w:kern w:val="0"/>
                <w:szCs w:val="21"/>
              </w:rPr>
            </w:pPr>
          </w:p>
        </w:tc>
        <w:tc>
          <w:tcPr>
            <w:tcW w:w="548" w:type="pct"/>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(0.072)</w:t>
            </w:r>
          </w:p>
        </w:tc>
        <w:tc>
          <w:tcPr>
            <w:tcW w:w="551"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(0.561)</w:t>
            </w:r>
          </w:p>
        </w:tc>
        <w:tc>
          <w:tcPr>
            <w:tcW w:w="492" w:type="pct"/>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(0.072)</w:t>
            </w:r>
          </w:p>
        </w:tc>
        <w:tc>
          <w:tcPr>
            <w:tcW w:w="548"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(1.723)</w:t>
            </w:r>
          </w:p>
        </w:tc>
        <w:tc>
          <w:tcPr>
            <w:tcW w:w="479" w:type="pct"/>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(0.079)</w:t>
            </w:r>
          </w:p>
        </w:tc>
        <w:tc>
          <w:tcPr>
            <w:tcW w:w="548"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(2.125)</w:t>
            </w:r>
          </w:p>
        </w:tc>
        <w:tc>
          <w:tcPr>
            <w:tcW w:w="535" w:type="pct"/>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(0.073)</w:t>
            </w:r>
          </w:p>
        </w:tc>
        <w:tc>
          <w:tcPr>
            <w:tcW w:w="544" w:type="pct"/>
            <w:tcBorders>
              <w:top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(1.962)</w:t>
            </w:r>
          </w:p>
        </w:tc>
      </w:tr>
      <w:tr>
        <w:tblPrEx>
          <w:tblCellMar>
            <w:top w:w="0" w:type="dxa"/>
            <w:left w:w="0" w:type="dxa"/>
            <w:bottom w:w="0" w:type="dxa"/>
            <w:right w:w="0" w:type="dxa"/>
          </w:tblCellMar>
        </w:tblPrEx>
        <w:trPr>
          <w:jc w:val="center"/>
        </w:trPr>
        <w:tc>
          <w:tcPr>
            <w:tcW w:w="755" w:type="pct"/>
            <w:tcBorders>
              <w:top w:val="nil"/>
              <w:left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控制变量</w:t>
            </w:r>
          </w:p>
        </w:tc>
        <w:tc>
          <w:tcPr>
            <w:tcW w:w="548"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51"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92"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48"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79"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48"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35"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44" w:type="pct"/>
            <w:tcBorders>
              <w:top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CellMar>
            <w:top w:w="0" w:type="dxa"/>
            <w:left w:w="0" w:type="dxa"/>
            <w:bottom w:w="0" w:type="dxa"/>
            <w:right w:w="0" w:type="dxa"/>
          </w:tblCellMar>
        </w:tblPrEx>
        <w:trPr>
          <w:jc w:val="center"/>
        </w:trPr>
        <w:tc>
          <w:tcPr>
            <w:tcW w:w="755" w:type="pct"/>
            <w:tcBorders>
              <w:top w:val="nil"/>
              <w:left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企业 FE</w:t>
            </w:r>
          </w:p>
        </w:tc>
        <w:tc>
          <w:tcPr>
            <w:tcW w:w="548"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51"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92"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48"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79"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48"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35" w:type="pct"/>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44" w:type="pct"/>
            <w:tcBorders>
              <w:top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5"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年份 FE</w:t>
            </w:r>
          </w:p>
        </w:tc>
        <w:tc>
          <w:tcPr>
            <w:tcW w:w="54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51"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92"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4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7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4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35"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544"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5"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Observations</w:t>
            </w:r>
          </w:p>
        </w:tc>
        <w:tc>
          <w:tcPr>
            <w:tcW w:w="54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164 425</w:t>
            </w:r>
          </w:p>
        </w:tc>
        <w:tc>
          <w:tcPr>
            <w:tcW w:w="551"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133 040</w:t>
            </w:r>
          </w:p>
        </w:tc>
        <w:tc>
          <w:tcPr>
            <w:tcW w:w="492"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172 472</w:t>
            </w:r>
          </w:p>
        </w:tc>
        <w:tc>
          <w:tcPr>
            <w:tcW w:w="54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141 459</w:t>
            </w:r>
          </w:p>
        </w:tc>
        <w:tc>
          <w:tcPr>
            <w:tcW w:w="47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15 425</w:t>
            </w:r>
          </w:p>
        </w:tc>
        <w:tc>
          <w:tcPr>
            <w:tcW w:w="54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11 969</w:t>
            </w:r>
          </w:p>
        </w:tc>
        <w:tc>
          <w:tcPr>
            <w:tcW w:w="535"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175 597</w:t>
            </w:r>
          </w:p>
        </w:tc>
        <w:tc>
          <w:tcPr>
            <w:tcW w:w="544"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141 325</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5"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R-squared</w:t>
            </w:r>
          </w:p>
        </w:tc>
        <w:tc>
          <w:tcPr>
            <w:tcW w:w="548"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0.821</w:t>
            </w:r>
          </w:p>
        </w:tc>
        <w:tc>
          <w:tcPr>
            <w:tcW w:w="551" w:type="pct"/>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0.317</w:t>
            </w:r>
          </w:p>
        </w:tc>
        <w:tc>
          <w:tcPr>
            <w:tcW w:w="492"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0.810</w:t>
            </w:r>
          </w:p>
        </w:tc>
        <w:tc>
          <w:tcPr>
            <w:tcW w:w="548" w:type="pct"/>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0.322</w:t>
            </w:r>
          </w:p>
        </w:tc>
        <w:tc>
          <w:tcPr>
            <w:tcW w:w="479"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0.825</w:t>
            </w:r>
          </w:p>
        </w:tc>
        <w:tc>
          <w:tcPr>
            <w:tcW w:w="548" w:type="pct"/>
            <w:tcBorders>
              <w:top w:val="nil"/>
              <w:left w:val="nil"/>
              <w:bottom w:val="single" w:color="auto" w:sz="12" w:space="0"/>
              <w:right w:val="nil"/>
            </w:tcBorders>
          </w:tcPr>
          <w:p>
            <w:pPr>
              <w:keepNext/>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0.345</w:t>
            </w:r>
          </w:p>
        </w:tc>
        <w:tc>
          <w:tcPr>
            <w:tcW w:w="535" w:type="pct"/>
            <w:tcBorders>
              <w:top w:val="nil"/>
              <w:left w:val="nil"/>
              <w:bottom w:val="single" w:color="auto" w:sz="12" w:space="0"/>
              <w:right w:val="nil"/>
            </w:tcBorders>
            <w:vAlign w:val="center"/>
          </w:tcPr>
          <w:p>
            <w:pPr>
              <w:keepNext/>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0.818</w:t>
            </w:r>
          </w:p>
        </w:tc>
        <w:tc>
          <w:tcPr>
            <w:tcW w:w="544" w:type="pct"/>
            <w:tcBorders>
              <w:top w:val="nil"/>
              <w:left w:val="nil"/>
              <w:bottom w:val="single" w:color="auto" w:sz="12" w:space="0"/>
              <w:right w:val="nil"/>
            </w:tcBorders>
          </w:tcPr>
          <w:p>
            <w:pPr>
              <w:keepNext/>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0.331</w:t>
            </w:r>
          </w:p>
        </w:tc>
      </w:tr>
    </w:tbl>
    <w:p>
      <w:pPr>
        <w:ind w:firstLine="420" w:firstLineChars="200"/>
        <w:rPr>
          <w:rFonts w:ascii="Times New Roman" w:hAnsi="Times New Roman" w:eastAsia="仿宋" w:cs="Times New Roman"/>
        </w:rPr>
      </w:pPr>
    </w:p>
    <w:bookmarkEnd w:id="2"/>
    <w:p>
      <w:pPr>
        <w:rPr>
          <w:rFonts w:ascii="Times New Roman" w:hAnsi="Times New Roman" w:eastAsia="仿宋" w:cs="Times New Roman"/>
        </w:rPr>
      </w:pPr>
    </w:p>
    <w:p>
      <w:pPr>
        <w:ind w:firstLine="422" w:firstLineChars="200"/>
        <w:rPr>
          <w:rFonts w:ascii="Times New Roman" w:hAnsi="Times New Roman" w:eastAsia="仿宋" w:cs="Times New Roman"/>
          <w:b/>
          <w:bCs/>
        </w:rPr>
      </w:pPr>
      <w:r>
        <w:rPr>
          <w:rFonts w:ascii="Times New Roman" w:hAnsi="Times New Roman" w:eastAsia="仿宋" w:cs="Times New Roman"/>
          <w:b/>
          <w:bCs/>
        </w:rPr>
        <w:t>4．竞争性政策分析</w:t>
      </w:r>
    </w:p>
    <w:p>
      <w:pPr>
        <w:ind w:firstLine="420" w:firstLineChars="200"/>
        <w:rPr>
          <w:rFonts w:ascii="Times New Roman" w:hAnsi="Times New Roman" w:eastAsia="仿宋" w:cs="Times New Roman"/>
        </w:rPr>
      </w:pPr>
      <w:r>
        <w:rPr>
          <w:rFonts w:ascii="Times New Roman" w:hAnsi="Times New Roman" w:eastAsia="仿宋" w:cs="Times New Roman"/>
        </w:rPr>
        <w:t>首先，我们需要剔除“营改增”带来的可能影响 。服务业由征收营业税改征增值税是最近十年我国主要税改政策之一，改革力度强且涉及面广，其所影响的增值税正是本文所使用的主要数据，同时该政策发生时间正好与本文所讨论的自贸区成立时间相近，所以我们必须排除其对本研究带来的不确定性。从2012年11月起，福建省开始进行“营改增”试点，当年只涉及行业有交通运输业与现代服务业，到2013年和2014年又涵盖了广播电视业、铁路运输业以及邮政服务业，最终在2016年5月全面推广到建筑业、房地业、金融业和和生活服务业。</w:t>
      </w:r>
    </w:p>
    <w:p>
      <w:pPr>
        <w:ind w:firstLine="420" w:firstLineChars="200"/>
        <w:rPr>
          <w:rFonts w:ascii="Times New Roman" w:hAnsi="Times New Roman" w:eastAsia="仿宋" w:cs="Times New Roman"/>
        </w:rPr>
      </w:pPr>
      <w:r>
        <w:rPr>
          <w:rFonts w:ascii="Times New Roman" w:hAnsi="Times New Roman" w:eastAsia="仿宋" w:cs="Times New Roman"/>
        </w:rPr>
        <w:t>由于营改增会产生一定的减税和分工效应（范子英和彭飞，2017；梁若冰和叶一帆，2016），对地区产业链整合有可能产生一定影响，故本文采取两种办法试图消除“营改增”政策带来的干扰：第一，本文将所有处于服务业的企业整体剔除，以获取完全不受影响的样本和回归结果，具体见</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4</w:t>
      </w:r>
      <w:r>
        <w:rPr>
          <w:rFonts w:ascii="Times New Roman" w:hAnsi="Times New Roman" w:eastAsia="仿宋" w:cs="Times New Roman"/>
        </w:rPr>
        <w:t>第（1）（2）列；第二，由于前期的改革均发生在自贸区成立之前，使得受税改政策的企业在自贸区成立前后均有观测记录，而最后一次相关行业改革发生在2016年，导致这部分行业的企业经营活动在自贸区成立之后才进入增值税数据，因此本文将2016年中受“营改增”影响较大的行业剔除以保证数据前后可比，具体结果见</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4</w:t>
      </w:r>
      <w:r>
        <w:rPr>
          <w:rFonts w:ascii="Times New Roman" w:hAnsi="Times New Roman" w:eastAsia="仿宋" w:cs="Times New Roman"/>
        </w:rPr>
        <w:t>第（3）（4）列。</w:t>
      </w:r>
    </w:p>
    <w:p>
      <w:pPr>
        <w:ind w:firstLine="420" w:firstLineChars="200"/>
        <w:rPr>
          <w:rFonts w:ascii="Times New Roman" w:hAnsi="Times New Roman" w:eastAsia="仿宋" w:cs="Times New Roman"/>
        </w:rPr>
      </w:pPr>
      <w:r>
        <w:rPr>
          <w:rFonts w:ascii="Times New Roman" w:hAnsi="Times New Roman" w:eastAsia="仿宋" w:cs="Times New Roman"/>
        </w:rPr>
        <w:t>其次，本文剔除了金融危机的影响。2008-2009年，美国次贷危机蔓延全球，考虑到其对全球金融和贸易可能产生重要影响（何德旭等，2021），因而按照颜海明和戴国强(2015)的研究将受影响较大的行业设置虚拟变量加入模型，以排除跨市场干扰，具体结果见</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4</w:t>
      </w:r>
      <w:r>
        <w:rPr>
          <w:rFonts w:ascii="Times New Roman" w:hAnsi="Times New Roman" w:eastAsia="仿宋" w:cs="Times New Roman"/>
        </w:rPr>
        <w:t>第（5）（6）列。</w:t>
      </w:r>
    </w:p>
    <w:p>
      <w:pPr>
        <w:ind w:firstLine="420" w:firstLineChars="200"/>
        <w:rPr>
          <w:rFonts w:ascii="仿宋" w:hAnsi="仿宋" w:eastAsia="仿宋"/>
          <w:szCs w:val="21"/>
        </w:rPr>
      </w:pPr>
      <w:r>
        <w:rPr>
          <w:rFonts w:hint="eastAsia" w:ascii="仿宋" w:hAnsi="仿宋" w:eastAsia="仿宋"/>
          <w:szCs w:val="21"/>
        </w:rPr>
        <w:t>再次，在</w:t>
      </w:r>
      <w:r>
        <w:rPr>
          <w:rFonts w:ascii="仿宋" w:hAnsi="仿宋" w:eastAsia="仿宋"/>
          <w:szCs w:val="21"/>
        </w:rPr>
        <w:t>1992</w:t>
      </w:r>
      <w:r>
        <w:rPr>
          <w:rFonts w:hint="eastAsia" w:ascii="仿宋" w:hAnsi="仿宋" w:eastAsia="仿宋"/>
          <w:szCs w:val="21"/>
        </w:rPr>
        <w:t>-</w:t>
      </w:r>
      <w:r>
        <w:rPr>
          <w:rFonts w:ascii="仿宋" w:hAnsi="仿宋" w:eastAsia="仿宋"/>
          <w:szCs w:val="21"/>
        </w:rPr>
        <w:t>2016</w:t>
      </w:r>
      <w:r>
        <w:rPr>
          <w:rFonts w:hint="eastAsia" w:ascii="仿宋" w:hAnsi="仿宋" w:eastAsia="仿宋"/>
          <w:szCs w:val="21"/>
        </w:rPr>
        <w:t>年间，福建省的部分城市有设立多种国家级开发区，包括经开区、高新区等，这些开发区在政策扶持方面与本文讨论的福建省自贸试验区可能有相似之处，因此有必要将其作为竞争性政策加入模型进行稳健性检验。第一，我们根据《中国开发区审核公告目录》(201</w:t>
      </w:r>
      <w:r>
        <w:rPr>
          <w:rFonts w:ascii="仿宋" w:hAnsi="仿宋" w:eastAsia="仿宋"/>
          <w:szCs w:val="21"/>
        </w:rPr>
        <w:t>8</w:t>
      </w:r>
      <w:r>
        <w:rPr>
          <w:rFonts w:hint="eastAsia" w:ascii="仿宋" w:hAnsi="仿宋" w:eastAsia="仿宋"/>
          <w:szCs w:val="21"/>
        </w:rPr>
        <w:t>年版本)确定开发区样本是福建省3</w:t>
      </w:r>
      <w:r>
        <w:rPr>
          <w:rFonts w:ascii="仿宋" w:hAnsi="仿宋" w:eastAsia="仿宋"/>
          <w:szCs w:val="21"/>
        </w:rPr>
        <w:t>0</w:t>
      </w:r>
      <w:r>
        <w:rPr>
          <w:rFonts w:hint="eastAsia" w:ascii="仿宋" w:hAnsi="仿宋" w:eastAsia="仿宋"/>
          <w:szCs w:val="21"/>
        </w:rPr>
        <w:t>个国家级开发区。参考开发区官网信息和</w:t>
      </w:r>
      <w:r>
        <w:rPr>
          <w:rFonts w:ascii="仿宋" w:hAnsi="仿宋" w:eastAsia="仿宋"/>
          <w:szCs w:val="21"/>
        </w:rPr>
        <w:t>《国家级开发区四至范围公告目录》</w:t>
      </w:r>
      <w:r>
        <w:rPr>
          <w:rFonts w:hint="eastAsia" w:ascii="仿宋" w:hAnsi="仿宋" w:eastAsia="仿宋"/>
          <w:szCs w:val="21"/>
        </w:rPr>
        <w:t>，作出每个开发区的底图。具体分布如</w:t>
      </w:r>
      <w:r>
        <w:rPr>
          <w:rFonts w:hint="eastAsia" w:ascii="Times New Roman" w:hAnsi="Times New Roman" w:eastAsia="仿宋" w:cs="Times New Roman"/>
          <w:szCs w:val="21"/>
        </w:rPr>
        <w:t>图Ⅱ</w:t>
      </w:r>
      <w:r>
        <w:rPr>
          <w:rFonts w:ascii="Times New Roman" w:hAnsi="Times New Roman" w:eastAsia="仿宋" w:cs="Times New Roman"/>
          <w:szCs w:val="21"/>
        </w:rPr>
        <w:t>3</w:t>
      </w:r>
      <w:r>
        <w:rPr>
          <w:rFonts w:hint="eastAsia" w:ascii="仿宋" w:hAnsi="仿宋" w:eastAsia="仿宋"/>
          <w:szCs w:val="21"/>
        </w:rPr>
        <w:t>所示。第二，我们结合企业经纬度信息和开发区底图，识别企业是否在开发区中，</w:t>
      </w:r>
      <w:r>
        <w:rPr>
          <w:rFonts w:ascii="仿宋" w:hAnsi="仿宋" w:eastAsia="仿宋"/>
          <w:szCs w:val="21"/>
        </w:rPr>
        <w:t>SEZ_ID</w:t>
      </w:r>
      <w:r>
        <w:rPr>
          <w:rFonts w:hint="eastAsia" w:ascii="仿宋" w:hAnsi="仿宋" w:eastAsia="仿宋"/>
          <w:szCs w:val="21"/>
        </w:rPr>
        <w:t>表示开发区的代码，具体统计信息如</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3</w:t>
      </w:r>
      <w:r>
        <w:rPr>
          <w:rFonts w:hint="eastAsia" w:ascii="仿宋" w:hAnsi="仿宋" w:eastAsia="仿宋"/>
          <w:szCs w:val="21"/>
        </w:rPr>
        <w:t>所示。我们根据企业是否在开发区内，将国家级开发区建立作为冲击放入本文初始模型中，即：</w:t>
      </w:r>
    </w:p>
    <w:p>
      <w:pPr>
        <w:ind w:firstLine="420" w:firstLineChars="200"/>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Y</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仿宋" w:cs="Times New Roman"/>
            <w:szCs w:val="21"/>
          </w:rPr>
          <m:t>=α+</m:t>
        </m:r>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ascii="Cambria Math" w:hAnsi="Cambria Math" w:eastAsia="仿宋" w:cs="Times New Roman"/>
                <w:szCs w:val="21"/>
              </w:rPr>
              <m:t>1</m:t>
            </m:r>
            <m:ctrlPr>
              <w:rPr>
                <w:rFonts w:ascii="Cambria Math" w:hAnsi="Cambria Math" w:eastAsia="仿宋" w:cs="Times New Roman"/>
                <w:i/>
                <w:szCs w:val="21"/>
              </w:rPr>
            </m:ctrlPr>
          </m:sub>
        </m:sSub>
        <m:sSub>
          <m:sSubPr>
            <m:ctrlPr>
              <w:rPr>
                <w:rFonts w:ascii="Cambria Math" w:hAnsi="Cambria Math" w:eastAsia="仿宋" w:cs="Times New Roman"/>
                <w:szCs w:val="21"/>
              </w:rPr>
            </m:ctrlPr>
          </m:sSubPr>
          <m:e>
            <m:r>
              <m:rPr/>
              <w:rPr>
                <w:rFonts w:ascii="Cambria Math" w:hAnsi="Cambria Math" w:eastAsia="仿宋" w:cs="Times New Roman"/>
                <w:szCs w:val="21"/>
              </w:rPr>
              <m:t>PFTZ</m:t>
            </m:r>
            <m:ctrlPr>
              <w:rPr>
                <w:rFonts w:ascii="Cambria Math" w:hAnsi="Cambria Math" w:eastAsia="仿宋" w:cs="Times New Roman"/>
                <w:szCs w:val="21"/>
              </w:rPr>
            </m:ctrlPr>
          </m:e>
          <m:sub>
            <m:r>
              <m:rPr/>
              <w:rPr>
                <w:rFonts w:ascii="Cambria Math" w:hAnsi="Cambria Math" w:eastAsia="仿宋" w:cs="Times New Roman"/>
                <w:szCs w:val="21"/>
              </w:rPr>
              <m:t>i</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Post</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ascii="Cambria Math" w:hAnsi="Cambria Math" w:eastAsia="仿宋" w:cs="Times New Roman"/>
                <w:szCs w:val="21"/>
              </w:rPr>
              <m:t>2</m:t>
            </m:r>
            <m:ctrlPr>
              <w:rPr>
                <w:rFonts w:ascii="Cambria Math" w:hAnsi="Cambria Math" w:eastAsia="仿宋" w:cs="Times New Roman"/>
                <w:i/>
                <w:szCs w:val="21"/>
              </w:rPr>
            </m:ctrlPr>
          </m:sub>
        </m:sSub>
        <m:sSub>
          <m:sSubPr>
            <m:ctrlPr>
              <w:rPr>
                <w:rFonts w:ascii="Cambria Math" w:hAnsi="Cambria Math" w:eastAsia="仿宋" w:cs="Times New Roman"/>
                <w:szCs w:val="21"/>
              </w:rPr>
            </m:ctrlPr>
          </m:sSubPr>
          <m:e>
            <m:r>
              <m:rPr/>
              <w:rPr>
                <w:rFonts w:hint="eastAsia" w:ascii="Cambria Math" w:hAnsi="Cambria Math" w:eastAsia="仿宋" w:cs="Times New Roman"/>
                <w:szCs w:val="21"/>
              </w:rPr>
              <m:t>DZ</m:t>
            </m:r>
            <m:ctrlPr>
              <w:rPr>
                <w:rFonts w:ascii="Cambria Math" w:hAnsi="Cambria Math" w:eastAsia="仿宋" w:cs="Times New Roman"/>
                <w:szCs w:val="21"/>
              </w:rPr>
            </m:ctrlPr>
          </m:e>
          <m:sub>
            <m:r>
              <m:rPr/>
              <w:rPr>
                <w:rFonts w:ascii="Cambria Math" w:hAnsi="Cambria Math" w:eastAsia="仿宋" w:cs="Times New Roman"/>
                <w:szCs w:val="21"/>
              </w:rPr>
              <m:t>i</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i/>
                <w:iCs/>
                <w:szCs w:val="21"/>
              </w:rPr>
            </m:ctrlPr>
          </m:sSubSupPr>
          <m:e>
            <m:r>
              <m:rPr/>
              <w:rPr>
                <w:rFonts w:hint="eastAsia" w:ascii="Cambria Math" w:hAnsi="Cambria Math" w:eastAsia="仿宋" w:cs="Times New Roman"/>
                <w:szCs w:val="21"/>
              </w:rPr>
              <m:t>Post</m:t>
            </m:r>
            <m:ctrlPr>
              <w:rPr>
                <w:rFonts w:ascii="Cambria Math" w:hAnsi="Cambria Math" w:eastAsia="仿宋" w:cs="Times New Roman"/>
                <w:i/>
                <w:iCs/>
                <w:szCs w:val="21"/>
              </w:rPr>
            </m:ctrlPr>
          </m:e>
          <m:sub>
            <m:r>
              <m:rPr/>
              <w:rPr>
                <w:rFonts w:ascii="Cambria Math" w:hAnsi="Cambria Math" w:eastAsia="仿宋" w:cs="Times New Roman"/>
                <w:szCs w:val="21"/>
              </w:rPr>
              <m:t>it</m:t>
            </m:r>
            <m:ctrlPr>
              <w:rPr>
                <w:rFonts w:ascii="Cambria Math" w:hAnsi="Cambria Math" w:eastAsia="仿宋" w:cs="Times New Roman"/>
                <w:i/>
                <w:iCs/>
                <w:szCs w:val="21"/>
              </w:rPr>
            </m:ctrlPr>
          </m:sub>
          <m:sup>
            <m:r>
              <m:rPr/>
              <w:rPr>
                <w:rFonts w:ascii="Cambria Math" w:hAnsi="Cambria Math" w:eastAsia="仿宋" w:cs="Times New Roman"/>
                <w:szCs w:val="21"/>
              </w:rPr>
              <m:t>k</m:t>
            </m:r>
            <m:ctrlPr>
              <w:rPr>
                <w:rFonts w:ascii="Cambria Math" w:hAnsi="Cambria Math" w:eastAsia="仿宋" w:cs="Times New Roman"/>
                <w:i/>
                <w:iCs/>
                <w:szCs w:val="21"/>
              </w:rPr>
            </m:ctrlPr>
          </m:sup>
        </m:sSubSup>
        <m:r>
          <m:rPr>
            <m:sty m:val="p"/>
          </m:rPr>
          <w:rPr>
            <w:rFonts w:ascii="Cambria Math" w:hAnsi="Cambria Math" w:eastAsia="仿宋" w:cs="Times New Roman"/>
            <w:szCs w:val="21"/>
          </w:rPr>
          <m:t>+</m:t>
        </m:r>
        <m:r>
          <m:rPr/>
          <w:rPr>
            <w:rFonts w:ascii="Cambria Math" w:hAnsi="Cambria Math" w:eastAsia="仿宋" w:cs="Times New Roman"/>
            <w:szCs w:val="21"/>
          </w:rPr>
          <m:t>Φ</m:t>
        </m:r>
        <m:r>
          <m:rPr>
            <m:sty m:val="b"/>
          </m:rPr>
          <w:rPr>
            <w:rFonts w:ascii="Cambria Math" w:hAnsi="Cambria Math" w:eastAsia="仿宋" w:cs="Times New Roman"/>
            <w:szCs w:val="21"/>
          </w:rPr>
          <m:t>X</m:t>
        </m:r>
        <m:r>
          <m:rPr>
            <m:sty m:val="p"/>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μ</m:t>
            </m:r>
            <m:ctrlPr>
              <w:rPr>
                <w:rFonts w:ascii="Cambria Math" w:hAnsi="Cambria Math" w:eastAsia="仿宋" w:cs="Times New Roman"/>
                <w:i/>
                <w:szCs w:val="21"/>
              </w:rPr>
            </m:ctrlPr>
          </m:e>
          <m:sub>
            <m:r>
              <m:rPr/>
              <w:rPr>
                <w:rFonts w:ascii="Cambria Math" w:hAnsi="Cambria Math" w:eastAsia="仿宋" w:cs="Times New Roman"/>
                <w:szCs w:val="21"/>
              </w:rPr>
              <m:t>i</m:t>
            </m:r>
            <m:ctrlPr>
              <w:rPr>
                <w:rFonts w:ascii="Cambria Math" w:hAnsi="Cambria Math" w:eastAsia="仿宋" w:cs="Times New Roman"/>
                <w:i/>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η</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s</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η</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oMath>
      <w:r>
        <w:rPr>
          <w:rFonts w:hint="eastAsia" w:ascii="Times New Roman" w:hAnsi="Times New Roman" w:cs="Times New Roman"/>
          <w:szCs w:val="21"/>
        </w:rPr>
        <w:t xml:space="preserve"> </w:t>
      </w:r>
      <w:r>
        <w:rPr>
          <w:rFonts w:hint="eastAsia" w:ascii="Times New Roman" w:hAnsi="Times New Roman" w:cs="Times New Roman"/>
        </w:rPr>
        <w:t>,</w:t>
      </w:r>
      <w:r>
        <w:rPr>
          <w:rFonts w:ascii="Times New Roman" w:hAnsi="Times New Roman" w:eastAsia="仿宋" w:cs="Times New Roman"/>
          <w:szCs w:val="21"/>
        </w:rPr>
        <w:t xml:space="preserve">          （2）</w:t>
      </w:r>
    </w:p>
    <w:p>
      <w:pPr>
        <w:rPr>
          <w:rFonts w:ascii="Times New Roman" w:hAnsi="Times New Roman" w:eastAsia="楷体" w:cs="Times New Roman"/>
          <w:szCs w:val="21"/>
        </w:rPr>
      </w:pPr>
      <w:r>
        <w:rPr>
          <w:rFonts w:hint="eastAsia" w:ascii="Times New Roman" w:hAnsi="Times New Roman" w:eastAsia="仿宋" w:cs="Times New Roman"/>
          <w:szCs w:val="21"/>
        </w:rPr>
        <w:t>解释变量为代表国家级开发区建立的交乘项</w:t>
      </w:r>
      <m:oMath>
        <m:sSub>
          <m:sSubPr>
            <m:ctrlPr>
              <w:rPr>
                <w:rFonts w:ascii="Cambria Math" w:hAnsi="Cambria Math" w:eastAsia="仿宋" w:cs="Times New Roman"/>
                <w:szCs w:val="21"/>
              </w:rPr>
            </m:ctrlPr>
          </m:sSubPr>
          <m:e>
            <m:r>
              <m:rPr/>
              <w:rPr>
                <w:rFonts w:hint="eastAsia" w:ascii="Cambria Math" w:hAnsi="Cambria Math" w:eastAsia="仿宋" w:cs="Times New Roman"/>
                <w:szCs w:val="21"/>
              </w:rPr>
              <m:t>DZ</m:t>
            </m:r>
            <m:ctrlPr>
              <w:rPr>
                <w:rFonts w:ascii="Cambria Math" w:hAnsi="Cambria Math" w:eastAsia="仿宋" w:cs="Times New Roman"/>
                <w:szCs w:val="21"/>
              </w:rPr>
            </m:ctrlPr>
          </m:e>
          <m:sub>
            <m:r>
              <m:rPr/>
              <w:rPr>
                <w:rFonts w:ascii="Cambria Math" w:hAnsi="Cambria Math" w:eastAsia="仿宋" w:cs="Times New Roman"/>
                <w:szCs w:val="21"/>
              </w:rPr>
              <m:t>i</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i/>
                <w:iCs/>
                <w:szCs w:val="21"/>
              </w:rPr>
            </m:ctrlPr>
          </m:sSubSupPr>
          <m:e>
            <m:r>
              <m:rPr/>
              <w:rPr>
                <w:rFonts w:hint="eastAsia" w:ascii="Cambria Math" w:hAnsi="Cambria Math" w:eastAsia="仿宋" w:cs="Times New Roman"/>
                <w:szCs w:val="21"/>
              </w:rPr>
              <m:t>Post</m:t>
            </m:r>
            <m:ctrlPr>
              <w:rPr>
                <w:rFonts w:ascii="Cambria Math" w:hAnsi="Cambria Math" w:eastAsia="仿宋" w:cs="Times New Roman"/>
                <w:i/>
                <w:iCs/>
                <w:szCs w:val="21"/>
              </w:rPr>
            </m:ctrlPr>
          </m:e>
          <m:sub>
            <m:r>
              <m:rPr/>
              <w:rPr>
                <w:rFonts w:ascii="Cambria Math" w:hAnsi="Cambria Math" w:eastAsia="仿宋" w:cs="Times New Roman"/>
                <w:szCs w:val="21"/>
              </w:rPr>
              <m:t>it</m:t>
            </m:r>
            <m:ctrlPr>
              <w:rPr>
                <w:rFonts w:ascii="Cambria Math" w:hAnsi="Cambria Math" w:eastAsia="仿宋" w:cs="Times New Roman"/>
                <w:i/>
                <w:iCs/>
                <w:szCs w:val="21"/>
              </w:rPr>
            </m:ctrlPr>
          </m:sub>
          <m:sup>
            <m:r>
              <m:rPr/>
              <w:rPr>
                <w:rFonts w:ascii="Cambria Math" w:hAnsi="Cambria Math" w:eastAsia="仿宋" w:cs="Times New Roman"/>
                <w:szCs w:val="21"/>
              </w:rPr>
              <m:t>k</m:t>
            </m:r>
            <m:ctrlPr>
              <w:rPr>
                <w:rFonts w:ascii="Cambria Math" w:hAnsi="Cambria Math" w:eastAsia="仿宋" w:cs="Times New Roman"/>
                <w:i/>
                <w:iCs/>
                <w:szCs w:val="21"/>
              </w:rPr>
            </m:ctrlPr>
          </m:sup>
        </m:sSubSup>
      </m:oMath>
      <w:r>
        <w:rPr>
          <w:rFonts w:hint="eastAsia" w:ascii="Times New Roman" w:hAnsi="Times New Roman" w:eastAsia="仿宋" w:cs="Times New Roman"/>
          <w:szCs w:val="21"/>
        </w:rPr>
        <w:t>，</w:t>
      </w:r>
      <m:oMath>
        <m:sSub>
          <m:sSubPr>
            <m:ctrlPr>
              <w:rPr>
                <w:rFonts w:ascii="Cambria Math" w:hAnsi="Cambria Math" w:eastAsia="仿宋" w:cs="Times New Roman"/>
                <w:szCs w:val="21"/>
              </w:rPr>
            </m:ctrlPr>
          </m:sSubPr>
          <m:e>
            <m:r>
              <m:rPr/>
              <w:rPr>
                <w:rFonts w:hint="eastAsia" w:ascii="Cambria Math" w:hAnsi="Cambria Math" w:eastAsia="仿宋" w:cs="Times New Roman"/>
                <w:szCs w:val="21"/>
              </w:rPr>
              <m:t>DZ</m:t>
            </m:r>
            <m:ctrlPr>
              <w:rPr>
                <w:rFonts w:ascii="Cambria Math" w:hAnsi="Cambria Math" w:eastAsia="仿宋" w:cs="Times New Roman"/>
                <w:szCs w:val="21"/>
              </w:rPr>
            </m:ctrlPr>
          </m:e>
          <m:sub>
            <m:r>
              <m:rPr/>
              <w:rPr>
                <w:rFonts w:ascii="Cambria Math" w:hAnsi="Cambria Math" w:eastAsia="仿宋" w:cs="Times New Roman"/>
                <w:szCs w:val="21"/>
              </w:rPr>
              <m:t>i</m:t>
            </m:r>
            <m:ctrlPr>
              <w:rPr>
                <w:rFonts w:ascii="Cambria Math" w:hAnsi="Cambria Math" w:eastAsia="仿宋" w:cs="Times New Roman"/>
                <w:szCs w:val="21"/>
              </w:rPr>
            </m:ctrlPr>
          </m:sub>
        </m:sSub>
      </m:oMath>
      <w:r>
        <w:rPr>
          <w:rFonts w:hint="eastAsia" w:ascii="Times New Roman" w:hAnsi="Times New Roman" w:eastAsia="仿宋" w:cs="Times New Roman"/>
          <w:szCs w:val="21"/>
        </w:rPr>
        <w:t>为该企业是开发区企业的虚拟变量，即位于开发区内为1，否则为0；</w:t>
      </w:r>
      <m:oMath>
        <m:sSubSup>
          <m:sSubSupPr>
            <m:ctrlPr>
              <w:rPr>
                <w:rFonts w:ascii="Cambria Math" w:hAnsi="Cambria Math" w:eastAsia="仿宋" w:cs="Times New Roman"/>
                <w:i/>
                <w:iCs/>
                <w:szCs w:val="21"/>
              </w:rPr>
            </m:ctrlPr>
          </m:sSubSupPr>
          <m:e>
            <m:r>
              <m:rPr/>
              <w:rPr>
                <w:rFonts w:hint="eastAsia" w:ascii="Cambria Math" w:hAnsi="Cambria Math" w:eastAsia="仿宋" w:cs="Times New Roman"/>
                <w:szCs w:val="21"/>
              </w:rPr>
              <m:t>Post</m:t>
            </m:r>
            <m:ctrlPr>
              <w:rPr>
                <w:rFonts w:ascii="Cambria Math" w:hAnsi="Cambria Math" w:eastAsia="仿宋" w:cs="Times New Roman"/>
                <w:i/>
                <w:iCs/>
                <w:szCs w:val="21"/>
              </w:rPr>
            </m:ctrlPr>
          </m:e>
          <m:sub>
            <m:r>
              <m:rPr/>
              <w:rPr>
                <w:rFonts w:ascii="Cambria Math" w:hAnsi="Cambria Math" w:eastAsia="仿宋" w:cs="Times New Roman"/>
                <w:szCs w:val="21"/>
              </w:rPr>
              <m:t>it</m:t>
            </m:r>
            <m:ctrlPr>
              <w:rPr>
                <w:rFonts w:ascii="Cambria Math" w:hAnsi="Cambria Math" w:eastAsia="仿宋" w:cs="Times New Roman"/>
                <w:i/>
                <w:iCs/>
                <w:szCs w:val="21"/>
              </w:rPr>
            </m:ctrlPr>
          </m:sub>
          <m:sup>
            <m:r>
              <m:rPr/>
              <w:rPr>
                <w:rFonts w:ascii="Cambria Math" w:hAnsi="Cambria Math" w:eastAsia="仿宋" w:cs="Times New Roman"/>
                <w:szCs w:val="21"/>
              </w:rPr>
              <m:t>k</m:t>
            </m:r>
            <m:ctrlPr>
              <w:rPr>
                <w:rFonts w:ascii="Cambria Math" w:hAnsi="Cambria Math" w:eastAsia="仿宋" w:cs="Times New Roman"/>
                <w:i/>
                <w:iCs/>
                <w:szCs w:val="21"/>
              </w:rPr>
            </m:ctrlPr>
          </m:sup>
        </m:sSubSup>
      </m:oMath>
      <w:r>
        <w:rPr>
          <w:rFonts w:hint="eastAsia" w:ascii="Times New Roman" w:hAnsi="Times New Roman" w:eastAsia="仿宋" w:cs="Times New Roman"/>
          <w:szCs w:val="21"/>
        </w:rPr>
        <w:t>表示开发区建立时间的虚拟变量，由于福建省国家级开发区于</w:t>
      </w:r>
      <w:r>
        <w:rPr>
          <w:rFonts w:ascii="Times New Roman" w:hAnsi="Times New Roman" w:eastAsia="仿宋" w:cs="Times New Roman"/>
          <w:szCs w:val="21"/>
        </w:rPr>
        <w:t>1992</w:t>
      </w:r>
      <w:r>
        <w:rPr>
          <w:rFonts w:hint="eastAsia" w:ascii="Times New Roman" w:hAnsi="Times New Roman" w:eastAsia="仿宋" w:cs="Times New Roman"/>
          <w:szCs w:val="21"/>
        </w:rPr>
        <w:t>-</w:t>
      </w:r>
      <w:r>
        <w:rPr>
          <w:rFonts w:ascii="Times New Roman" w:hAnsi="Times New Roman" w:eastAsia="仿宋" w:cs="Times New Roman"/>
          <w:szCs w:val="21"/>
        </w:rPr>
        <w:t>2016</w:t>
      </w:r>
      <w:r>
        <w:rPr>
          <w:rFonts w:hint="eastAsia" w:ascii="Times New Roman" w:hAnsi="Times New Roman" w:eastAsia="仿宋" w:cs="Times New Roman"/>
          <w:szCs w:val="21"/>
        </w:rPr>
        <w:t>年分多批在各年中时间逐步建立（</w:t>
      </w:r>
      <m:oMath>
        <m:r>
          <m:rPr/>
          <w:rPr>
            <w:rFonts w:hint="eastAsia" w:ascii="Cambria Math" w:hAnsi="Cambria Math" w:eastAsia="仿宋" w:cs="Times New Roman"/>
            <w:szCs w:val="21"/>
          </w:rPr>
          <m:t>k</m:t>
        </m:r>
        <m:r>
          <m:rPr>
            <m:sty m:val="p"/>
          </m:rPr>
          <w:rPr>
            <w:rFonts w:ascii="Cambria Math" w:hAnsi="Cambria Math" w:eastAsia="仿宋" w:cs="Times New Roman"/>
            <w:szCs w:val="21"/>
          </w:rPr>
          <m:t>∈(1,2,3</m:t>
        </m:r>
        <m:r>
          <m:rPr>
            <m:sty m:val="p"/>
          </m:rPr>
          <w:rPr>
            <w:rFonts w:hint="eastAsia" w:ascii="Cambria Math" w:hAnsi="Cambria Math" w:eastAsia="仿宋" w:cs="Times New Roman"/>
            <w:szCs w:val="21"/>
          </w:rPr>
          <m:t>…</m:t>
        </m:r>
        <m:r>
          <m:rPr>
            <m:sty m:val="p"/>
          </m:rPr>
          <w:rPr>
            <w:rFonts w:ascii="Cambria Math" w:hAnsi="Cambria Math" w:eastAsia="仿宋" w:cs="Times New Roman"/>
            <w:szCs w:val="21"/>
          </w:rPr>
          <m:t>,n)</m:t>
        </m:r>
      </m:oMath>
      <w:r>
        <w:rPr>
          <w:rFonts w:hint="eastAsia" w:ascii="Times New Roman" w:hAnsi="Times New Roman" w:eastAsia="仿宋" w:cs="Times New Roman"/>
          <w:szCs w:val="21"/>
        </w:rPr>
        <w:t>表示批次），本文参考</w:t>
      </w:r>
      <w:r>
        <w:rPr>
          <w:rFonts w:ascii="Times New Roman" w:hAnsi="Times New Roman" w:eastAsia="仿宋" w:cs="Times New Roman"/>
          <w:szCs w:val="21"/>
        </w:rPr>
        <w:t xml:space="preserve">Lu </w:t>
      </w:r>
      <w:r>
        <w:rPr>
          <w:rFonts w:hint="eastAsia" w:ascii="Times New Roman" w:hAnsi="Times New Roman" w:eastAsia="仿宋" w:cs="Times New Roman"/>
          <w:szCs w:val="21"/>
        </w:rPr>
        <w:t>et</w:t>
      </w:r>
      <w:r>
        <w:rPr>
          <w:rFonts w:ascii="Times New Roman" w:hAnsi="Times New Roman" w:eastAsia="仿宋" w:cs="Times New Roman"/>
          <w:szCs w:val="21"/>
        </w:rPr>
        <w:t xml:space="preserve"> al(2017)</w:t>
      </w:r>
      <w:r>
        <w:rPr>
          <w:rFonts w:hint="eastAsia" w:ascii="Times New Roman" w:hAnsi="Times New Roman" w:eastAsia="仿宋" w:cs="Times New Roman"/>
          <w:szCs w:val="21"/>
        </w:rPr>
        <w:t>的做法，将</w:t>
      </w:r>
      <m:oMath>
        <m:sSubSup>
          <m:sSubSupPr>
            <m:ctrlPr>
              <w:rPr>
                <w:rFonts w:ascii="Cambria Math" w:hAnsi="Cambria Math" w:eastAsia="仿宋" w:cs="Times New Roman"/>
                <w:szCs w:val="21"/>
              </w:rPr>
            </m:ctrlPr>
          </m:sSubSupPr>
          <m:e>
            <m:r>
              <m:rPr/>
              <w:rPr>
                <w:rFonts w:hint="eastAsia" w:ascii="Cambria Math" w:hAnsi="Cambria Math" w:eastAsia="仿宋" w:cs="Times New Roman"/>
                <w:szCs w:val="21"/>
              </w:rPr>
              <m:t>Post</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oMath>
      <w:r>
        <w:rPr>
          <w:rFonts w:hint="eastAsia" w:ascii="Times New Roman" w:hAnsi="Times New Roman" w:eastAsia="仿宋" w:cs="Times New Roman"/>
          <w:szCs w:val="21"/>
        </w:rPr>
        <w:t>设定为区间[</w:t>
      </w:r>
      <w:r>
        <w:rPr>
          <w:rFonts w:ascii="Times New Roman" w:hAnsi="Times New Roman" w:eastAsia="仿宋" w:cs="Times New Roman"/>
          <w:szCs w:val="21"/>
        </w:rPr>
        <w:t>0,1]</w:t>
      </w:r>
      <w:r>
        <w:rPr>
          <w:rFonts w:hint="eastAsia" w:ascii="Times New Roman" w:hAnsi="Times New Roman" w:eastAsia="仿宋" w:cs="Times New Roman"/>
          <w:szCs w:val="21"/>
        </w:rPr>
        <w:t>的连续变量，即在该企业所在地未设立开发区的年份，则</w:t>
      </w:r>
      <m:oMath>
        <m:sSubSup>
          <m:sSubSupPr>
            <m:ctrlPr>
              <w:rPr>
                <w:rFonts w:ascii="Cambria Math" w:hAnsi="Cambria Math" w:eastAsia="仿宋" w:cs="Times New Roman"/>
                <w:szCs w:val="21"/>
              </w:rPr>
            </m:ctrlPr>
          </m:sSubSupPr>
          <m:e>
            <m:r>
              <m:rPr/>
              <w:rPr>
                <w:rFonts w:hint="eastAsia" w:ascii="Cambria Math" w:hAnsi="Cambria Math" w:eastAsia="仿宋" w:cs="Times New Roman"/>
                <w:szCs w:val="21"/>
              </w:rPr>
              <m:t>Post</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r>
          <m:rPr>
            <m:sty m:val="p"/>
          </m:rPr>
          <w:rPr>
            <w:rFonts w:hint="eastAsia" w:ascii="Cambria Math" w:hAnsi="Cambria Math" w:eastAsia="仿宋" w:cs="Times New Roman"/>
            <w:szCs w:val="21"/>
          </w:rPr>
          <m:t>=</m:t>
        </m:r>
        <m:r>
          <m:rPr>
            <m:sty m:val="p"/>
          </m:rPr>
          <w:rPr>
            <w:rFonts w:ascii="Cambria Math" w:hAnsi="Cambria Math" w:eastAsia="仿宋" w:cs="Times New Roman"/>
            <w:szCs w:val="21"/>
          </w:rPr>
          <m:t>0</m:t>
        </m:r>
      </m:oMath>
      <w:r>
        <w:rPr>
          <w:rFonts w:hint="eastAsia" w:ascii="Times New Roman" w:hAnsi="Times New Roman" w:eastAsia="仿宋" w:cs="Times New Roman"/>
          <w:szCs w:val="21"/>
        </w:rPr>
        <w:t>，若该企业在2</w:t>
      </w:r>
      <w:r>
        <w:rPr>
          <w:rFonts w:ascii="Times New Roman" w:hAnsi="Times New Roman" w:eastAsia="仿宋" w:cs="Times New Roman"/>
          <w:szCs w:val="21"/>
        </w:rPr>
        <w:t>008</w:t>
      </w:r>
      <w:r>
        <w:rPr>
          <w:rFonts w:hint="eastAsia" w:ascii="Times New Roman" w:hAnsi="Times New Roman" w:eastAsia="仿宋" w:cs="Times New Roman"/>
          <w:szCs w:val="21"/>
        </w:rPr>
        <w:t>年</w:t>
      </w:r>
      <w:r>
        <w:rPr>
          <w:rFonts w:ascii="Times New Roman" w:hAnsi="Times New Roman" w:eastAsia="仿宋" w:cs="Times New Roman"/>
          <w:szCs w:val="21"/>
        </w:rPr>
        <w:t>6</w:t>
      </w:r>
      <w:r>
        <w:rPr>
          <w:rFonts w:hint="eastAsia" w:ascii="Times New Roman" w:hAnsi="Times New Roman" w:eastAsia="仿宋" w:cs="Times New Roman"/>
          <w:szCs w:val="21"/>
        </w:rPr>
        <w:t>月进入开发区，则</w:t>
      </w:r>
      <m:oMath>
        <m:sSubSup>
          <m:sSubSupPr>
            <m:ctrlPr>
              <w:rPr>
                <w:rFonts w:ascii="Cambria Math" w:hAnsi="Cambria Math" w:eastAsia="仿宋" w:cs="Times New Roman"/>
                <w:szCs w:val="21"/>
              </w:rPr>
            </m:ctrlPr>
          </m:sSubSupPr>
          <m:e>
            <m:r>
              <m:rPr/>
              <w:rPr>
                <w:rFonts w:hint="eastAsia" w:ascii="Cambria Math" w:hAnsi="Cambria Math" w:eastAsia="仿宋" w:cs="Times New Roman"/>
                <w:szCs w:val="21"/>
              </w:rPr>
              <m:t>Post</m:t>
            </m:r>
            <m:ctrlPr>
              <w:rPr>
                <w:rFonts w:ascii="Cambria Math" w:hAnsi="Cambria Math" w:eastAsia="仿宋" w:cs="Times New Roman"/>
                <w:szCs w:val="21"/>
              </w:rPr>
            </m:ctrlPr>
          </m:e>
          <m:sub>
            <m:r>
              <m:rPr/>
              <w:rPr>
                <w:rFonts w:ascii="Cambria Math" w:hAnsi="Cambria Math" w:eastAsia="仿宋" w:cs="Times New Roman"/>
                <w:szCs w:val="21"/>
              </w:rPr>
              <m:t>it</m:t>
            </m:r>
            <m:r>
              <m:rPr>
                <m:sty m:val="p"/>
              </m:rPr>
              <w:rPr>
                <w:rFonts w:hint="eastAsia" w:ascii="Cambria Math" w:hAnsi="Cambria Math" w:eastAsia="仿宋" w:cs="Times New Roman"/>
                <w:szCs w:val="21"/>
              </w:rPr>
              <m:t>|</m:t>
            </m:r>
            <m:r>
              <m:rPr/>
              <w:rPr>
                <w:rFonts w:hint="eastAsia" w:ascii="Cambria Math" w:hAnsi="Cambria Math" w:eastAsia="仿宋" w:cs="Times New Roman"/>
                <w:szCs w:val="21"/>
              </w:rPr>
              <m:t>t</m:t>
            </m:r>
            <m:r>
              <m:rPr>
                <m:sty m:val="p"/>
              </m:rPr>
              <w:rPr>
                <w:rFonts w:ascii="Cambria Math" w:hAnsi="Cambria Math" w:eastAsia="仿宋" w:cs="Times New Roman"/>
                <w:szCs w:val="21"/>
              </w:rPr>
              <m:t>=2008</m:t>
            </m:r>
            <m:ctrlPr>
              <w:rPr>
                <w:rFonts w:ascii="Cambria Math" w:hAnsi="Cambria Math" w:eastAsia="仿宋" w:cs="Times New Roman"/>
                <w:szCs w:val="21"/>
              </w:rPr>
            </m:ctrlPr>
          </m:sub>
          <m:sup>
            <m:r>
              <m:rPr/>
              <w:rPr>
                <w:rFonts w:ascii="Cambria Math" w:hAnsi="Cambria Math" w:eastAsia="仿宋" w:cs="Times New Roman"/>
                <w:szCs w:val="21"/>
              </w:rPr>
              <m:t>k</m:t>
            </m:r>
            <m:r>
              <m:rPr>
                <m:sty m:val="p"/>
              </m:rPr>
              <w:rPr>
                <w:rFonts w:ascii="Cambria Math" w:hAnsi="Cambria Math" w:eastAsia="仿宋" w:cs="Times New Roman"/>
                <w:szCs w:val="21"/>
              </w:rPr>
              <m:t>=1</m:t>
            </m:r>
            <m:ctrlPr>
              <w:rPr>
                <w:rFonts w:ascii="Cambria Math" w:hAnsi="Cambria Math" w:eastAsia="仿宋" w:cs="Times New Roman"/>
                <w:szCs w:val="21"/>
              </w:rPr>
            </m:ctrlPr>
          </m:sup>
        </m:sSubSup>
        <m:r>
          <m:rPr>
            <m:sty m:val="p"/>
          </m:rPr>
          <w:rPr>
            <w:rFonts w:ascii="Cambria Math" w:hAnsi="Cambria Math" w:eastAsia="仿宋" w:cs="Times New Roman"/>
            <w:szCs w:val="21"/>
          </w:rPr>
          <m:t>=0.583</m:t>
        </m:r>
      </m:oMath>
      <w:r>
        <w:rPr>
          <w:rFonts w:hint="eastAsia" w:ascii="Times New Roman" w:hAnsi="Times New Roman" w:eastAsia="仿宋" w:cs="Times New Roman"/>
          <w:szCs w:val="21"/>
        </w:rPr>
        <w:t>（其余试点时间做类似处理），而从该地区进行试点的第二年开始，</w:t>
      </w:r>
      <m:oMath>
        <m:sSubSup>
          <m:sSubSupPr>
            <m:ctrlPr>
              <w:rPr>
                <w:rFonts w:ascii="Cambria Math" w:hAnsi="Cambria Math" w:eastAsia="仿宋" w:cs="Times New Roman"/>
                <w:szCs w:val="21"/>
              </w:rPr>
            </m:ctrlPr>
          </m:sSubSupPr>
          <m:e>
            <m:r>
              <m:rPr/>
              <w:rPr>
                <w:rFonts w:hint="eastAsia" w:ascii="Cambria Math" w:hAnsi="Cambria Math" w:eastAsia="仿宋" w:cs="Times New Roman"/>
                <w:szCs w:val="21"/>
              </w:rPr>
              <m:t>Post</m:t>
            </m:r>
            <m:ctrlPr>
              <w:rPr>
                <w:rFonts w:ascii="Cambria Math" w:hAnsi="Cambria Math" w:eastAsia="仿宋" w:cs="Times New Roman"/>
                <w:szCs w:val="21"/>
              </w:rPr>
            </m:ctrlPr>
          </m:e>
          <m:sub>
            <m:r>
              <m:rPr/>
              <w:rPr>
                <w:rFonts w:ascii="Cambria Math" w:hAnsi="Cambria Math" w:eastAsia="仿宋" w:cs="Times New Roman"/>
                <w:szCs w:val="21"/>
              </w:rPr>
              <m:t>ict</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r>
          <m:rPr>
            <m:sty m:val="p"/>
          </m:rPr>
          <w:rPr>
            <w:rFonts w:hint="eastAsia" w:ascii="Cambria Math" w:hAnsi="Cambria Math" w:eastAsia="仿宋" w:cs="Times New Roman"/>
            <w:szCs w:val="21"/>
          </w:rPr>
          <m:t>=</m:t>
        </m:r>
        <m:r>
          <m:rPr>
            <m:sty m:val="p"/>
          </m:rPr>
          <w:rPr>
            <w:rFonts w:ascii="Cambria Math" w:hAnsi="Cambria Math" w:eastAsia="仿宋" w:cs="Times New Roman"/>
            <w:szCs w:val="21"/>
          </w:rPr>
          <m:t>1</m:t>
        </m:r>
      </m:oMath>
      <w:r>
        <w:rPr>
          <w:rFonts w:hint="eastAsia" w:ascii="Times New Roman" w:hAnsi="Times New Roman" w:eastAsia="仿宋" w:cs="Times New Roman"/>
          <w:szCs w:val="21"/>
        </w:rPr>
        <w:t>；参数</w:t>
      </w:r>
      <m:oMath>
        <m:sSub>
          <m:sSubPr>
            <m:ctrlPr>
              <w:rPr>
                <w:rFonts w:ascii="Cambria Math" w:hAnsi="Cambria Math" w:eastAsia="仿宋" w:cs="Times New Roman"/>
                <w:i/>
                <w:szCs w:val="21"/>
              </w:rPr>
            </m:ctrlPr>
          </m:sSubPr>
          <m:e>
            <m:r>
              <m:rPr/>
              <w:rPr>
                <w:rFonts w:ascii="Cambria Math" w:hAnsi="Cambria Math" w:eastAsia="仿宋" w:cs="Times New Roman"/>
                <w:szCs w:val="21"/>
              </w:rPr>
              <m:t>β</m:t>
            </m:r>
            <m:ctrlPr>
              <w:rPr>
                <w:rFonts w:ascii="Cambria Math" w:hAnsi="Cambria Math" w:eastAsia="仿宋" w:cs="Times New Roman"/>
                <w:i/>
                <w:szCs w:val="21"/>
              </w:rPr>
            </m:ctrlPr>
          </m:e>
          <m:sub>
            <m:r>
              <m:rPr/>
              <w:rPr>
                <w:rFonts w:ascii="Cambria Math" w:hAnsi="Cambria Math" w:eastAsia="仿宋" w:cs="Times New Roman"/>
                <w:szCs w:val="21"/>
              </w:rPr>
              <m:t>2</m:t>
            </m:r>
            <m:ctrlPr>
              <w:rPr>
                <w:rFonts w:ascii="Cambria Math" w:hAnsi="Cambria Math" w:eastAsia="仿宋" w:cs="Times New Roman"/>
                <w:i/>
                <w:szCs w:val="21"/>
              </w:rPr>
            </m:ctrlPr>
          </m:sub>
        </m:sSub>
      </m:oMath>
      <w:r>
        <w:rPr>
          <w:rFonts w:hint="eastAsia" w:ascii="Times New Roman" w:hAnsi="Times New Roman" w:eastAsia="仿宋" w:cs="Times New Roman"/>
          <w:szCs w:val="21"/>
        </w:rPr>
        <w:t>为国家级开发区对企业贸易的影响，其余部分与正文式（1）相同，具体回归结果如</w:t>
      </w:r>
      <w:r>
        <w:rPr>
          <w:rFonts w:ascii="Times New Roman" w:hAnsi="Times New Roman" w:eastAsia="仿宋" w:cs="Times New Roman"/>
          <w:szCs w:val="21"/>
        </w:rPr>
        <w:t>表</w:t>
      </w:r>
      <w:r>
        <w:rPr>
          <w:rFonts w:hint="eastAsia" w:ascii="Times New Roman" w:hAnsi="Times New Roman" w:eastAsia="仿宋" w:cs="Times New Roman"/>
          <w:szCs w:val="21"/>
        </w:rPr>
        <w:t>Ⅱ</w:t>
      </w:r>
      <w:r>
        <w:rPr>
          <w:rFonts w:ascii="Times New Roman" w:hAnsi="Times New Roman" w:eastAsia="仿宋" w:cs="Times New Roman"/>
          <w:szCs w:val="21"/>
        </w:rPr>
        <w:t>4</w:t>
      </w:r>
      <w:r>
        <w:rPr>
          <w:rFonts w:hint="eastAsia" w:ascii="Times New Roman" w:hAnsi="Times New Roman" w:eastAsia="仿宋" w:cs="Times New Roman"/>
          <w:szCs w:val="21"/>
        </w:rPr>
        <w:t>（7）、（8）列所示，可以看出，本文所关注的系数未受到太大影响。</w:t>
      </w:r>
    </w:p>
    <w:p>
      <w:pPr>
        <w:ind w:firstLine="420" w:firstLineChars="200"/>
        <w:rPr>
          <w:rFonts w:ascii="Times New Roman" w:hAnsi="Times New Roman" w:eastAsia="仿宋" w:cs="Times New Roman"/>
        </w:rPr>
      </w:pPr>
    </w:p>
    <w:p>
      <w:pPr>
        <w:ind w:firstLine="420" w:firstLineChars="200"/>
        <w:rPr>
          <w:rFonts w:ascii="Times New Roman" w:hAnsi="Times New Roman" w:eastAsia="仿宋" w:cs="Times New Roman"/>
        </w:rPr>
      </w:pPr>
    </w:p>
    <w:p>
      <w:pPr>
        <w:keepNext/>
        <w:ind w:firstLine="420" w:firstLineChars="200"/>
        <w:jc w:val="center"/>
      </w:pPr>
      <w:r>
        <w:drawing>
          <wp:inline distT="0" distB="0" distL="0" distR="0">
            <wp:extent cx="4216400" cy="3149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l="11687" t="28194" r="8314" b="29557"/>
                    <a:stretch>
                      <a:fillRect/>
                    </a:stretch>
                  </pic:blipFill>
                  <pic:spPr>
                    <a:xfrm>
                      <a:off x="0" y="0"/>
                      <a:ext cx="4216400" cy="3149600"/>
                    </a:xfrm>
                    <a:prstGeom prst="rect">
                      <a:avLst/>
                    </a:prstGeom>
                    <a:noFill/>
                    <a:ln>
                      <a:noFill/>
                    </a:ln>
                  </pic:spPr>
                </pic:pic>
              </a:graphicData>
            </a:graphic>
          </wp:inline>
        </w:drawing>
      </w:r>
    </w:p>
    <w:p>
      <w:pPr>
        <w:jc w:val="center"/>
        <w:rPr>
          <w:rFonts w:hint="eastAsia" w:ascii="黑体" w:hAnsi="黑体" w:eastAsia="黑体" w:cs="黑体"/>
          <w:sz w:val="18"/>
          <w:szCs w:val="18"/>
        </w:rPr>
      </w:pPr>
      <w:r>
        <w:rPr>
          <w:rFonts w:hint="eastAsia" w:ascii="黑体" w:hAnsi="黑体" w:eastAsia="黑体" w:cs="黑体"/>
          <w:sz w:val="18"/>
          <w:szCs w:val="18"/>
        </w:rPr>
        <w:t>图Ⅱ3  福建省国家级开发区位置</w:t>
      </w:r>
    </w:p>
    <w:p>
      <w:pPr>
        <w:ind w:firstLine="420" w:firstLineChars="200"/>
        <w:rPr>
          <w:rFonts w:ascii="Times New Roman" w:hAnsi="Times New Roman" w:eastAsia="仿宋" w:cs="Times New Roman"/>
        </w:rPr>
      </w:pPr>
    </w:p>
    <w:p>
      <w:pPr>
        <w:jc w:val="center"/>
        <w:rPr>
          <w:rFonts w:hint="eastAsia" w:ascii="黑体" w:hAnsi="黑体" w:eastAsia="黑体" w:cs="黑体"/>
          <w:sz w:val="18"/>
          <w:szCs w:val="18"/>
        </w:rPr>
      </w:pPr>
      <w:r>
        <w:rPr>
          <w:rFonts w:hint="eastAsia" w:ascii="黑体" w:hAnsi="黑体" w:eastAsia="黑体" w:cs="黑体"/>
          <w:sz w:val="18"/>
          <w:szCs w:val="18"/>
        </w:rPr>
        <w:t>表Ⅱ3  企业开发区信息统计</w:t>
      </w:r>
    </w:p>
    <w:tbl>
      <w:tblPr>
        <w:tblStyle w:val="13"/>
        <w:tblW w:w="7998" w:type="dxa"/>
        <w:jc w:val="center"/>
        <w:tblLayout w:type="autofit"/>
        <w:tblCellMar>
          <w:top w:w="0" w:type="dxa"/>
          <w:left w:w="108" w:type="dxa"/>
          <w:bottom w:w="0" w:type="dxa"/>
          <w:right w:w="108" w:type="dxa"/>
        </w:tblCellMar>
      </w:tblPr>
      <w:tblGrid>
        <w:gridCol w:w="1162"/>
        <w:gridCol w:w="1139"/>
        <w:gridCol w:w="1139"/>
        <w:gridCol w:w="1139"/>
        <w:gridCol w:w="1139"/>
        <w:gridCol w:w="1139"/>
        <w:gridCol w:w="1141"/>
      </w:tblGrid>
      <w:tr>
        <w:tblPrEx>
          <w:tblCellMar>
            <w:top w:w="0" w:type="dxa"/>
            <w:left w:w="108" w:type="dxa"/>
            <w:bottom w:w="0" w:type="dxa"/>
            <w:right w:w="108" w:type="dxa"/>
          </w:tblCellMar>
        </w:tblPrEx>
        <w:trPr>
          <w:trHeight w:val="280" w:hRule="atLeast"/>
          <w:jc w:val="center"/>
        </w:trPr>
        <w:tc>
          <w:tcPr>
            <w:tcW w:w="1162" w:type="dxa"/>
            <w:tcBorders>
              <w:top w:val="single" w:color="auto" w:sz="4" w:space="0"/>
              <w:left w:val="nil"/>
              <w:right w:val="nil"/>
            </w:tcBorders>
            <w:shd w:val="clear" w:color="auto" w:fill="auto"/>
            <w:noWrap/>
            <w:vAlign w:val="center"/>
          </w:tcPr>
          <w:p>
            <w:pPr>
              <w:widowControl/>
              <w:jc w:val="center"/>
              <w:rPr>
                <w:rFonts w:cs="宋体" w:asciiTheme="minorEastAsia" w:hAnsiTheme="minorEastAsia"/>
                <w:kern w:val="0"/>
                <w:sz w:val="22"/>
              </w:rPr>
            </w:pPr>
          </w:p>
        </w:tc>
        <w:tc>
          <w:tcPr>
            <w:tcW w:w="3417" w:type="dxa"/>
            <w:gridSpan w:val="3"/>
            <w:tcBorders>
              <w:top w:val="single" w:color="auto" w:sz="4" w:space="0"/>
              <w:left w:val="nil"/>
              <w:bottom w:val="single" w:color="auto" w:sz="4" w:space="0"/>
              <w:right w:val="nil"/>
            </w:tcBorders>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供方企业</w:t>
            </w:r>
          </w:p>
        </w:tc>
        <w:tc>
          <w:tcPr>
            <w:tcW w:w="3419" w:type="dxa"/>
            <w:gridSpan w:val="3"/>
            <w:tcBorders>
              <w:top w:val="single" w:color="auto" w:sz="4"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需方企业</w:t>
            </w:r>
          </w:p>
        </w:tc>
      </w:tr>
      <w:tr>
        <w:tblPrEx>
          <w:tblCellMar>
            <w:top w:w="0" w:type="dxa"/>
            <w:left w:w="108" w:type="dxa"/>
            <w:bottom w:w="0" w:type="dxa"/>
            <w:right w:w="108" w:type="dxa"/>
          </w:tblCellMar>
        </w:tblPrEx>
        <w:trPr>
          <w:trHeight w:val="280" w:hRule="atLeast"/>
          <w:jc w:val="center"/>
        </w:trPr>
        <w:tc>
          <w:tcPr>
            <w:tcW w:w="1162" w:type="dxa"/>
            <w:tcBorders>
              <w:left w:val="nil"/>
              <w:bottom w:val="single" w:color="auto" w:sz="4" w:space="0"/>
              <w:right w:val="nil"/>
            </w:tcBorders>
            <w:shd w:val="clear" w:color="auto" w:fill="auto"/>
            <w:noWrap/>
            <w:vAlign w:val="center"/>
          </w:tcPr>
          <w:p>
            <w:pPr>
              <w:widowControl/>
              <w:jc w:val="center"/>
              <w:rPr>
                <w:rFonts w:cs="宋体" w:asciiTheme="minorEastAsia" w:hAnsiTheme="minorEastAsia"/>
                <w:kern w:val="0"/>
                <w:sz w:val="22"/>
              </w:rPr>
            </w:pPr>
            <w:r>
              <w:rPr>
                <w:rFonts w:hint="eastAsia" w:ascii="Times New Roman" w:hAnsi="Times New Roman" w:cs="Times New Roman"/>
                <w:kern w:val="0"/>
                <w:szCs w:val="21"/>
              </w:rPr>
              <w:t>SEZ_ID</w:t>
            </w:r>
          </w:p>
        </w:tc>
        <w:tc>
          <w:tcPr>
            <w:tcW w:w="1139" w:type="dxa"/>
            <w:tcBorders>
              <w:top w:val="single" w:color="auto" w:sz="4" w:space="0"/>
              <w:left w:val="nil"/>
              <w:bottom w:val="single" w:color="auto" w:sz="4" w:space="0"/>
              <w:right w:val="nil"/>
            </w:tcBorders>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不在开发区内</w:t>
            </w:r>
          </w:p>
        </w:tc>
        <w:tc>
          <w:tcPr>
            <w:tcW w:w="1139" w:type="dxa"/>
            <w:tcBorders>
              <w:top w:val="single" w:color="auto" w:sz="4" w:space="0"/>
              <w:left w:val="nil"/>
              <w:bottom w:val="single" w:color="auto" w:sz="4" w:space="0"/>
              <w:right w:val="nil"/>
            </w:tcBorders>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在开发区内</w:t>
            </w:r>
          </w:p>
        </w:tc>
        <w:tc>
          <w:tcPr>
            <w:tcW w:w="1139" w:type="dxa"/>
            <w:tcBorders>
              <w:top w:val="single" w:color="auto" w:sz="4" w:space="0"/>
              <w:left w:val="nil"/>
              <w:bottom w:val="single" w:color="auto" w:sz="4" w:space="0"/>
              <w:right w:val="nil"/>
            </w:tcBorders>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总数</w:t>
            </w:r>
          </w:p>
        </w:tc>
        <w:tc>
          <w:tcPr>
            <w:tcW w:w="1139" w:type="dxa"/>
            <w:tcBorders>
              <w:top w:val="single" w:color="auto" w:sz="4"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不在开发区内</w:t>
            </w:r>
          </w:p>
        </w:tc>
        <w:tc>
          <w:tcPr>
            <w:tcW w:w="1139" w:type="dxa"/>
            <w:tcBorders>
              <w:top w:val="single" w:color="auto" w:sz="4"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在开发区内</w:t>
            </w:r>
          </w:p>
        </w:tc>
        <w:tc>
          <w:tcPr>
            <w:tcW w:w="1141" w:type="dxa"/>
            <w:tcBorders>
              <w:top w:val="single" w:color="auto" w:sz="4" w:space="0"/>
              <w:left w:val="nil"/>
              <w:bottom w:val="single" w:color="auto" w:sz="4" w:space="0"/>
              <w:right w:val="nil"/>
            </w:tcBorders>
            <w:shd w:val="clear" w:color="auto" w:fill="auto"/>
            <w:noWrap/>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总数</w:t>
            </w:r>
          </w:p>
        </w:tc>
      </w:tr>
      <w:tr>
        <w:tblPrEx>
          <w:tblCellMar>
            <w:top w:w="0" w:type="dxa"/>
            <w:left w:w="108" w:type="dxa"/>
            <w:bottom w:w="0" w:type="dxa"/>
            <w:right w:w="108" w:type="dxa"/>
          </w:tblCellMar>
        </w:tblPrEx>
        <w:trPr>
          <w:trHeight w:val="280" w:hRule="atLeast"/>
          <w:jc w:val="center"/>
        </w:trPr>
        <w:tc>
          <w:tcPr>
            <w:tcW w:w="1162" w:type="dxa"/>
            <w:tcBorders>
              <w:top w:val="single" w:color="auto" w:sz="4" w:space="0"/>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G351024</w:t>
            </w:r>
          </w:p>
        </w:tc>
        <w:tc>
          <w:tcPr>
            <w:tcW w:w="1139" w:type="dxa"/>
            <w:tcBorders>
              <w:top w:val="single" w:color="auto" w:sz="4" w:space="0"/>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3,071</w:t>
            </w:r>
          </w:p>
        </w:tc>
        <w:tc>
          <w:tcPr>
            <w:tcW w:w="1139" w:type="dxa"/>
            <w:tcBorders>
              <w:top w:val="single" w:color="auto" w:sz="4" w:space="0"/>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369</w:t>
            </w:r>
          </w:p>
        </w:tc>
        <w:tc>
          <w:tcPr>
            <w:tcW w:w="1139" w:type="dxa"/>
            <w:tcBorders>
              <w:top w:val="single" w:color="auto" w:sz="4" w:space="0"/>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3,440</w:t>
            </w:r>
          </w:p>
        </w:tc>
        <w:tc>
          <w:tcPr>
            <w:tcW w:w="1139" w:type="dxa"/>
            <w:tcBorders>
              <w:top w:val="single" w:color="auto" w:sz="4" w:space="0"/>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3,565</w:t>
            </w:r>
          </w:p>
        </w:tc>
        <w:tc>
          <w:tcPr>
            <w:tcW w:w="1139" w:type="dxa"/>
            <w:tcBorders>
              <w:top w:val="single" w:color="auto" w:sz="4" w:space="0"/>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372</w:t>
            </w:r>
          </w:p>
        </w:tc>
        <w:tc>
          <w:tcPr>
            <w:tcW w:w="1141" w:type="dxa"/>
            <w:tcBorders>
              <w:top w:val="single" w:color="auto" w:sz="4" w:space="0"/>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3,937</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G351025</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1,266</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322</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1,588</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1,059</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269</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1,328</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G351026</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1,214</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11</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1,225</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211</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213</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G351134</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168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41</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209</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27</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G351135</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3,236</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115</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3,351</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4,663</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107</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4,770</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G351136</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2,020</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313</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2,333</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740</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151</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891</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G351137</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338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207</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545</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103</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17</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120</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G351138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2,508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149</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2,657</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1,046</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33</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1,079</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G351139</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2,121</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50</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2,171</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461</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487</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G351140</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7,924</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33</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7,957</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2,670</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11</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2,681</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G352021</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24,698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808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25,506</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48,369</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1,182</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49,551</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G352022</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909</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25</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934</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537</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544</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G352094</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3,276</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49</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3,325</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1,857</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18</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1,875</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G352095</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9,528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312</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9,840</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7,078</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189</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7,267</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G352096</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12,742</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749</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13,491</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7,121</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456</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7,577</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G352097</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7,589</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72</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7,661</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3,920</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29</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3,949</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G352098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3,100</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24</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3,124</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2,225</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20</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2,245</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G353067</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720</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333</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1,053</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1,413</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669</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2,082</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G353068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54</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152</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98</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36</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134</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G353069</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200</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32</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232</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101</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33</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134</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G353070</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147</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148</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14</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16</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G353071</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G353073</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2,577</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2,605</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1,385</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1,389</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G356006</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3,127</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29</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3,156</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1,373</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1,376</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G356007</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362</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12</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374</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273</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273</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G356025</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1,388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1,414</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1,773</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1,776</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G356029</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11</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15</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5</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G356030</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494</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248</w:t>
            </w:r>
          </w:p>
        </w:tc>
        <w:tc>
          <w:tcPr>
            <w:tcW w:w="1139" w:type="dxa"/>
            <w:tcBorders>
              <w:top w:val="nil"/>
              <w:left w:val="nil"/>
              <w:bottom w:val="nil"/>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742</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409</w:t>
            </w:r>
          </w:p>
        </w:tc>
        <w:tc>
          <w:tcPr>
            <w:tcW w:w="1139"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195</w:t>
            </w:r>
          </w:p>
        </w:tc>
        <w:tc>
          <w:tcPr>
            <w:tcW w:w="1141" w:type="dxa"/>
            <w:tcBorders>
              <w:top w:val="nil"/>
              <w:left w:val="nil"/>
              <w:bottom w:val="nil"/>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604</w:t>
            </w:r>
          </w:p>
        </w:tc>
      </w:tr>
      <w:tr>
        <w:tblPrEx>
          <w:tblCellMar>
            <w:top w:w="0" w:type="dxa"/>
            <w:left w:w="108" w:type="dxa"/>
            <w:bottom w:w="0" w:type="dxa"/>
            <w:right w:w="108" w:type="dxa"/>
          </w:tblCellMar>
        </w:tblPrEx>
        <w:trPr>
          <w:trHeight w:val="280" w:hRule="atLeast"/>
          <w:jc w:val="center"/>
        </w:trPr>
        <w:tc>
          <w:tcPr>
            <w:tcW w:w="1162" w:type="dxa"/>
            <w:tcBorders>
              <w:top w:val="nil"/>
              <w:left w:val="nil"/>
              <w:bottom w:val="single" w:color="auto" w:sz="4" w:space="0"/>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G356031</w:t>
            </w:r>
          </w:p>
        </w:tc>
        <w:tc>
          <w:tcPr>
            <w:tcW w:w="1139" w:type="dxa"/>
            <w:tcBorders>
              <w:top w:val="nil"/>
              <w:left w:val="nil"/>
              <w:bottom w:val="single" w:color="auto" w:sz="4" w:space="0"/>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180</w:t>
            </w:r>
          </w:p>
        </w:tc>
        <w:tc>
          <w:tcPr>
            <w:tcW w:w="1139" w:type="dxa"/>
            <w:tcBorders>
              <w:top w:val="nil"/>
              <w:left w:val="nil"/>
              <w:bottom w:val="single" w:color="auto" w:sz="4" w:space="0"/>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w:t>
            </w:r>
          </w:p>
        </w:tc>
        <w:tc>
          <w:tcPr>
            <w:tcW w:w="1139" w:type="dxa"/>
            <w:tcBorders>
              <w:top w:val="nil"/>
              <w:left w:val="nil"/>
              <w:bottom w:val="single" w:color="auto" w:sz="4" w:space="0"/>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182</w:t>
            </w:r>
          </w:p>
        </w:tc>
        <w:tc>
          <w:tcPr>
            <w:tcW w:w="1139" w:type="dxa"/>
            <w:tcBorders>
              <w:top w:val="nil"/>
              <w:left w:val="nil"/>
              <w:bottom w:val="single" w:color="auto" w:sz="4" w:space="0"/>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44</w:t>
            </w:r>
          </w:p>
        </w:tc>
        <w:tc>
          <w:tcPr>
            <w:tcW w:w="1139" w:type="dxa"/>
            <w:tcBorders>
              <w:top w:val="nil"/>
              <w:left w:val="nil"/>
              <w:bottom w:val="single" w:color="auto" w:sz="4" w:space="0"/>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w:t>
            </w:r>
          </w:p>
        </w:tc>
        <w:tc>
          <w:tcPr>
            <w:tcW w:w="1141" w:type="dxa"/>
            <w:tcBorders>
              <w:top w:val="nil"/>
              <w:left w:val="nil"/>
              <w:bottom w:val="single" w:color="auto" w:sz="4" w:space="0"/>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44</w:t>
            </w:r>
          </w:p>
        </w:tc>
      </w:tr>
      <w:tr>
        <w:tblPrEx>
          <w:tblCellMar>
            <w:top w:w="0" w:type="dxa"/>
            <w:left w:w="108" w:type="dxa"/>
            <w:bottom w:w="0" w:type="dxa"/>
            <w:right w:w="108" w:type="dxa"/>
          </w:tblCellMar>
        </w:tblPrEx>
        <w:trPr>
          <w:trHeight w:val="280" w:hRule="atLeast"/>
          <w:jc w:val="center"/>
        </w:trPr>
        <w:tc>
          <w:tcPr>
            <w:tcW w:w="1162" w:type="dxa"/>
            <w:tcBorders>
              <w:top w:val="single" w:color="auto" w:sz="4" w:space="0"/>
              <w:left w:val="nil"/>
              <w:bottom w:val="single" w:color="auto" w:sz="4" w:space="0"/>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Total</w:t>
            </w:r>
          </w:p>
        </w:tc>
        <w:tc>
          <w:tcPr>
            <w:tcW w:w="1139" w:type="dxa"/>
            <w:tcBorders>
              <w:top w:val="single" w:color="auto" w:sz="4" w:space="0"/>
              <w:left w:val="nil"/>
              <w:bottom w:val="single" w:color="auto" w:sz="4" w:space="0"/>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95</w:t>
            </w:r>
            <w:r>
              <w:rPr>
                <w:rFonts w:ascii="Times New Roman" w:hAnsi="Times New Roman" w:cs="Times New Roman"/>
                <w:kern w:val="0"/>
                <w:szCs w:val="21"/>
              </w:rPr>
              <w:t xml:space="preserve"> </w:t>
            </w:r>
            <w:r>
              <w:rPr>
                <w:rFonts w:hint="eastAsia" w:ascii="Times New Roman" w:hAnsi="Times New Roman" w:cs="Times New Roman"/>
                <w:kern w:val="0"/>
                <w:szCs w:val="21"/>
              </w:rPr>
              <w:t>014</w:t>
            </w:r>
          </w:p>
        </w:tc>
        <w:tc>
          <w:tcPr>
            <w:tcW w:w="1139" w:type="dxa"/>
            <w:tcBorders>
              <w:top w:val="single" w:color="auto" w:sz="4" w:space="0"/>
              <w:left w:val="nil"/>
              <w:bottom w:val="single" w:color="auto" w:sz="4" w:space="0"/>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4429</w:t>
            </w:r>
          </w:p>
        </w:tc>
        <w:tc>
          <w:tcPr>
            <w:tcW w:w="1139" w:type="dxa"/>
            <w:tcBorders>
              <w:top w:val="single" w:color="auto" w:sz="4" w:space="0"/>
              <w:left w:val="nil"/>
              <w:bottom w:val="single" w:color="auto" w:sz="4" w:space="0"/>
              <w:right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99</w:t>
            </w:r>
            <w:r>
              <w:rPr>
                <w:rFonts w:ascii="Times New Roman" w:hAnsi="Times New Roman" w:cs="Times New Roman"/>
                <w:kern w:val="0"/>
                <w:szCs w:val="21"/>
              </w:rPr>
              <w:t xml:space="preserve"> </w:t>
            </w:r>
            <w:r>
              <w:rPr>
                <w:rFonts w:hint="eastAsia" w:ascii="Times New Roman" w:hAnsi="Times New Roman" w:cs="Times New Roman"/>
                <w:kern w:val="0"/>
                <w:szCs w:val="21"/>
              </w:rPr>
              <w:t>443</w:t>
            </w:r>
          </w:p>
        </w:tc>
        <w:tc>
          <w:tcPr>
            <w:tcW w:w="1139" w:type="dxa"/>
            <w:tcBorders>
              <w:top w:val="single" w:color="auto" w:sz="4" w:space="0"/>
              <w:left w:val="nil"/>
              <w:bottom w:val="single" w:color="auto" w:sz="4" w:space="0"/>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92</w:t>
            </w:r>
            <w:r>
              <w:rPr>
                <w:rFonts w:ascii="Times New Roman" w:hAnsi="Times New Roman" w:cs="Times New Roman"/>
                <w:kern w:val="0"/>
                <w:szCs w:val="21"/>
              </w:rPr>
              <w:t xml:space="preserve"> </w:t>
            </w:r>
            <w:r>
              <w:rPr>
                <w:rFonts w:hint="eastAsia" w:ascii="Times New Roman" w:hAnsi="Times New Roman" w:cs="Times New Roman"/>
                <w:kern w:val="0"/>
                <w:szCs w:val="21"/>
              </w:rPr>
              <w:t>537</w:t>
            </w:r>
          </w:p>
        </w:tc>
        <w:tc>
          <w:tcPr>
            <w:tcW w:w="1139" w:type="dxa"/>
            <w:tcBorders>
              <w:top w:val="single" w:color="auto" w:sz="4" w:space="0"/>
              <w:left w:val="nil"/>
              <w:bottom w:val="single" w:color="auto" w:sz="4" w:space="0"/>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3837</w:t>
            </w:r>
          </w:p>
        </w:tc>
        <w:tc>
          <w:tcPr>
            <w:tcW w:w="1141" w:type="dxa"/>
            <w:tcBorders>
              <w:top w:val="single" w:color="auto" w:sz="4" w:space="0"/>
              <w:left w:val="nil"/>
              <w:bottom w:val="single" w:color="auto" w:sz="4" w:space="0"/>
              <w:right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96</w:t>
            </w:r>
            <w:r>
              <w:rPr>
                <w:rFonts w:ascii="Times New Roman" w:hAnsi="Times New Roman" w:cs="Times New Roman"/>
                <w:kern w:val="0"/>
                <w:szCs w:val="21"/>
              </w:rPr>
              <w:t xml:space="preserve"> </w:t>
            </w:r>
            <w:r>
              <w:rPr>
                <w:rFonts w:hint="eastAsia" w:ascii="Times New Roman" w:hAnsi="Times New Roman" w:cs="Times New Roman"/>
                <w:kern w:val="0"/>
                <w:szCs w:val="21"/>
              </w:rPr>
              <w:t>374</w:t>
            </w:r>
          </w:p>
        </w:tc>
      </w:tr>
    </w:tbl>
    <w:p>
      <w:pPr>
        <w:rPr>
          <w:rFonts w:ascii="Times New Roman" w:hAnsi="Times New Roman" w:eastAsia="仿宋" w:cs="Times New Roman"/>
        </w:rPr>
      </w:pPr>
    </w:p>
    <w:p>
      <w:pPr>
        <w:jc w:val="center"/>
        <w:rPr>
          <w:rFonts w:hint="eastAsia" w:ascii="黑体" w:hAnsi="黑体" w:eastAsia="黑体" w:cs="黑体"/>
          <w:sz w:val="18"/>
          <w:szCs w:val="18"/>
        </w:rPr>
      </w:pPr>
      <w:r>
        <w:rPr>
          <w:rFonts w:hint="eastAsia" w:ascii="黑体" w:hAnsi="黑体" w:eastAsia="黑体" w:cs="黑体"/>
          <w:sz w:val="18"/>
          <w:szCs w:val="18"/>
        </w:rPr>
        <w:t>表Ⅱ4  竞争性政策分析</w:t>
      </w:r>
    </w:p>
    <w:tbl>
      <w:tblPr>
        <w:tblStyle w:val="13"/>
        <w:tblW w:w="0" w:type="auto"/>
        <w:jc w:val="center"/>
        <w:tblLayout w:type="autofit"/>
        <w:tblCellMar>
          <w:top w:w="0" w:type="dxa"/>
          <w:left w:w="0" w:type="dxa"/>
          <w:bottom w:w="0" w:type="dxa"/>
          <w:right w:w="0" w:type="dxa"/>
        </w:tblCellMar>
      </w:tblPr>
      <w:tblGrid>
        <w:gridCol w:w="1205"/>
        <w:gridCol w:w="962"/>
        <w:gridCol w:w="962"/>
        <w:gridCol w:w="1064"/>
        <w:gridCol w:w="1063"/>
        <w:gridCol w:w="742"/>
        <w:gridCol w:w="742"/>
        <w:gridCol w:w="783"/>
        <w:gridCol w:w="783"/>
      </w:tblGrid>
      <w:tr>
        <w:tblPrEx>
          <w:tblCellMar>
            <w:top w:w="0" w:type="dxa"/>
            <w:left w:w="0" w:type="dxa"/>
            <w:bottom w:w="0" w:type="dxa"/>
            <w:right w:w="0" w:type="dxa"/>
          </w:tblCellMar>
        </w:tblPrEx>
        <w:trPr>
          <w:jc w:val="center"/>
        </w:trPr>
        <w:tc>
          <w:tcPr>
            <w:tcW w:w="0" w:type="auto"/>
            <w:tcBorders>
              <w:top w:val="single" w:color="auto" w:sz="12" w:space="0"/>
              <w:lef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0" w:type="auto"/>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“营改增”影响 ：剔除服务业行业</w:t>
            </w:r>
          </w:p>
        </w:tc>
        <w:tc>
          <w:tcPr>
            <w:tcW w:w="0" w:type="auto"/>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“营改增”影响：剔除2016年受影响行业</w:t>
            </w:r>
          </w:p>
        </w:tc>
        <w:tc>
          <w:tcPr>
            <w:tcW w:w="0" w:type="auto"/>
            <w:gridSpan w:val="2"/>
            <w:tcBorders>
              <w:top w:val="single" w:color="auto" w:sz="12"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剔除金融危机的干扰</w:t>
            </w:r>
          </w:p>
        </w:tc>
        <w:tc>
          <w:tcPr>
            <w:tcW w:w="0" w:type="auto"/>
            <w:gridSpan w:val="2"/>
            <w:tcBorders>
              <w:top w:val="single" w:color="auto" w:sz="12" w:space="0"/>
              <w:bottom w:val="single" w:color="auto" w:sz="6" w:space="0"/>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剔除国家级开发区影响</w:t>
            </w:r>
          </w:p>
        </w:tc>
      </w:tr>
      <w:tr>
        <w:tblPrEx>
          <w:tblCellMar>
            <w:top w:w="0" w:type="dxa"/>
            <w:left w:w="0" w:type="dxa"/>
            <w:bottom w:w="0" w:type="dxa"/>
            <w:right w:w="0" w:type="dxa"/>
          </w:tblCellMar>
        </w:tblPrEx>
        <w:trPr>
          <w:jc w:val="center"/>
        </w:trPr>
        <w:tc>
          <w:tcPr>
            <w:tcW w:w="0" w:type="auto"/>
            <w:tcBorders>
              <w:lef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被解释变量</w:t>
            </w:r>
          </w:p>
        </w:tc>
        <w:tc>
          <w:tcPr>
            <w:tcW w:w="0" w:type="auto"/>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0" w:type="auto"/>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c>
          <w:tcPr>
            <w:tcW w:w="0" w:type="auto"/>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0" w:type="auto"/>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c>
          <w:tcPr>
            <w:tcW w:w="0" w:type="auto"/>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0" w:type="auto"/>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c>
          <w:tcPr>
            <w:tcW w:w="0" w:type="auto"/>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贸易额</w:t>
            </w:r>
          </w:p>
        </w:tc>
        <w:tc>
          <w:tcPr>
            <w:tcW w:w="0" w:type="auto"/>
            <w:tcBorders>
              <w:top w:val="single" w:color="auto" w:sz="6" w:space="0"/>
              <w:bottom w:val="single" w:color="auto" w:sz="6"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增长率</w:t>
            </w:r>
          </w:p>
        </w:tc>
      </w:tr>
      <w:tr>
        <w:tblPrEx>
          <w:tblCellMar>
            <w:top w:w="0" w:type="dxa"/>
            <w:left w:w="0" w:type="dxa"/>
            <w:bottom w:w="0" w:type="dxa"/>
            <w:right w:w="0" w:type="dxa"/>
          </w:tblCellMar>
        </w:tblPrEx>
        <w:trPr>
          <w:jc w:val="center"/>
        </w:trPr>
        <w:tc>
          <w:tcPr>
            <w:tcW w:w="0" w:type="auto"/>
            <w:tcBorders>
              <w:left w:val="nil"/>
              <w:bottom w:val="single" w:color="auto" w:sz="4" w:space="0"/>
            </w:tcBorders>
            <w:vAlign w:val="center"/>
          </w:tcPr>
          <w:p>
            <w:pPr>
              <w:autoSpaceDE w:val="0"/>
              <w:autoSpaceDN w:val="0"/>
              <w:adjustRightInd w:val="0"/>
              <w:jc w:val="center"/>
              <w:rPr>
                <w:rFonts w:ascii="Times New Roman" w:hAnsi="Times New Roman" w:eastAsia="等线" w:cs="Times New Roman"/>
                <w:kern w:val="0"/>
                <w:szCs w:val="21"/>
              </w:rPr>
            </w:pPr>
          </w:p>
        </w:tc>
        <w:tc>
          <w:tcPr>
            <w:tcW w:w="0" w:type="auto"/>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w:t>
            </w:r>
          </w:p>
        </w:tc>
        <w:tc>
          <w:tcPr>
            <w:tcW w:w="0" w:type="auto"/>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（2）</w:t>
            </w:r>
          </w:p>
        </w:tc>
        <w:tc>
          <w:tcPr>
            <w:tcW w:w="0" w:type="auto"/>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（3）</w:t>
            </w:r>
          </w:p>
        </w:tc>
        <w:tc>
          <w:tcPr>
            <w:tcW w:w="0" w:type="auto"/>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（4）</w:t>
            </w:r>
          </w:p>
        </w:tc>
        <w:tc>
          <w:tcPr>
            <w:tcW w:w="0" w:type="auto"/>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（5）</w:t>
            </w:r>
          </w:p>
        </w:tc>
        <w:tc>
          <w:tcPr>
            <w:tcW w:w="0" w:type="auto"/>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（6）</w:t>
            </w:r>
          </w:p>
        </w:tc>
        <w:tc>
          <w:tcPr>
            <w:tcW w:w="0" w:type="auto"/>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（7）</w:t>
            </w:r>
          </w:p>
        </w:tc>
        <w:tc>
          <w:tcPr>
            <w:tcW w:w="0" w:type="auto"/>
            <w:tcBorders>
              <w:top w:val="single" w:color="auto" w:sz="6" w:space="0"/>
              <w:bottom w:val="single" w:color="auto" w:sz="4" w:space="0"/>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（8）</w:t>
            </w:r>
          </w:p>
        </w:tc>
      </w:tr>
      <w:tr>
        <w:tblPrEx>
          <w:tblCellMar>
            <w:top w:w="0" w:type="dxa"/>
            <w:left w:w="0" w:type="dxa"/>
            <w:bottom w:w="0" w:type="dxa"/>
            <w:right w:w="0" w:type="dxa"/>
          </w:tblCellMar>
        </w:tblPrEx>
        <w:trPr>
          <w:jc w:val="center"/>
        </w:trPr>
        <w:tc>
          <w:tcPr>
            <w:tcW w:w="0" w:type="auto"/>
            <w:vMerge w:val="restart"/>
            <w:tcBorders>
              <w:top w:val="single" w:color="auto" w:sz="4" w:space="0"/>
              <w:left w:val="nil"/>
            </w:tcBorders>
            <w:vAlign w:val="center"/>
          </w:tcPr>
          <w:p>
            <w:pPr>
              <w:autoSpaceDE w:val="0"/>
              <w:autoSpaceDN w:val="0"/>
              <w:adjustRightInd w:val="0"/>
              <w:jc w:val="center"/>
              <w:rPr>
                <w:rFonts w:ascii="Times New Roman" w:hAnsi="Times New Roman" w:eastAsia="仿宋" w:cs="Times New Roman"/>
                <w:kern w:val="0"/>
                <w:szCs w:val="21"/>
              </w:rPr>
            </w:pPr>
            <m:oMathPara>
              <m:oMath>
                <m:r>
                  <m:rPr>
                    <m:nor/>
                    <m:sty m:val="p"/>
                  </m:rPr>
                  <w:rPr>
                    <w:rFonts w:ascii="Times New Roman" w:hAnsi="Times New Roman" w:eastAsia="仿宋" w:cs="Times New Roman"/>
                    <w:kern w:val="0"/>
                    <w:szCs w:val="21"/>
                  </w:rPr>
                  <m:t>自贸区×</m:t>
                </m:r>
                <m:sSub>
                  <m:sSubPr>
                    <m:ctrlPr>
                      <w:rPr>
                        <w:rFonts w:ascii="Cambria Math" w:hAnsi="Cambria Math" w:eastAsia="仿宋" w:cs="Times New Roman"/>
                        <w:kern w:val="0"/>
                        <w:szCs w:val="21"/>
                      </w:rPr>
                    </m:ctrlPr>
                  </m:sSubPr>
                  <m:e>
                    <m:r>
                      <m:rPr/>
                      <w:rPr>
                        <w:rFonts w:ascii="Cambria Math" w:hAnsi="Cambria Math" w:eastAsia="仿宋" w:cs="Times New Roman"/>
                        <w:kern w:val="0"/>
                        <w:szCs w:val="21"/>
                      </w:rPr>
                      <m:t>Post</m:t>
                    </m:r>
                    <m:ctrlPr>
                      <w:rPr>
                        <w:rFonts w:ascii="Cambria Math" w:hAnsi="Cambria Math" w:eastAsia="仿宋" w:cs="Times New Roman"/>
                        <w:kern w:val="0"/>
                        <w:szCs w:val="21"/>
                      </w:rPr>
                    </m:ctrlPr>
                  </m:e>
                  <m:sub>
                    <m:r>
                      <m:rPr/>
                      <w:rPr>
                        <w:rFonts w:ascii="Cambria Math" w:hAnsi="Cambria Math" w:eastAsia="仿宋" w:cs="Times New Roman"/>
                        <w:kern w:val="0"/>
                        <w:szCs w:val="21"/>
                      </w:rPr>
                      <m:t>t</m:t>
                    </m:r>
                    <m:ctrlPr>
                      <w:rPr>
                        <w:rFonts w:ascii="Cambria Math" w:hAnsi="Cambria Math" w:eastAsia="仿宋" w:cs="Times New Roman"/>
                        <w:kern w:val="0"/>
                        <w:szCs w:val="21"/>
                      </w:rPr>
                    </m:ctrlPr>
                  </m:sub>
                </m:sSub>
              </m:oMath>
            </m:oMathPara>
          </w:p>
        </w:tc>
        <w:tc>
          <w:tcPr>
            <w:tcW w:w="0" w:type="auto"/>
            <w:tcBorders>
              <w:top w:val="single" w:color="auto" w:sz="4" w:space="0"/>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0.182</w:t>
            </w:r>
            <w:r>
              <w:rPr>
                <w:rFonts w:ascii="Times New Roman" w:hAnsi="Times New Roman" w:eastAsia="仿宋" w:cs="Times New Roman"/>
                <w:kern w:val="0"/>
                <w:szCs w:val="21"/>
                <w:vertAlign w:val="superscript"/>
              </w:rPr>
              <w:t>**</w:t>
            </w:r>
          </w:p>
        </w:tc>
        <w:tc>
          <w:tcPr>
            <w:tcW w:w="0" w:type="auto"/>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3.862</w:t>
            </w:r>
            <w:r>
              <w:rPr>
                <w:rFonts w:ascii="Times New Roman" w:hAnsi="Times New Roman" w:cs="Times New Roman"/>
                <w:kern w:val="0"/>
                <w:szCs w:val="21"/>
                <w:vertAlign w:val="superscript"/>
              </w:rPr>
              <w:t>**</w:t>
            </w:r>
          </w:p>
        </w:tc>
        <w:tc>
          <w:tcPr>
            <w:tcW w:w="0" w:type="auto"/>
            <w:tcBorders>
              <w:top w:val="single" w:color="auto" w:sz="4" w:space="0"/>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0.121</w:t>
            </w:r>
            <w:r>
              <w:rPr>
                <w:rFonts w:ascii="Times New Roman" w:hAnsi="Times New Roman" w:eastAsia="仿宋" w:cs="Times New Roman"/>
                <w:kern w:val="0"/>
                <w:szCs w:val="21"/>
                <w:vertAlign w:val="superscript"/>
              </w:rPr>
              <w:t>*</w:t>
            </w:r>
          </w:p>
        </w:tc>
        <w:tc>
          <w:tcPr>
            <w:tcW w:w="0" w:type="auto"/>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3.912</w:t>
            </w:r>
            <w:r>
              <w:rPr>
                <w:rFonts w:ascii="Times New Roman" w:hAnsi="Times New Roman" w:cs="Times New Roman"/>
                <w:kern w:val="0"/>
                <w:szCs w:val="21"/>
                <w:vertAlign w:val="superscript"/>
              </w:rPr>
              <w:t>**</w:t>
            </w:r>
          </w:p>
        </w:tc>
        <w:tc>
          <w:tcPr>
            <w:tcW w:w="0" w:type="auto"/>
            <w:tcBorders>
              <w:top w:val="single" w:color="auto" w:sz="4" w:space="0"/>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0.116</w:t>
            </w:r>
            <w:r>
              <w:rPr>
                <w:rFonts w:ascii="Times New Roman" w:hAnsi="Times New Roman" w:eastAsia="仿宋" w:cs="Times New Roman"/>
                <w:kern w:val="0"/>
                <w:szCs w:val="21"/>
                <w:vertAlign w:val="superscript"/>
              </w:rPr>
              <w:t>*</w:t>
            </w:r>
          </w:p>
        </w:tc>
        <w:tc>
          <w:tcPr>
            <w:tcW w:w="0" w:type="auto"/>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4.659</w:t>
            </w:r>
            <w:r>
              <w:rPr>
                <w:rFonts w:ascii="Times New Roman" w:hAnsi="Times New Roman" w:cs="Times New Roman"/>
                <w:kern w:val="0"/>
                <w:szCs w:val="21"/>
                <w:vertAlign w:val="superscript"/>
              </w:rPr>
              <w:t>**</w:t>
            </w:r>
          </w:p>
        </w:tc>
        <w:tc>
          <w:tcPr>
            <w:tcW w:w="0" w:type="auto"/>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0.127</w:t>
            </w:r>
            <w:r>
              <w:rPr>
                <w:rFonts w:ascii="Times New Roman" w:hAnsi="Times New Roman" w:cs="Times New Roman"/>
                <w:kern w:val="0"/>
                <w:szCs w:val="21"/>
                <w:vertAlign w:val="superscript"/>
              </w:rPr>
              <w:t>*</w:t>
            </w:r>
          </w:p>
        </w:tc>
        <w:tc>
          <w:tcPr>
            <w:tcW w:w="0" w:type="auto"/>
            <w:tcBorders>
              <w:top w:val="single" w:color="auto" w:sz="4" w:space="0"/>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3.928</w:t>
            </w:r>
            <w:r>
              <w:rPr>
                <w:rFonts w:ascii="Times New Roman" w:hAnsi="Times New Roman" w:cs="Times New Roman"/>
                <w:kern w:val="0"/>
                <w:szCs w:val="21"/>
                <w:vertAlign w:val="superscript"/>
              </w:rPr>
              <w:t>**</w:t>
            </w:r>
          </w:p>
        </w:tc>
      </w:tr>
      <w:tr>
        <w:tblPrEx>
          <w:tblCellMar>
            <w:top w:w="0" w:type="dxa"/>
            <w:left w:w="0" w:type="dxa"/>
            <w:bottom w:w="0" w:type="dxa"/>
            <w:right w:w="0" w:type="dxa"/>
          </w:tblCellMar>
        </w:tblPrEx>
        <w:trPr>
          <w:jc w:val="center"/>
        </w:trPr>
        <w:tc>
          <w:tcPr>
            <w:tcW w:w="0" w:type="auto"/>
            <w:vMerge w:val="continue"/>
            <w:tcBorders>
              <w:left w:val="nil"/>
              <w:bottom w:val="nil"/>
            </w:tcBorders>
            <w:vAlign w:val="center"/>
          </w:tcPr>
          <w:p>
            <w:pPr>
              <w:autoSpaceDE w:val="0"/>
              <w:autoSpaceDN w:val="0"/>
              <w:adjustRightInd w:val="0"/>
              <w:jc w:val="center"/>
              <w:rPr>
                <w:rFonts w:ascii="Times New Roman" w:hAnsi="Times New Roman" w:eastAsia="仿宋" w:cs="Times New Roman"/>
                <w:kern w:val="0"/>
                <w:szCs w:val="21"/>
              </w:rPr>
            </w:pPr>
          </w:p>
        </w:tc>
        <w:tc>
          <w:tcPr>
            <w:tcW w:w="0" w:type="auto"/>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(0.093)</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(1.887)</w:t>
            </w:r>
          </w:p>
        </w:tc>
        <w:tc>
          <w:tcPr>
            <w:tcW w:w="0" w:type="auto"/>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(0.073)</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(1.962)</w:t>
            </w:r>
          </w:p>
        </w:tc>
        <w:tc>
          <w:tcPr>
            <w:tcW w:w="0" w:type="auto"/>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(0.069)</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(1.967)</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(0.073)</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(1.961)</w:t>
            </w:r>
          </w:p>
        </w:tc>
      </w:tr>
      <w:tr>
        <w:tblPrEx>
          <w:tblCellMar>
            <w:top w:w="0" w:type="dxa"/>
            <w:left w:w="0" w:type="dxa"/>
            <w:bottom w:w="0" w:type="dxa"/>
            <w:right w:w="0" w:type="dxa"/>
          </w:tblCellMar>
        </w:tblPrEx>
        <w:trPr>
          <w:jc w:val="center"/>
        </w:trPr>
        <w:tc>
          <w:tcPr>
            <w:tcW w:w="0" w:type="auto"/>
            <w:tcBorders>
              <w:left w:val="nil"/>
            </w:tcBorders>
            <w:vAlign w:val="center"/>
          </w:tcPr>
          <w:p>
            <w:pPr>
              <w:autoSpaceDE w:val="0"/>
              <w:autoSpaceDN w:val="0"/>
              <w:adjustRightInd w:val="0"/>
              <w:jc w:val="center"/>
              <w:rPr>
                <w:rFonts w:ascii="Times New Roman" w:hAnsi="Times New Roman" w:eastAsia="仿宋" w:cs="Times New Roman"/>
                <w:kern w:val="0"/>
                <w:szCs w:val="21"/>
              </w:rPr>
            </w:pPr>
            <m:oMathPara>
              <m:oMath>
                <m:r>
                  <m:rPr>
                    <m:nor/>
                    <m:sty m:val="p"/>
                  </m:rPr>
                  <w:rPr>
                    <w:rFonts w:hint="eastAsia" w:ascii="Cambria Math" w:hAnsi="Times New Roman" w:eastAsia="仿宋" w:cs="Times New Roman"/>
                    <w:kern w:val="0"/>
                    <w:szCs w:val="21"/>
                  </w:rPr>
                  <m:t>开发</m:t>
                </m:r>
                <m:r>
                  <m:rPr>
                    <m:nor/>
                    <m:sty m:val="p"/>
                  </m:rPr>
                  <w:rPr>
                    <w:rFonts w:ascii="Times New Roman" w:hAnsi="Times New Roman" w:eastAsia="仿宋" w:cs="Times New Roman"/>
                    <w:kern w:val="0"/>
                    <w:szCs w:val="21"/>
                  </w:rPr>
                  <m:t>区×</m:t>
                </m:r>
                <m:sSubSup>
                  <m:sSubSupPr>
                    <m:ctrlPr>
                      <w:rPr>
                        <w:rFonts w:ascii="Cambria Math" w:hAnsi="Cambria Math" w:eastAsia="仿宋" w:cs="Times New Roman"/>
                        <w:i/>
                        <w:iCs/>
                      </w:rPr>
                    </m:ctrlPr>
                  </m:sSubSupPr>
                  <m:e>
                    <m:r>
                      <m:rPr/>
                      <w:rPr>
                        <w:rFonts w:hint="eastAsia" w:ascii="Cambria Math" w:hAnsi="Cambria Math" w:eastAsia="仿宋" w:cs="Times New Roman"/>
                      </w:rPr>
                      <m:t>Post</m:t>
                    </m:r>
                    <m:ctrlPr>
                      <w:rPr>
                        <w:rFonts w:ascii="Cambria Math" w:hAnsi="Cambria Math" w:eastAsia="仿宋" w:cs="Times New Roman"/>
                        <w:i/>
                        <w:iCs/>
                      </w:rPr>
                    </m:ctrlPr>
                  </m:e>
                  <m:sub>
                    <m:r>
                      <m:rPr/>
                      <w:rPr>
                        <w:rFonts w:ascii="Cambria Math" w:hAnsi="Cambria Math" w:eastAsia="仿宋" w:cs="Times New Roman"/>
                      </w:rPr>
                      <m:t>it</m:t>
                    </m:r>
                    <m:ctrlPr>
                      <w:rPr>
                        <w:rFonts w:ascii="Cambria Math" w:hAnsi="Cambria Math" w:eastAsia="仿宋" w:cs="Times New Roman"/>
                        <w:i/>
                        <w:iCs/>
                      </w:rPr>
                    </m:ctrlPr>
                  </m:sub>
                  <m:sup>
                    <m:r>
                      <m:rPr/>
                      <w:rPr>
                        <w:rFonts w:ascii="Cambria Math" w:hAnsi="Cambria Math" w:eastAsia="仿宋" w:cs="Times New Roman"/>
                      </w:rPr>
                      <m:t>k</m:t>
                    </m:r>
                    <m:ctrlPr>
                      <w:rPr>
                        <w:rFonts w:ascii="Cambria Math" w:hAnsi="Cambria Math" w:eastAsia="仿宋" w:cs="Times New Roman"/>
                        <w:i/>
                        <w:iCs/>
                      </w:rPr>
                    </m:ctrlPr>
                  </m:sup>
                </m:sSubSup>
              </m:oMath>
            </m:oMathPara>
          </w:p>
        </w:tc>
        <w:tc>
          <w:tcPr>
            <w:tcW w:w="0" w:type="auto"/>
            <w:tcBorders>
              <w:top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CellMar>
            <w:top w:w="0" w:type="dxa"/>
            <w:left w:w="0" w:type="dxa"/>
            <w:bottom w:w="0" w:type="dxa"/>
            <w:right w:w="0" w:type="dxa"/>
          </w:tblCellMar>
        </w:tblPrEx>
        <w:trPr>
          <w:jc w:val="center"/>
        </w:trPr>
        <w:tc>
          <w:tcPr>
            <w:tcW w:w="0" w:type="auto"/>
            <w:tcBorders>
              <w:top w:val="nil"/>
              <w:left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控制变量</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CellMar>
            <w:top w:w="0" w:type="dxa"/>
            <w:left w:w="0" w:type="dxa"/>
            <w:bottom w:w="0" w:type="dxa"/>
            <w:right w:w="0" w:type="dxa"/>
          </w:tblCellMar>
        </w:tblPrEx>
        <w:trPr>
          <w:jc w:val="center"/>
        </w:trPr>
        <w:tc>
          <w:tcPr>
            <w:tcW w:w="0" w:type="auto"/>
            <w:tcBorders>
              <w:top w:val="nil"/>
              <w:left w:val="nil"/>
              <w:bottom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企业 FE</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bottom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年份 FE</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Observations</w:t>
            </w:r>
          </w:p>
        </w:tc>
        <w:tc>
          <w:tcPr>
            <w:tcW w:w="0" w:type="auto"/>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171 158</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137 886</w:t>
            </w:r>
          </w:p>
        </w:tc>
        <w:tc>
          <w:tcPr>
            <w:tcW w:w="0" w:type="auto"/>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175 733</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141 424</w:t>
            </w:r>
          </w:p>
        </w:tc>
        <w:tc>
          <w:tcPr>
            <w:tcW w:w="0" w:type="auto"/>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143 675</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141 472</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175 802</w:t>
            </w:r>
          </w:p>
        </w:tc>
        <w:tc>
          <w:tcPr>
            <w:tcW w:w="0" w:type="auto"/>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141 486</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R-squared</w:t>
            </w:r>
          </w:p>
        </w:tc>
        <w:tc>
          <w:tcPr>
            <w:tcW w:w="0" w:type="auto"/>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0.668</w:t>
            </w:r>
          </w:p>
        </w:tc>
        <w:tc>
          <w:tcPr>
            <w:tcW w:w="0" w:type="auto"/>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0.333</w:t>
            </w:r>
          </w:p>
        </w:tc>
        <w:tc>
          <w:tcPr>
            <w:tcW w:w="0" w:type="auto"/>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0.811</w:t>
            </w:r>
          </w:p>
        </w:tc>
        <w:tc>
          <w:tcPr>
            <w:tcW w:w="0" w:type="auto"/>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0.331</w:t>
            </w:r>
          </w:p>
        </w:tc>
        <w:tc>
          <w:tcPr>
            <w:tcW w:w="0" w:type="auto"/>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0.831</w:t>
            </w:r>
          </w:p>
        </w:tc>
        <w:tc>
          <w:tcPr>
            <w:tcW w:w="0" w:type="auto"/>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0.333</w:t>
            </w:r>
          </w:p>
        </w:tc>
        <w:tc>
          <w:tcPr>
            <w:tcW w:w="0" w:type="auto"/>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0.818</w:t>
            </w:r>
          </w:p>
        </w:tc>
        <w:tc>
          <w:tcPr>
            <w:tcW w:w="0" w:type="auto"/>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cs="Times New Roman"/>
                <w:kern w:val="0"/>
                <w:szCs w:val="21"/>
              </w:rPr>
              <w:t>0.331</w:t>
            </w:r>
          </w:p>
        </w:tc>
      </w:tr>
    </w:tbl>
    <w:p>
      <w:pPr>
        <w:rPr>
          <w:rFonts w:ascii="Times New Roman" w:hAnsi="Times New Roman" w:eastAsia="仿宋" w:cs="Times New Roman"/>
        </w:rPr>
        <w:sectPr>
          <w:pgSz w:w="11906" w:h="16838"/>
          <w:pgMar w:top="1440" w:right="1800" w:bottom="1440" w:left="1800" w:header="851" w:footer="992" w:gutter="0"/>
          <w:cols w:space="425" w:num="1"/>
          <w:docGrid w:type="lines" w:linePitch="312" w:charSpace="0"/>
        </w:sectPr>
      </w:pPr>
    </w:p>
    <w:p>
      <w:pPr>
        <w:rPr>
          <w:rFonts w:ascii="Times New Roman" w:hAnsi="Times New Roman" w:eastAsia="仿宋" w:cs="Times New Roman"/>
        </w:rPr>
      </w:pPr>
    </w:p>
    <w:p>
      <w:pPr>
        <w:pStyle w:val="31"/>
        <w:ind w:firstLine="422"/>
        <w:jc w:val="center"/>
        <w:rPr>
          <w:rFonts w:hint="eastAsia" w:ascii="楷体" w:hAnsi="楷体" w:eastAsia="楷体" w:cs="楷体"/>
          <w:b w:val="0"/>
          <w:bCs/>
          <w:sz w:val="28"/>
          <w:szCs w:val="28"/>
        </w:rPr>
      </w:pPr>
      <w:bookmarkStart w:id="3" w:name="_Toc160293716"/>
      <w:r>
        <w:rPr>
          <w:rFonts w:hint="eastAsia" w:ascii="楷体" w:hAnsi="楷体" w:eastAsia="楷体" w:cs="楷体"/>
          <w:b w:val="0"/>
          <w:bCs/>
          <w:sz w:val="28"/>
          <w:szCs w:val="28"/>
        </w:rPr>
        <w:t>附录Ⅲ 异质性分析</w:t>
      </w:r>
      <w:bookmarkEnd w:id="3"/>
    </w:p>
    <w:p>
      <w:pPr>
        <w:pStyle w:val="6"/>
        <w:rPr>
          <w:rFonts w:ascii="Times New Roman" w:hAnsi="Times New Roman" w:eastAsia="仿宋" w:cs="Times New Roman"/>
          <w:sz w:val="21"/>
          <w:szCs w:val="21"/>
        </w:rPr>
      </w:pPr>
    </w:p>
    <w:p>
      <w:pPr>
        <w:ind w:firstLine="420" w:firstLineChars="200"/>
        <w:rPr>
          <w:rFonts w:ascii="Times New Roman" w:hAnsi="Times New Roman" w:eastAsia="仿宋" w:cs="Times New Roman"/>
          <w:szCs w:val="21"/>
        </w:rPr>
      </w:pPr>
      <w:bookmarkStart w:id="4" w:name="_Hlk110293829"/>
      <w:r>
        <w:rPr>
          <w:rFonts w:ascii="Times New Roman" w:hAnsi="Times New Roman" w:eastAsia="仿宋" w:cs="Times New Roman"/>
          <w:szCs w:val="21"/>
        </w:rPr>
        <w:t>由于不同行业依赖中间品贸易以及进出口的程度不同，因而自贸区对不同行业的贸易促进效应存在异质性。本文分析</w:t>
      </w:r>
      <w:r>
        <w:rPr>
          <w:rFonts w:hint="eastAsia" w:ascii="Times New Roman" w:hAnsi="Times New Roman" w:eastAsia="仿宋" w:cs="Times New Roman"/>
          <w:szCs w:val="21"/>
        </w:rPr>
        <w:t>了</w:t>
      </w:r>
      <w:r>
        <w:rPr>
          <w:rFonts w:ascii="Times New Roman" w:hAnsi="Times New Roman" w:eastAsia="仿宋" w:cs="Times New Roman"/>
          <w:szCs w:val="21"/>
        </w:rPr>
        <w:t>自贸区建立对各行业企业的影响，</w:t>
      </w:r>
      <w:r>
        <w:rPr>
          <w:rFonts w:hint="eastAsia" w:ascii="Times New Roman" w:hAnsi="Times New Roman" w:eastAsia="仿宋" w:cs="Times New Roman"/>
          <w:szCs w:val="21"/>
        </w:rPr>
        <w:t>我们</w:t>
      </w:r>
      <w:r>
        <w:rPr>
          <w:rFonts w:ascii="Times New Roman" w:hAnsi="Times New Roman" w:eastAsia="仿宋" w:cs="Times New Roman"/>
          <w:szCs w:val="21"/>
        </w:rPr>
        <w:t>基于2007年福建省投入产出表进行</w:t>
      </w:r>
      <w:r>
        <w:rPr>
          <w:rFonts w:hint="eastAsia" w:ascii="Times New Roman" w:hAnsi="Times New Roman" w:eastAsia="仿宋" w:cs="Times New Roman"/>
          <w:szCs w:val="21"/>
        </w:rPr>
        <w:t>行业</w:t>
      </w:r>
      <w:r>
        <w:rPr>
          <w:rFonts w:ascii="Times New Roman" w:hAnsi="Times New Roman" w:eastAsia="仿宋" w:cs="Times New Roman"/>
          <w:szCs w:val="21"/>
        </w:rPr>
        <w:t>划分，并且剔除由于样本过少和估计值异常的行业。由</w:t>
      </w:r>
      <w:r>
        <w:rPr>
          <w:rFonts w:hint="eastAsia" w:ascii="Times New Roman" w:hAnsi="Times New Roman" w:eastAsia="仿宋" w:cs="Times New Roman"/>
          <w:szCs w:val="21"/>
        </w:rPr>
        <w:t>图Ⅲ</w:t>
      </w:r>
      <w:r>
        <w:rPr>
          <w:rFonts w:ascii="Times New Roman" w:hAnsi="Times New Roman" w:eastAsia="仿宋" w:cs="Times New Roman"/>
          <w:szCs w:val="21"/>
        </w:rPr>
        <w:t>1中各行业的估计系数可知，自贸区对大部分行业的贸易均有促进效应，其中尤以批发零售业、房地产业的影响较为明显，一方面说明自贸区有效促进了中间品流通，推动了产业链整合，另一方面设立自贸区属于区域开发政策，从而使市场产生</w:t>
      </w:r>
      <w:r>
        <w:rPr>
          <w:rFonts w:hint="eastAsia" w:ascii="Times New Roman" w:hAnsi="Times New Roman" w:eastAsia="仿宋" w:cs="Times New Roman"/>
          <w:szCs w:val="21"/>
        </w:rPr>
        <w:t>管制</w:t>
      </w:r>
      <w:r>
        <w:rPr>
          <w:rFonts w:ascii="Times New Roman" w:hAnsi="Times New Roman" w:eastAsia="仿宋" w:cs="Times New Roman"/>
          <w:szCs w:val="21"/>
        </w:rPr>
        <w:t>放松的预期，带来了更多的投资利多信号，可能催生房产投机氛围的变化，从而推高了区域房地产行情。</w:t>
      </w:r>
      <w:bookmarkEnd w:id="4"/>
    </w:p>
    <w:p>
      <w:pPr>
        <w:rPr>
          <w:rFonts w:ascii="Times New Roman" w:hAnsi="Times New Roman" w:eastAsia="仿宋" w:cs="Times New Roman"/>
          <w:szCs w:val="21"/>
        </w:rPr>
      </w:pPr>
    </w:p>
    <w:p>
      <w:pPr>
        <w:keepNext/>
        <w:jc w:val="center"/>
        <w:rPr>
          <w:rFonts w:ascii="Times New Roman" w:hAnsi="Times New Roman" w:cs="Times New Roman"/>
        </w:rPr>
      </w:pP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177800</wp:posOffset>
            </wp:positionH>
            <wp:positionV relativeFrom="paragraph">
              <wp:posOffset>95250</wp:posOffset>
            </wp:positionV>
            <wp:extent cx="4920615" cy="2774950"/>
            <wp:effectExtent l="0" t="0" r="0" b="63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6"/>
        <w:jc w:val="center"/>
        <w:rPr>
          <w:rFonts w:hint="eastAsia" w:ascii="黑体" w:hAnsi="黑体" w:eastAsia="黑体" w:cs="黑体"/>
          <w:sz w:val="18"/>
          <w:szCs w:val="18"/>
        </w:rPr>
      </w:pPr>
      <w:r>
        <w:rPr>
          <w:rFonts w:hint="eastAsia" w:ascii="黑体" w:hAnsi="黑体" w:eastAsia="黑体" w:cs="黑体"/>
          <w:sz w:val="18"/>
          <w:szCs w:val="18"/>
        </w:rPr>
        <w:t>图Ⅲ1  自贸试验区贸易促进效应的行业异质性</w:t>
      </w:r>
    </w:p>
    <w:p>
      <w:pPr>
        <w:ind w:firstLine="360" w:firstLineChars="200"/>
        <w:rPr>
          <w:rFonts w:hint="eastAsia" w:ascii="黑体" w:hAnsi="黑体" w:eastAsia="黑体" w:cs="黑体"/>
          <w:color w:val="FF0000"/>
          <w:sz w:val="18"/>
          <w:szCs w:val="18"/>
        </w:rPr>
        <w:sectPr>
          <w:pgSz w:w="11906" w:h="16838"/>
          <w:pgMar w:top="1440" w:right="1800" w:bottom="1440" w:left="1800" w:header="851" w:footer="992" w:gutter="0"/>
          <w:cols w:space="425" w:num="1"/>
          <w:docGrid w:type="lines" w:linePitch="312" w:charSpace="0"/>
        </w:sectPr>
      </w:pPr>
    </w:p>
    <w:p>
      <w:pPr>
        <w:pStyle w:val="31"/>
        <w:ind w:firstLine="482"/>
        <w:jc w:val="center"/>
        <w:rPr>
          <w:rFonts w:hint="eastAsia" w:ascii="楷体" w:hAnsi="楷体" w:eastAsia="楷体" w:cs="楷体"/>
          <w:b w:val="0"/>
          <w:bCs/>
          <w:sz w:val="28"/>
          <w:szCs w:val="22"/>
        </w:rPr>
      </w:pPr>
      <w:bookmarkStart w:id="5" w:name="_Toc160293717"/>
      <w:r>
        <w:rPr>
          <w:rFonts w:hint="eastAsia" w:ascii="楷体" w:hAnsi="楷体" w:eastAsia="楷体" w:cs="楷体"/>
          <w:b w:val="0"/>
          <w:bCs/>
          <w:sz w:val="28"/>
          <w:szCs w:val="22"/>
        </w:rPr>
        <w:t>附录Ⅳ 机制分析</w:t>
      </w:r>
      <w:bookmarkEnd w:id="5"/>
    </w:p>
    <w:p>
      <w:pPr>
        <w:ind w:firstLine="420" w:firstLineChars="200"/>
        <w:rPr>
          <w:rFonts w:ascii="Times New Roman" w:hAnsi="Times New Roman" w:eastAsia="仿宋" w:cs="Times New Roman"/>
          <w:color w:val="FF0000"/>
          <w:szCs w:val="21"/>
        </w:rPr>
      </w:pPr>
    </w:p>
    <w:p>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在后次贷危机的背景下，自贸试验区设计初衷即为更好地连通国际国内市场，故本文从内外两个角度思考自贸区贸促效应的产生机制，一方面，自贸区汇集外部中间品供给和需求，对内部市场必然产生刺激、提供动能，另一方面，自贸区自成立以来不断承接中央和地方层面惠企政策，与其他区域相比累积多重优势，因此，本文主要从外贸驱动和政策扶持两方面开展讨论。</w:t>
      </w:r>
    </w:p>
    <w:p>
      <w:pPr>
        <w:ind w:firstLine="422" w:firstLineChars="200"/>
        <w:rPr>
          <w:rFonts w:ascii="Times New Roman" w:hAnsi="Times New Roman" w:eastAsia="仿宋" w:cs="Times New Roman"/>
          <w:b/>
          <w:bCs/>
        </w:rPr>
      </w:pPr>
      <w:r>
        <w:rPr>
          <w:rFonts w:hint="eastAsia" w:ascii="Times New Roman" w:hAnsi="Times New Roman" w:eastAsia="仿宋" w:cs="Times New Roman"/>
          <w:b/>
          <w:bCs/>
        </w:rPr>
        <w:t>1.国际市场：外贸驱动</w:t>
      </w:r>
    </w:p>
    <w:p>
      <w:pPr>
        <w:ind w:firstLine="420"/>
        <w:rPr>
          <w:rFonts w:ascii="Times New Roman" w:hAnsi="Times New Roman" w:eastAsia="仿宋" w:cs="Times New Roman"/>
        </w:rPr>
      </w:pPr>
      <w:r>
        <w:rPr>
          <w:rFonts w:ascii="Times New Roman" w:hAnsi="Times New Roman" w:eastAsia="仿宋" w:cs="Times New Roman"/>
        </w:rPr>
        <w:t>由于政策属性，自贸区对地区参与国际贸易的推动作用是不言自明的（蒋灵多等</w:t>
      </w:r>
      <w:r>
        <w:rPr>
          <w:rFonts w:hint="eastAsia" w:ascii="Times New Roman" w:hAnsi="Times New Roman" w:eastAsia="仿宋" w:cs="Times New Roman"/>
        </w:rPr>
        <w:t>，</w:t>
      </w:r>
      <w:r>
        <w:rPr>
          <w:rFonts w:ascii="Times New Roman" w:hAnsi="Times New Roman" w:eastAsia="仿宋" w:cs="Times New Roman"/>
        </w:rPr>
        <w:t>2021；康继军和郑维伟，2021），这表明区内企业普遍受到自贸区的进口或出口效应影响，其产品专业化、多样性程度必定有所提升，同时其产品质量和企业经营生存也可能改善（Grossman and Helpman，1991；Keller，2002；Ethier，1982；Broda and Weinstein，2006）</w:t>
      </w:r>
      <w:r>
        <w:rPr>
          <w:rFonts w:hint="eastAsia" w:ascii="Times New Roman" w:hAnsi="Times New Roman" w:eastAsia="仿宋" w:cs="Times New Roman"/>
        </w:rPr>
        <w:t>。</w:t>
      </w:r>
      <w:r>
        <w:rPr>
          <w:rFonts w:ascii="Times New Roman" w:hAnsi="Times New Roman" w:eastAsia="仿宋" w:cs="Times New Roman"/>
        </w:rPr>
        <w:t>因此，自贸区企业的外贸对其内贸</w:t>
      </w:r>
      <w:r>
        <w:rPr>
          <w:rFonts w:hint="eastAsia" w:ascii="Times New Roman" w:hAnsi="Times New Roman" w:eastAsia="仿宋" w:cs="Times New Roman"/>
        </w:rPr>
        <w:t>可能</w:t>
      </w:r>
      <w:r>
        <w:rPr>
          <w:rFonts w:ascii="Times New Roman" w:hAnsi="Times New Roman" w:eastAsia="仿宋" w:cs="Times New Roman"/>
        </w:rPr>
        <w:t>具有提拉作用</w:t>
      </w:r>
      <w:r>
        <w:rPr>
          <w:rFonts w:hint="eastAsia" w:ascii="Times New Roman" w:hAnsi="Times New Roman" w:eastAsia="仿宋" w:cs="Times New Roman"/>
        </w:rPr>
        <w:t>，由于内外供销链条的建立和维护具有长期性，这种外贸驱动往往体现在相对稳定的交易关系中。</w:t>
      </w:r>
      <w:r>
        <w:rPr>
          <w:rFonts w:ascii="Times New Roman" w:hAnsi="Times New Roman" w:eastAsia="仿宋" w:cs="Times New Roman"/>
        </w:rPr>
        <w:t>本文在这一部分使用“贸易对”数据，将研究对象转换为逐笔交易的企业双方及其贸易额</w:t>
      </w:r>
      <w:r>
        <w:rPr>
          <w:rFonts w:hint="eastAsia" w:ascii="Times New Roman" w:hAnsi="Times New Roman" w:eastAsia="仿宋" w:cs="Times New Roman"/>
        </w:rPr>
        <w:t>，并</w:t>
      </w:r>
      <w:r>
        <w:rPr>
          <w:rFonts w:ascii="Times New Roman" w:hAnsi="Times New Roman" w:eastAsia="仿宋" w:cs="Times New Roman"/>
        </w:rPr>
        <w:t>将中国海关进出口数据与增值税数据匹配</w:t>
      </w:r>
      <w:r>
        <w:rPr>
          <w:rFonts w:ascii="Times New Roman" w:hAnsi="Times New Roman" w:eastAsia="仿宋" w:cs="Times New Roman"/>
          <w:vertAlign w:val="superscript"/>
        </w:rPr>
        <w:footnoteReference w:id="2"/>
      </w:r>
      <w:r>
        <w:rPr>
          <w:rFonts w:ascii="Times New Roman" w:hAnsi="Times New Roman" w:eastAsia="仿宋" w:cs="Times New Roman"/>
        </w:rPr>
        <w:t>以获得企业的进出口额。此时，我们将政策冲击的虚拟变量赋值到交易的一方，例如在某一笔交易中，供方企业是区内企业，那么在该笔交易中，虚拟变量“自贸试验区（供方企业）</w:t>
      </w:r>
      <w:r>
        <w:rPr>
          <w:rFonts w:ascii="Times New Roman" w:hAnsi="Times New Roman" w:eastAsia="仿宋" w:cs="Times New Roman"/>
          <w:i/>
          <w:iCs/>
        </w:rPr>
        <w:t>×Post</w:t>
      </w:r>
      <w:r>
        <w:rPr>
          <w:rFonts w:ascii="Times New Roman" w:hAnsi="Times New Roman" w:eastAsia="仿宋" w:cs="Times New Roman"/>
          <w:i/>
          <w:iCs/>
          <w:vertAlign w:val="subscript"/>
        </w:rPr>
        <w:t>t</w:t>
      </w:r>
      <w:r>
        <w:rPr>
          <w:rFonts w:ascii="Times New Roman" w:hAnsi="Times New Roman" w:eastAsia="仿宋" w:cs="Times New Roman"/>
        </w:rPr>
        <w:t>”取1，否则为0；相反，如果需方在自贸区内，则“自贸试验区（需方企业）</w:t>
      </w:r>
      <w:r>
        <w:rPr>
          <w:rFonts w:ascii="Times New Roman" w:hAnsi="Times New Roman" w:eastAsia="仿宋" w:cs="Times New Roman"/>
          <w:i/>
          <w:iCs/>
        </w:rPr>
        <w:t>×Post</w:t>
      </w:r>
      <w:r>
        <w:rPr>
          <w:rFonts w:ascii="Times New Roman" w:hAnsi="Times New Roman" w:eastAsia="仿宋" w:cs="Times New Roman"/>
          <w:i/>
          <w:iCs/>
          <w:vertAlign w:val="subscript"/>
        </w:rPr>
        <w:t>t</w:t>
      </w:r>
      <w:r>
        <w:rPr>
          <w:rFonts w:ascii="Times New Roman" w:hAnsi="Times New Roman" w:eastAsia="仿宋" w:cs="Times New Roman"/>
        </w:rPr>
        <w:t>”取1，否则为0。本文将回归分为两组，处理组分别为供、需方某一方是区内企业的贸易对，控制组为供需双方均不在自贸区内的贸易对，因变量为贸易对的贸易额（对数），同时为避免2008年世界范围内金融危机影响以及处理前样本不存在的情况，将数据时间控制在2012</w:t>
      </w:r>
      <w:r>
        <w:rPr>
          <w:rFonts w:hint="eastAsia" w:ascii="Times New Roman" w:hAnsi="Times New Roman" w:eastAsia="仿宋" w:cs="Times New Roman"/>
          <w:lang w:eastAsia="zh-CN"/>
        </w:rPr>
        <w:t>—</w:t>
      </w:r>
      <w:r>
        <w:rPr>
          <w:rFonts w:ascii="Times New Roman" w:hAnsi="Times New Roman" w:eastAsia="仿宋" w:cs="Times New Roman"/>
        </w:rPr>
        <w:t>2016年并控制相关受影响行业虚拟变量，同时剔除贸易双方在自贸区成立前不存在交易关系的贸易对，具体结果见表</w:t>
      </w:r>
      <w:r>
        <w:rPr>
          <w:rFonts w:hint="eastAsia" w:ascii="Times New Roman" w:hAnsi="Times New Roman" w:eastAsia="仿宋" w:cs="Times New Roman"/>
          <w:szCs w:val="21"/>
        </w:rPr>
        <w:t>Ⅳ</w:t>
      </w:r>
      <w:r>
        <w:rPr>
          <w:rFonts w:ascii="Times New Roman" w:hAnsi="Times New Roman" w:eastAsia="仿宋" w:cs="Times New Roman"/>
        </w:rPr>
        <w:t>1</w:t>
      </w:r>
      <w:r>
        <w:rPr>
          <w:rFonts w:hint="eastAsia" w:ascii="Times New Roman" w:hAnsi="Times New Roman" w:eastAsia="仿宋" w:cs="Times New Roman"/>
        </w:rPr>
        <w:t xml:space="preserve">。 </w:t>
      </w:r>
    </w:p>
    <w:p>
      <w:pPr>
        <w:ind w:firstLine="420"/>
        <w:rPr>
          <w:rFonts w:ascii="Times New Roman" w:hAnsi="Times New Roman" w:eastAsia="仿宋" w:cs="Times New Roman"/>
        </w:rPr>
      </w:pPr>
      <w:r>
        <w:rPr>
          <w:rFonts w:hint="eastAsia" w:ascii="Times New Roman" w:hAnsi="Times New Roman" w:eastAsia="仿宋" w:cs="Times New Roman"/>
        </w:rPr>
        <w:t>基于结果稳定性的考虑，</w:t>
      </w:r>
      <w:r>
        <w:rPr>
          <w:rFonts w:ascii="Times New Roman" w:hAnsi="Times New Roman" w:eastAsia="仿宋" w:cs="Times New Roman"/>
        </w:rPr>
        <w:t>我们</w:t>
      </w:r>
      <w:r>
        <w:rPr>
          <w:rFonts w:hint="eastAsia" w:ascii="Times New Roman" w:hAnsi="Times New Roman" w:eastAsia="仿宋" w:cs="Times New Roman"/>
        </w:rPr>
        <w:t>首先考察自贸区对两两企业间贸易的作用，然后</w:t>
      </w:r>
      <w:r>
        <w:rPr>
          <w:rFonts w:ascii="Times New Roman" w:hAnsi="Times New Roman" w:eastAsia="仿宋" w:cs="Times New Roman"/>
        </w:rPr>
        <w:t>在贸易对数据中将企业进出口额与供方或需方自贸区变量的交乘项纳入回归，其结果列于表表</w:t>
      </w:r>
      <w:r>
        <w:rPr>
          <w:rFonts w:hint="eastAsia" w:ascii="Times New Roman" w:hAnsi="Times New Roman" w:eastAsia="仿宋" w:cs="Times New Roman"/>
          <w:szCs w:val="21"/>
        </w:rPr>
        <w:t>Ⅳ</w:t>
      </w:r>
      <w:r>
        <w:rPr>
          <w:rFonts w:ascii="Times New Roman" w:hAnsi="Times New Roman" w:eastAsia="仿宋" w:cs="Times New Roman"/>
        </w:rPr>
        <w:t>1中，可以看出</w:t>
      </w:r>
      <w:r>
        <w:rPr>
          <w:rFonts w:hint="eastAsia" w:ascii="Times New Roman" w:hAnsi="Times New Roman" w:eastAsia="仿宋" w:cs="Times New Roman"/>
        </w:rPr>
        <w:t>，第（1）、（2）列结果与前文相对应，</w:t>
      </w:r>
      <w:r>
        <w:rPr>
          <w:rFonts w:ascii="Times New Roman" w:hAnsi="Times New Roman" w:eastAsia="仿宋" w:cs="Times New Roman"/>
        </w:rPr>
        <w:t>自贸区设立导致区内供方与需方企业的交易额，分别平均增长7.5%与13.3%</w:t>
      </w:r>
      <w:r>
        <w:rPr>
          <w:rFonts w:hint="eastAsia" w:ascii="Times New Roman" w:hAnsi="Times New Roman" w:eastAsia="仿宋" w:cs="Times New Roman"/>
        </w:rPr>
        <w:t>，说明自贸区成立对区内外贸易对的贸易规模同样具有促进作用，更主要的是，在第（3）、（4）列中，包含进出口总额的交乘式显著为正，这表明区内企业外贸增长能够带动其与区外其他地区企业的贸易规模扩张，</w:t>
      </w:r>
      <w:r>
        <w:rPr>
          <w:rFonts w:ascii="Times New Roman" w:hAnsi="Times New Roman" w:eastAsia="仿宋" w:cs="Times New Roman"/>
        </w:rPr>
        <w:t>自贸区企业的对内与对外贸易形成了联动，</w:t>
      </w:r>
      <w:r>
        <w:rPr>
          <w:rFonts w:hint="eastAsia" w:ascii="Times New Roman" w:hAnsi="Times New Roman" w:eastAsia="仿宋" w:cs="Times New Roman"/>
        </w:rPr>
        <w:t>形成了外贸驱动内贸的态势，而这种势能已经渗透到生产网络的最小单位——企业间贸易连接，证明</w:t>
      </w:r>
      <w:r>
        <w:rPr>
          <w:rFonts w:ascii="Times New Roman" w:hAnsi="Times New Roman" w:eastAsia="仿宋" w:cs="Times New Roman"/>
        </w:rPr>
        <w:t>对外贸易</w:t>
      </w:r>
      <w:r>
        <w:rPr>
          <w:rFonts w:hint="eastAsia" w:ascii="Times New Roman" w:hAnsi="Times New Roman" w:eastAsia="仿宋" w:cs="Times New Roman"/>
        </w:rPr>
        <w:t>是自贸区</w:t>
      </w:r>
      <w:r>
        <w:rPr>
          <w:rFonts w:ascii="Times New Roman" w:hAnsi="Times New Roman" w:eastAsia="仿宋" w:cs="Times New Roman"/>
        </w:rPr>
        <w:t>促进区域贸易的</w:t>
      </w:r>
      <w:r>
        <w:rPr>
          <w:rFonts w:hint="eastAsia" w:ascii="Times New Roman" w:hAnsi="Times New Roman" w:eastAsia="仿宋" w:cs="Times New Roman"/>
        </w:rPr>
        <w:t>主要渠道</w:t>
      </w:r>
      <w:r>
        <w:rPr>
          <w:rFonts w:ascii="Times New Roman" w:hAnsi="Times New Roman" w:eastAsia="仿宋" w:cs="Times New Roman"/>
        </w:rPr>
        <w:t>。</w:t>
      </w:r>
    </w:p>
    <w:p>
      <w:pPr>
        <w:ind w:firstLine="420"/>
        <w:rPr>
          <w:rFonts w:ascii="Times New Roman" w:hAnsi="Times New Roman" w:eastAsia="仿宋" w:cs="Times New Roman"/>
        </w:rPr>
      </w:pPr>
    </w:p>
    <w:p>
      <w:pPr>
        <w:pStyle w:val="6"/>
        <w:keepNext/>
        <w:jc w:val="center"/>
        <w:rPr>
          <w:rFonts w:hint="eastAsia" w:ascii="黑体" w:hAnsi="黑体" w:eastAsia="黑体" w:cs="黑体"/>
          <w:sz w:val="18"/>
          <w:szCs w:val="18"/>
        </w:rPr>
      </w:pPr>
      <w:r>
        <w:rPr>
          <w:rFonts w:hint="eastAsia" w:ascii="黑体" w:hAnsi="黑体" w:eastAsia="黑体" w:cs="黑体"/>
          <w:sz w:val="18"/>
          <w:szCs w:val="18"/>
        </w:rPr>
        <w:t>表Ⅳ1  “贸易对”视角下的自贸区外贸驱动机制</w:t>
      </w:r>
    </w:p>
    <w:tbl>
      <w:tblPr>
        <w:tblStyle w:val="13"/>
        <w:tblW w:w="5000" w:type="pct"/>
        <w:jc w:val="center"/>
        <w:tblLayout w:type="autofit"/>
        <w:tblCellMar>
          <w:top w:w="0" w:type="dxa"/>
          <w:left w:w="75" w:type="dxa"/>
          <w:bottom w:w="0" w:type="dxa"/>
          <w:right w:w="75" w:type="dxa"/>
        </w:tblCellMar>
      </w:tblPr>
      <w:tblGrid>
        <w:gridCol w:w="4758"/>
        <w:gridCol w:w="944"/>
        <w:gridCol w:w="944"/>
        <w:gridCol w:w="944"/>
        <w:gridCol w:w="866"/>
      </w:tblGrid>
      <w:tr>
        <w:tblPrEx>
          <w:tblCellMar>
            <w:top w:w="0" w:type="dxa"/>
            <w:left w:w="75" w:type="dxa"/>
            <w:bottom w:w="0" w:type="dxa"/>
            <w:right w:w="75" w:type="dxa"/>
          </w:tblCellMar>
        </w:tblPrEx>
        <w:trPr>
          <w:jc w:val="center"/>
        </w:trPr>
        <w:tc>
          <w:tcPr>
            <w:tcW w:w="2814" w:type="pct"/>
            <w:vMerge w:val="restart"/>
            <w:tcBorders>
              <w:top w:val="single" w:color="auto" w:sz="12" w:space="0"/>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w:p>
        </w:tc>
        <w:tc>
          <w:tcPr>
            <w:tcW w:w="2186" w:type="pct"/>
            <w:gridSpan w:val="4"/>
            <w:tcBorders>
              <w:top w:val="single" w:color="auto" w:sz="12" w:space="0"/>
              <w:left w:val="nil"/>
              <w:bottom w:val="single" w:color="auto" w:sz="4" w:space="0"/>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贸易对贸易额</w:t>
            </w:r>
          </w:p>
        </w:tc>
      </w:tr>
      <w:tr>
        <w:tblPrEx>
          <w:tblCellMar>
            <w:top w:w="0" w:type="dxa"/>
            <w:left w:w="75" w:type="dxa"/>
            <w:bottom w:w="0" w:type="dxa"/>
            <w:right w:w="75" w:type="dxa"/>
          </w:tblCellMar>
        </w:tblPrEx>
        <w:trPr>
          <w:jc w:val="center"/>
        </w:trPr>
        <w:tc>
          <w:tcPr>
            <w:tcW w:w="2814" w:type="pct"/>
            <w:vMerge w:val="continue"/>
            <w:tcBorders>
              <w:left w:val="nil"/>
              <w:bottom w:val="single" w:color="auto" w:sz="4" w:space="0"/>
              <w:right w:val="nil"/>
            </w:tcBorders>
            <w:vAlign w:val="center"/>
          </w:tcPr>
          <w:p>
            <w:pPr>
              <w:autoSpaceDE w:val="0"/>
              <w:autoSpaceDN w:val="0"/>
              <w:adjustRightInd w:val="0"/>
              <w:jc w:val="center"/>
              <w:rPr>
                <w:rFonts w:ascii="Times New Roman" w:hAnsi="Times New Roman" w:eastAsia="等线" w:cs="Times New Roman"/>
                <w:kern w:val="0"/>
                <w:sz w:val="18"/>
                <w:szCs w:val="18"/>
              </w:rPr>
            </w:pPr>
          </w:p>
        </w:tc>
        <w:tc>
          <w:tcPr>
            <w:tcW w:w="558" w:type="pct"/>
            <w:tcBorders>
              <w:top w:val="single" w:color="auto" w:sz="4" w:space="0"/>
              <w:left w:val="nil"/>
              <w:bottom w:val="single" w:color="auto" w:sz="4" w:space="0"/>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558" w:type="pct"/>
            <w:tcBorders>
              <w:top w:val="single" w:color="auto" w:sz="4" w:space="0"/>
              <w:left w:val="nil"/>
              <w:bottom w:val="single" w:color="auto" w:sz="4" w:space="0"/>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558" w:type="pct"/>
            <w:tcBorders>
              <w:top w:val="single" w:color="auto" w:sz="4" w:space="0"/>
              <w:left w:val="nil"/>
              <w:bottom w:val="single" w:color="auto" w:sz="4" w:space="0"/>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512" w:type="pct"/>
            <w:tcBorders>
              <w:top w:val="single" w:color="auto" w:sz="4" w:space="0"/>
              <w:left w:val="nil"/>
              <w:bottom w:val="single" w:color="auto" w:sz="4" w:space="0"/>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r>
      <w:tr>
        <w:tblPrEx>
          <w:tblCellMar>
            <w:top w:w="0" w:type="dxa"/>
            <w:left w:w="75" w:type="dxa"/>
            <w:bottom w:w="0" w:type="dxa"/>
            <w:right w:w="75" w:type="dxa"/>
          </w:tblCellMar>
        </w:tblPrEx>
        <w:trPr>
          <w:jc w:val="center"/>
        </w:trPr>
        <w:tc>
          <w:tcPr>
            <w:tcW w:w="2814" w:type="pct"/>
            <w:vMerge w:val="restart"/>
            <w:tcBorders>
              <w:top w:val="single" w:color="auto" w:sz="4" w:space="0"/>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m:oMathPara>
              <m:oMath>
                <m:r>
                  <m:rPr>
                    <m:nor/>
                    <m:sty m:val="p"/>
                  </m:rPr>
                  <w:rPr>
                    <w:rFonts w:ascii="Times New Roman" w:hAnsi="Times New Roman" w:eastAsia="仿宋" w:cs="Times New Roman"/>
                    <w:kern w:val="0"/>
                    <w:sz w:val="18"/>
                    <w:szCs w:val="18"/>
                  </w:rPr>
                  <m:t>自贸试验区（供方企业）×</m:t>
                </m:r>
                <m:sSub>
                  <m:sSubPr>
                    <m:ctrlPr>
                      <w:rPr>
                        <w:rFonts w:ascii="Cambria Math" w:hAnsi="Cambria Math" w:eastAsia="仿宋" w:cs="Times New Roman"/>
                        <w:kern w:val="0"/>
                        <w:sz w:val="18"/>
                        <w:szCs w:val="18"/>
                      </w:rPr>
                    </m:ctrlPr>
                  </m:sSubPr>
                  <m:e>
                    <m:r>
                      <m:rPr/>
                      <w:rPr>
                        <w:rFonts w:ascii="Cambria Math" w:hAnsi="Cambria Math" w:eastAsia="仿宋" w:cs="Times New Roman"/>
                        <w:kern w:val="0"/>
                        <w:sz w:val="18"/>
                        <w:szCs w:val="18"/>
                      </w:rPr>
                      <m:t>Post</m:t>
                    </m:r>
                    <m:ctrlPr>
                      <w:rPr>
                        <w:rFonts w:ascii="Cambria Math" w:hAnsi="Cambria Math" w:eastAsia="仿宋" w:cs="Times New Roman"/>
                        <w:kern w:val="0"/>
                        <w:sz w:val="18"/>
                        <w:szCs w:val="18"/>
                      </w:rPr>
                    </m:ctrlPr>
                  </m:e>
                  <m:sub>
                    <m:r>
                      <m:rPr/>
                      <w:rPr>
                        <w:rFonts w:ascii="Cambria Math" w:hAnsi="Cambria Math" w:eastAsia="仿宋" w:cs="Times New Roman"/>
                        <w:kern w:val="0"/>
                        <w:sz w:val="18"/>
                        <w:szCs w:val="18"/>
                      </w:rPr>
                      <m:t>t</m:t>
                    </m:r>
                    <m:ctrlPr>
                      <w:rPr>
                        <w:rFonts w:ascii="Cambria Math" w:hAnsi="Cambria Math" w:eastAsia="仿宋" w:cs="Times New Roman"/>
                        <w:kern w:val="0"/>
                        <w:sz w:val="18"/>
                        <w:szCs w:val="18"/>
                      </w:rPr>
                    </m:ctrlPr>
                  </m:sub>
                </m:sSub>
              </m:oMath>
            </m:oMathPara>
          </w:p>
        </w:tc>
        <w:tc>
          <w:tcPr>
            <w:tcW w:w="558" w:type="pct"/>
            <w:tcBorders>
              <w:top w:val="single" w:color="auto" w:sz="4" w:space="0"/>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0.072</w:t>
            </w:r>
            <w:r>
              <w:rPr>
                <w:rFonts w:ascii="Times New Roman" w:hAnsi="Times New Roman" w:eastAsia="仿宋" w:cs="Times New Roman"/>
                <w:kern w:val="0"/>
                <w:sz w:val="18"/>
                <w:szCs w:val="18"/>
                <w:vertAlign w:val="superscript"/>
              </w:rPr>
              <w:t>*</w:t>
            </w:r>
          </w:p>
        </w:tc>
        <w:tc>
          <w:tcPr>
            <w:tcW w:w="558" w:type="pct"/>
            <w:tcBorders>
              <w:top w:val="single" w:color="auto" w:sz="4" w:space="0"/>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0.150</w:t>
            </w:r>
            <w:r>
              <w:rPr>
                <w:rFonts w:ascii="Times New Roman" w:hAnsi="Times New Roman" w:eastAsia="仿宋" w:cs="Times New Roman"/>
                <w:kern w:val="0"/>
                <w:sz w:val="18"/>
                <w:szCs w:val="18"/>
                <w:vertAlign w:val="superscript"/>
              </w:rPr>
              <w:t>**</w:t>
            </w:r>
          </w:p>
        </w:tc>
        <w:tc>
          <w:tcPr>
            <w:tcW w:w="512" w:type="pct"/>
            <w:tcBorders>
              <w:top w:val="single" w:color="auto" w:sz="4" w:space="0"/>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814" w:type="pct"/>
            <w:vMerge w:val="continue"/>
            <w:tcBorders>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(0.043)</w:t>
            </w: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(0.069)</w:t>
            </w:r>
          </w:p>
        </w:tc>
        <w:tc>
          <w:tcPr>
            <w:tcW w:w="512"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814" w:type="pct"/>
            <w:vMerge w:val="restart"/>
            <w:tcBorders>
              <w:top w:val="nil"/>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m:oMathPara>
              <m:oMath>
                <m:r>
                  <m:rPr>
                    <m:nor/>
                    <m:sty m:val="p"/>
                  </m:rPr>
                  <w:rPr>
                    <w:rFonts w:ascii="Times New Roman" w:hAnsi="Times New Roman" w:eastAsia="仿宋" w:cs="Times New Roman"/>
                    <w:kern w:val="0"/>
                    <w:sz w:val="18"/>
                    <w:szCs w:val="18"/>
                  </w:rPr>
                  <m:t>自贸试验区（需方企业）×</m:t>
                </m:r>
                <m:sSub>
                  <m:sSubPr>
                    <m:ctrlPr>
                      <w:rPr>
                        <w:rFonts w:ascii="Cambria Math" w:hAnsi="Cambria Math" w:eastAsia="仿宋" w:cs="Times New Roman"/>
                        <w:kern w:val="0"/>
                        <w:sz w:val="18"/>
                        <w:szCs w:val="18"/>
                      </w:rPr>
                    </m:ctrlPr>
                  </m:sSubPr>
                  <m:e>
                    <m:r>
                      <m:rPr/>
                      <w:rPr>
                        <w:rFonts w:ascii="Cambria Math" w:hAnsi="Cambria Math" w:eastAsia="仿宋" w:cs="Times New Roman"/>
                        <w:kern w:val="0"/>
                        <w:sz w:val="18"/>
                        <w:szCs w:val="18"/>
                      </w:rPr>
                      <m:t>Post</m:t>
                    </m:r>
                    <m:ctrlPr>
                      <w:rPr>
                        <w:rFonts w:ascii="Cambria Math" w:hAnsi="Cambria Math" w:eastAsia="仿宋" w:cs="Times New Roman"/>
                        <w:kern w:val="0"/>
                        <w:sz w:val="18"/>
                        <w:szCs w:val="18"/>
                      </w:rPr>
                    </m:ctrlPr>
                  </m:e>
                  <m:sub>
                    <m:r>
                      <m:rPr/>
                      <w:rPr>
                        <w:rFonts w:ascii="Cambria Math" w:hAnsi="Cambria Math" w:eastAsia="仿宋" w:cs="Times New Roman"/>
                        <w:kern w:val="0"/>
                        <w:sz w:val="18"/>
                        <w:szCs w:val="18"/>
                      </w:rPr>
                      <m:t>t</m:t>
                    </m:r>
                    <m:ctrlPr>
                      <w:rPr>
                        <w:rFonts w:ascii="Cambria Math" w:hAnsi="Cambria Math" w:eastAsia="仿宋" w:cs="Times New Roman"/>
                        <w:kern w:val="0"/>
                        <w:sz w:val="18"/>
                        <w:szCs w:val="18"/>
                      </w:rPr>
                    </m:ctrlPr>
                  </m:sub>
                </m:sSub>
              </m:oMath>
            </m:oMathPara>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0.125</w:t>
            </w:r>
            <w:r>
              <w:rPr>
                <w:rFonts w:ascii="Times New Roman" w:hAnsi="Times New Roman" w:eastAsia="仿宋" w:cs="Times New Roman"/>
                <w:kern w:val="0"/>
                <w:sz w:val="18"/>
                <w:szCs w:val="18"/>
                <w:vertAlign w:val="superscript"/>
              </w:rPr>
              <w:t>***</w:t>
            </w: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12"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0.069</w:t>
            </w:r>
          </w:p>
        </w:tc>
      </w:tr>
      <w:tr>
        <w:tblPrEx>
          <w:tblCellMar>
            <w:top w:w="0" w:type="dxa"/>
            <w:left w:w="75" w:type="dxa"/>
            <w:bottom w:w="0" w:type="dxa"/>
            <w:right w:w="75" w:type="dxa"/>
          </w:tblCellMar>
        </w:tblPrEx>
        <w:trPr>
          <w:jc w:val="center"/>
        </w:trPr>
        <w:tc>
          <w:tcPr>
            <w:tcW w:w="2814" w:type="pct"/>
            <w:vMerge w:val="continue"/>
            <w:tcBorders>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(0.046)</w:t>
            </w: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12"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(0.163)</w:t>
            </w:r>
          </w:p>
        </w:tc>
      </w:tr>
      <w:tr>
        <w:tblPrEx>
          <w:tblCellMar>
            <w:top w:w="0" w:type="dxa"/>
            <w:left w:w="75" w:type="dxa"/>
            <w:bottom w:w="0" w:type="dxa"/>
            <w:right w:w="75" w:type="dxa"/>
          </w:tblCellMar>
        </w:tblPrEx>
        <w:trPr>
          <w:jc w:val="center"/>
        </w:trPr>
        <w:tc>
          <w:tcPr>
            <w:tcW w:w="2814" w:type="pct"/>
            <w:vMerge w:val="restart"/>
            <w:tcBorders>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m:oMathPara>
              <m:oMath>
                <m:r>
                  <m:rPr>
                    <m:nor/>
                    <m:sty m:val="p"/>
                  </m:rPr>
                  <w:rPr>
                    <w:rFonts w:ascii="Times New Roman" w:hAnsi="Times New Roman" w:eastAsia="仿宋" w:cs="Times New Roman"/>
                    <w:kern w:val="0"/>
                    <w:sz w:val="18"/>
                    <w:szCs w:val="18"/>
                  </w:rPr>
                  <m:t>自贸试验区（供方企业）×</m:t>
                </m:r>
                <m:sSub>
                  <m:sSubPr>
                    <m:ctrlPr>
                      <w:rPr>
                        <w:rFonts w:ascii="Cambria Math" w:hAnsi="Cambria Math" w:eastAsia="仿宋" w:cs="Times New Roman"/>
                        <w:kern w:val="0"/>
                        <w:sz w:val="18"/>
                        <w:szCs w:val="18"/>
                      </w:rPr>
                    </m:ctrlPr>
                  </m:sSubPr>
                  <m:e>
                    <m:r>
                      <m:rPr/>
                      <w:rPr>
                        <w:rFonts w:ascii="Cambria Math" w:hAnsi="Cambria Math" w:eastAsia="仿宋" w:cs="Times New Roman"/>
                        <w:kern w:val="0"/>
                        <w:sz w:val="18"/>
                        <w:szCs w:val="18"/>
                      </w:rPr>
                      <m:t>Post</m:t>
                    </m:r>
                    <m:ctrlPr>
                      <w:rPr>
                        <w:rFonts w:ascii="Cambria Math" w:hAnsi="Cambria Math" w:eastAsia="仿宋" w:cs="Times New Roman"/>
                        <w:kern w:val="0"/>
                        <w:sz w:val="18"/>
                        <w:szCs w:val="18"/>
                      </w:rPr>
                    </m:ctrlPr>
                  </m:e>
                  <m:sub>
                    <m:r>
                      <m:rPr/>
                      <w:rPr>
                        <w:rFonts w:ascii="Cambria Math" w:hAnsi="Cambria Math" w:eastAsia="仿宋" w:cs="Times New Roman"/>
                        <w:kern w:val="0"/>
                        <w:sz w:val="18"/>
                        <w:szCs w:val="18"/>
                      </w:rPr>
                      <m:t>t</m:t>
                    </m:r>
                    <m:ctrlPr>
                      <w:rPr>
                        <w:rFonts w:ascii="Cambria Math" w:hAnsi="Cambria Math" w:eastAsia="仿宋" w:cs="Times New Roman"/>
                        <w:kern w:val="0"/>
                        <w:sz w:val="18"/>
                        <w:szCs w:val="18"/>
                      </w:rPr>
                    </m:ctrlPr>
                  </m:sub>
                </m:sSub>
                <m:r>
                  <m:rPr>
                    <m:nor/>
                    <m:sty m:val="p"/>
                  </m:rPr>
                  <w:rPr>
                    <w:rFonts w:ascii="Times New Roman" w:hAnsi="Times New Roman" w:eastAsia="仿宋" w:cs="Times New Roman"/>
                    <w:kern w:val="0"/>
                    <w:sz w:val="18"/>
                    <w:szCs w:val="18"/>
                  </w:rPr>
                  <m:t>×ln进口总额</m:t>
                </m:r>
              </m:oMath>
            </m:oMathPara>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0.090</w:t>
            </w:r>
            <w:r>
              <w:rPr>
                <w:rFonts w:ascii="Times New Roman" w:hAnsi="Times New Roman" w:eastAsia="仿宋" w:cs="Times New Roman"/>
                <w:kern w:val="0"/>
                <w:sz w:val="18"/>
                <w:szCs w:val="18"/>
                <w:vertAlign w:val="superscript"/>
              </w:rPr>
              <w:t>***</w:t>
            </w:r>
          </w:p>
        </w:tc>
        <w:tc>
          <w:tcPr>
            <w:tcW w:w="512"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814" w:type="pct"/>
            <w:vMerge w:val="continue"/>
            <w:tcBorders>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(0.031)</w:t>
            </w:r>
          </w:p>
        </w:tc>
        <w:tc>
          <w:tcPr>
            <w:tcW w:w="512"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r>
      <w:tr>
        <w:tblPrEx>
          <w:tblCellMar>
            <w:top w:w="0" w:type="dxa"/>
            <w:left w:w="75" w:type="dxa"/>
            <w:bottom w:w="0" w:type="dxa"/>
            <w:right w:w="75" w:type="dxa"/>
          </w:tblCellMar>
        </w:tblPrEx>
        <w:trPr>
          <w:jc w:val="center"/>
        </w:trPr>
        <w:tc>
          <w:tcPr>
            <w:tcW w:w="2814" w:type="pct"/>
            <w:vMerge w:val="restart"/>
            <w:tcBorders>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m:oMathPara>
              <m:oMath>
                <m:r>
                  <m:rPr>
                    <m:nor/>
                    <m:sty m:val="p"/>
                  </m:rPr>
                  <w:rPr>
                    <w:rFonts w:ascii="Times New Roman" w:hAnsi="Times New Roman" w:eastAsia="仿宋" w:cs="Times New Roman"/>
                    <w:kern w:val="0"/>
                    <w:sz w:val="18"/>
                    <w:szCs w:val="18"/>
                  </w:rPr>
                  <m:t>自贸试验区（需方企业）×</m:t>
                </m:r>
                <m:sSub>
                  <m:sSubPr>
                    <m:ctrlPr>
                      <w:rPr>
                        <w:rFonts w:ascii="Cambria Math" w:hAnsi="Cambria Math" w:eastAsia="仿宋" w:cs="Times New Roman"/>
                        <w:kern w:val="0"/>
                        <w:sz w:val="18"/>
                        <w:szCs w:val="18"/>
                      </w:rPr>
                    </m:ctrlPr>
                  </m:sSubPr>
                  <m:e>
                    <m:r>
                      <m:rPr/>
                      <w:rPr>
                        <w:rFonts w:ascii="Cambria Math" w:hAnsi="Cambria Math" w:eastAsia="仿宋" w:cs="Times New Roman"/>
                        <w:kern w:val="0"/>
                        <w:sz w:val="18"/>
                        <w:szCs w:val="18"/>
                      </w:rPr>
                      <m:t>Post</m:t>
                    </m:r>
                    <m:ctrlPr>
                      <w:rPr>
                        <w:rFonts w:ascii="Cambria Math" w:hAnsi="Cambria Math" w:eastAsia="仿宋" w:cs="Times New Roman"/>
                        <w:kern w:val="0"/>
                        <w:sz w:val="18"/>
                        <w:szCs w:val="18"/>
                      </w:rPr>
                    </m:ctrlPr>
                  </m:e>
                  <m:sub>
                    <m:r>
                      <m:rPr/>
                      <w:rPr>
                        <w:rFonts w:ascii="Cambria Math" w:hAnsi="Cambria Math" w:eastAsia="仿宋" w:cs="Times New Roman"/>
                        <w:kern w:val="0"/>
                        <w:sz w:val="18"/>
                        <w:szCs w:val="18"/>
                      </w:rPr>
                      <m:t>t</m:t>
                    </m:r>
                    <m:ctrlPr>
                      <w:rPr>
                        <w:rFonts w:ascii="Cambria Math" w:hAnsi="Cambria Math" w:eastAsia="仿宋" w:cs="Times New Roman"/>
                        <w:kern w:val="0"/>
                        <w:sz w:val="18"/>
                        <w:szCs w:val="18"/>
                      </w:rPr>
                    </m:ctrlPr>
                  </m:sub>
                </m:sSub>
                <m:r>
                  <m:rPr>
                    <m:nor/>
                    <m:sty m:val="p"/>
                  </m:rPr>
                  <w:rPr>
                    <w:rFonts w:ascii="Times New Roman" w:hAnsi="Times New Roman" w:eastAsia="仿宋" w:cs="Times New Roman"/>
                    <w:kern w:val="0"/>
                    <w:sz w:val="18"/>
                    <w:szCs w:val="18"/>
                  </w:rPr>
                  <m:t>×ln出口总额</m:t>
                </m:r>
              </m:oMath>
            </m:oMathPara>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12"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0.181</w:t>
            </w:r>
            <w:r>
              <w:rPr>
                <w:rFonts w:ascii="Times New Roman" w:hAnsi="Times New Roman" w:eastAsia="仿宋" w:cs="Times New Roman"/>
                <w:kern w:val="0"/>
                <w:sz w:val="18"/>
                <w:szCs w:val="18"/>
                <w:vertAlign w:val="superscript"/>
              </w:rPr>
              <w:t>**</w:t>
            </w:r>
          </w:p>
        </w:tc>
      </w:tr>
      <w:tr>
        <w:tblPrEx>
          <w:tblCellMar>
            <w:top w:w="0" w:type="dxa"/>
            <w:left w:w="75" w:type="dxa"/>
            <w:bottom w:w="0" w:type="dxa"/>
            <w:right w:w="75" w:type="dxa"/>
          </w:tblCellMar>
        </w:tblPrEx>
        <w:trPr>
          <w:jc w:val="center"/>
        </w:trPr>
        <w:tc>
          <w:tcPr>
            <w:tcW w:w="2814" w:type="pct"/>
            <w:vMerge w:val="continue"/>
            <w:tcBorders>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p>
        </w:tc>
        <w:tc>
          <w:tcPr>
            <w:tcW w:w="512"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(0.073)</w:t>
            </w:r>
          </w:p>
        </w:tc>
      </w:tr>
      <w:tr>
        <w:tblPrEx>
          <w:tblCellMar>
            <w:top w:w="0" w:type="dxa"/>
            <w:left w:w="75" w:type="dxa"/>
            <w:bottom w:w="0" w:type="dxa"/>
            <w:right w:w="75" w:type="dxa"/>
          </w:tblCellMar>
        </w:tblPrEx>
        <w:trPr>
          <w:jc w:val="center"/>
        </w:trPr>
        <w:tc>
          <w:tcPr>
            <w:tcW w:w="2814" w:type="pct"/>
            <w:tcBorders>
              <w:left w:val="nil"/>
              <w:right w:val="nil"/>
            </w:tcBorders>
            <w:vAlign w:val="center"/>
          </w:tcPr>
          <w:p>
            <w:pPr>
              <w:autoSpaceDE w:val="0"/>
              <w:autoSpaceDN w:val="0"/>
              <w:adjustRightInd w:val="0"/>
              <w:jc w:val="center"/>
              <w:rPr>
                <w:rFonts w:ascii="Times New Roman" w:hAnsi="Times New Roman" w:eastAsia="等线" w:cs="Times New Roman"/>
                <w:kern w:val="0"/>
                <w:sz w:val="18"/>
                <w:szCs w:val="18"/>
              </w:rPr>
            </w:pPr>
            <w:r>
              <w:rPr>
                <w:rFonts w:hint="eastAsia" w:ascii="Times New Roman" w:hAnsi="Times New Roman" w:eastAsia="仿宋" w:cs="Times New Roman"/>
                <w:kern w:val="0"/>
                <w:sz w:val="18"/>
                <w:szCs w:val="18"/>
              </w:rPr>
              <w:t>控制变量</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12"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CellMar>
            <w:top w:w="0" w:type="dxa"/>
            <w:left w:w="75" w:type="dxa"/>
            <w:bottom w:w="0" w:type="dxa"/>
            <w:right w:w="75" w:type="dxa"/>
          </w:tblCellMar>
        </w:tblPrEx>
        <w:trPr>
          <w:jc w:val="center"/>
        </w:trPr>
        <w:tc>
          <w:tcPr>
            <w:tcW w:w="2814"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贸易对 FE</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12"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CellMar>
            <w:top w:w="0" w:type="dxa"/>
            <w:left w:w="75" w:type="dxa"/>
            <w:bottom w:w="0" w:type="dxa"/>
            <w:right w:w="75" w:type="dxa"/>
          </w:tblCellMar>
        </w:tblPrEx>
        <w:trPr>
          <w:jc w:val="center"/>
        </w:trPr>
        <w:tc>
          <w:tcPr>
            <w:tcW w:w="2814"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 FE</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12"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814"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195 102</w:t>
            </w:r>
          </w:p>
        </w:tc>
        <w:tc>
          <w:tcPr>
            <w:tcW w:w="55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194 863</w:t>
            </w:r>
          </w:p>
        </w:tc>
        <w:tc>
          <w:tcPr>
            <w:tcW w:w="55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257 461</w:t>
            </w:r>
          </w:p>
        </w:tc>
        <w:tc>
          <w:tcPr>
            <w:tcW w:w="512"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76 410</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814"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R-squared</w:t>
            </w:r>
          </w:p>
        </w:tc>
        <w:tc>
          <w:tcPr>
            <w:tcW w:w="558"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0.870</w:t>
            </w:r>
          </w:p>
        </w:tc>
        <w:tc>
          <w:tcPr>
            <w:tcW w:w="558"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0.870</w:t>
            </w:r>
          </w:p>
        </w:tc>
        <w:tc>
          <w:tcPr>
            <w:tcW w:w="558" w:type="pct"/>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0.853</w:t>
            </w:r>
          </w:p>
        </w:tc>
        <w:tc>
          <w:tcPr>
            <w:tcW w:w="512" w:type="pct"/>
            <w:tcBorders>
              <w:top w:val="nil"/>
              <w:left w:val="nil"/>
              <w:bottom w:val="single" w:color="auto" w:sz="12" w:space="0"/>
              <w:right w:val="nil"/>
            </w:tcBorders>
          </w:tcPr>
          <w:p>
            <w:pPr>
              <w:keepNext/>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0.835</w:t>
            </w:r>
          </w:p>
        </w:tc>
      </w:tr>
    </w:tbl>
    <w:p>
      <w:pPr>
        <w:pStyle w:val="6"/>
        <w:ind w:firstLine="360" w:firstLineChars="20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注：控制变量包括两企业间</w:t>
      </w:r>
      <w:r>
        <w:rPr>
          <w:rFonts w:ascii="Times New Roman" w:hAnsi="Times New Roman" w:eastAsia="仿宋" w:cs="Times New Roman"/>
          <w:kern w:val="0"/>
          <w:sz w:val="18"/>
          <w:szCs w:val="18"/>
        </w:rPr>
        <w:t>高速公路距离</w:t>
      </w:r>
      <w:r>
        <w:rPr>
          <w:rFonts w:hint="eastAsia" w:ascii="Times New Roman" w:hAnsi="Times New Roman" w:eastAsia="仿宋" w:cs="Times New Roman"/>
          <w:kern w:val="0"/>
          <w:sz w:val="18"/>
          <w:szCs w:val="18"/>
        </w:rPr>
        <w:t>、</w:t>
      </w:r>
      <w:r>
        <w:rPr>
          <w:rFonts w:ascii="Times New Roman" w:hAnsi="Times New Roman" w:eastAsia="仿宋" w:cs="Times New Roman"/>
          <w:kern w:val="0"/>
          <w:sz w:val="18"/>
          <w:szCs w:val="18"/>
        </w:rPr>
        <w:t>物流便利度</w:t>
      </w:r>
      <w:r>
        <w:rPr>
          <w:rFonts w:hint="eastAsia" w:ascii="Times New Roman" w:hAnsi="Times New Roman" w:eastAsia="仿宋" w:cs="Times New Roman"/>
          <w:kern w:val="0"/>
          <w:sz w:val="18"/>
          <w:szCs w:val="18"/>
        </w:rPr>
        <w:t>等指标；模型中除已列示的交互项外，其余交互项和单项均已控制，限于篇幅未做展示。</w:t>
      </w:r>
    </w:p>
    <w:p>
      <w:pPr>
        <w:ind w:firstLine="420" w:firstLineChars="200"/>
        <w:rPr>
          <w:rFonts w:ascii="Times New Roman" w:hAnsi="Times New Roman" w:eastAsia="仿宋" w:cs="Times New Roman"/>
          <w:szCs w:val="21"/>
        </w:rPr>
      </w:pP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drawing>
          <wp:anchor distT="0" distB="0" distL="114300" distR="114300" simplePos="0" relativeHeight="251663360" behindDoc="0" locked="0" layoutInCell="1" allowOverlap="1">
            <wp:simplePos x="0" y="0"/>
            <wp:positionH relativeFrom="margin">
              <wp:posOffset>0</wp:posOffset>
            </wp:positionH>
            <wp:positionV relativeFrom="line">
              <wp:posOffset>196850</wp:posOffset>
            </wp:positionV>
            <wp:extent cx="5014595" cy="287972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ind w:firstLine="420" w:firstLineChars="200"/>
        <w:rPr>
          <w:rFonts w:ascii="Times New Roman" w:hAnsi="Times New Roman" w:eastAsia="仿宋" w:cs="Times New Roman"/>
          <w:szCs w:val="21"/>
        </w:rPr>
      </w:pPr>
    </w:p>
    <w:p>
      <w:pPr>
        <w:ind w:firstLine="422" w:firstLineChars="200"/>
        <w:rPr>
          <w:rFonts w:ascii="Times New Roman" w:hAnsi="Times New Roman" w:eastAsia="仿宋" w:cs="Times New Roman"/>
          <w:b/>
          <w:bCs/>
          <w:szCs w:val="21"/>
        </w:rPr>
      </w:pPr>
      <w:r>
        <w:rPr>
          <w:rFonts w:ascii="Times New Roman" w:hAnsi="Times New Roman" w:eastAsia="仿宋" w:cs="Times New Roman"/>
          <w:b/>
          <w:bCs/>
          <w:szCs w:val="21"/>
        </w:rPr>
        <w:t>2.</w:t>
      </w:r>
      <w:r>
        <w:rPr>
          <w:rFonts w:hint="eastAsia" w:ascii="Times New Roman" w:hAnsi="Times New Roman" w:eastAsia="仿宋" w:cs="Times New Roman"/>
          <w:b/>
          <w:bCs/>
          <w:szCs w:val="21"/>
        </w:rPr>
        <w:t>国内市场：税收优惠、营商环境与交通基建</w:t>
      </w:r>
    </w:p>
    <w:p>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自贸区相比于其他开发政策的特殊性在于对贸易全过程的扶持力度更强，而企业内贸中最重要的外部因素在于税费征缴和市场环境，因此本文从以上方面讨论自贸区对内扶持政策的作用机制。</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福建自贸区在税收和税务方面出台了包括增值税留抵退税等诸多优惠政策，因此本文推断税收对企业贸易尤其是内贸具有重要影响，由于本文所使用数据涵盖增值税信息，而增值税对企业贸易行为影响最为明显，我们以发票信息中的税额和交易额计算增值税的实际税率，并以其作为被解释变量进行回归。除税费优惠外，自贸区政策更多通过改善营商环境</w:t>
      </w:r>
      <w:r>
        <w:rPr>
          <w:rStyle w:val="17"/>
          <w:rFonts w:ascii="Times New Roman" w:hAnsi="Times New Roman" w:eastAsia="仿宋" w:cs="Times New Roman"/>
          <w:szCs w:val="21"/>
        </w:rPr>
        <w:footnoteReference w:id="3"/>
      </w:r>
      <w:r>
        <w:rPr>
          <w:rFonts w:ascii="Times New Roman" w:hAnsi="Times New Roman" w:eastAsia="仿宋" w:cs="Times New Roman"/>
          <w:szCs w:val="21"/>
        </w:rPr>
        <w:t>吸引企业并促进贸易增长，</w:t>
      </w:r>
      <w:r>
        <w:rPr>
          <w:rFonts w:hint="eastAsia" w:ascii="Times New Roman" w:hAnsi="Times New Roman" w:eastAsia="仿宋" w:cs="Times New Roman"/>
          <w:szCs w:val="21"/>
        </w:rPr>
        <w:t>而</w:t>
      </w:r>
      <w:r>
        <w:rPr>
          <w:rFonts w:ascii="Times New Roman" w:hAnsi="Times New Roman" w:eastAsia="仿宋" w:cs="Times New Roman"/>
          <w:szCs w:val="21"/>
        </w:rPr>
        <w:t>现存数据中并未关注各自贸区内部商业环境，因此本文以福建自贸区设立为冲击、利用现有的城市级数据考察自贸区所带来的当地市场变化</w:t>
      </w:r>
      <w:r>
        <w:rPr>
          <w:rFonts w:hint="eastAsia" w:ascii="Times New Roman" w:hAnsi="Times New Roman" w:eastAsia="仿宋" w:cs="Times New Roman"/>
          <w:szCs w:val="21"/>
        </w:rPr>
        <w:t>。同时，</w:t>
      </w:r>
      <w:r>
        <w:rPr>
          <w:rFonts w:ascii="Times New Roman" w:hAnsi="Times New Roman" w:eastAsia="仿宋" w:cs="Times New Roman"/>
          <w:szCs w:val="21"/>
        </w:rPr>
        <w:t>冰山成本是贸易问题中的重要因素，相比于国际贸易中报关、装卸等程序产生的多种花费，在国内贸易成本中，运输费用尤其是陆路运输费用占据很大比例，因此在国内贸易增长问题中讨论交通便利程度的影响应是题中之义</w:t>
      </w:r>
      <w:r>
        <w:rPr>
          <w:rFonts w:hint="eastAsia" w:ascii="Times New Roman" w:hAnsi="Times New Roman" w:eastAsia="仿宋" w:cs="Times New Roman"/>
          <w:szCs w:val="21"/>
        </w:rPr>
        <w:t>，故本文</w:t>
      </w:r>
      <w:r>
        <w:rPr>
          <w:rFonts w:ascii="Times New Roman" w:hAnsi="Times New Roman" w:eastAsia="仿宋" w:cs="Times New Roman"/>
          <w:szCs w:val="21"/>
        </w:rPr>
        <w:t>利用本文中企业与最近的高速入口以及最近的高铁站距离作为被解释变量，考察自贸区设立促进交通基础设施建设对企业贸易的影响</w:t>
      </w:r>
      <w:r>
        <w:rPr>
          <w:rStyle w:val="17"/>
          <w:rFonts w:ascii="Times New Roman" w:hAnsi="Times New Roman" w:eastAsia="仿宋" w:cs="Times New Roman"/>
          <w:szCs w:val="21"/>
        </w:rPr>
        <w:footnoteReference w:id="4"/>
      </w:r>
      <w:r>
        <w:rPr>
          <w:rFonts w:ascii="Times New Roman" w:hAnsi="Times New Roman" w:eastAsia="仿宋" w:cs="Times New Roman"/>
          <w:szCs w:val="21"/>
        </w:rPr>
        <w:t>。</w:t>
      </w:r>
    </w:p>
    <w:p>
      <w:pPr>
        <w:ind w:firstLine="420" w:firstLineChars="200"/>
        <w:rPr>
          <w:rFonts w:ascii="Times New Roman" w:hAnsi="Times New Roman" w:eastAsia="仿宋" w:cs="Times New Roman"/>
          <w:color w:val="FF0000"/>
          <w:szCs w:val="21"/>
        </w:rPr>
      </w:pPr>
      <w:r>
        <w:rPr>
          <w:rFonts w:hint="eastAsia" w:ascii="Times New Roman" w:hAnsi="Times New Roman" w:eastAsia="仿宋" w:cs="Times New Roman"/>
          <w:szCs w:val="21"/>
        </w:rPr>
        <w:t>基于以上分析和模型设定，本文进行了相应回归分析，如</w:t>
      </w:r>
      <w:r>
        <w:rPr>
          <w:rFonts w:hint="eastAsia" w:ascii="Times New Roman" w:hAnsi="Times New Roman" w:eastAsia="仿宋" w:cs="Times New Roman"/>
        </w:rPr>
        <w:t>表</w:t>
      </w:r>
      <w:r>
        <w:rPr>
          <w:rFonts w:hint="eastAsia" w:ascii="Times New Roman" w:hAnsi="Times New Roman" w:eastAsia="仿宋" w:cs="Times New Roman"/>
          <w:szCs w:val="21"/>
        </w:rPr>
        <w:t>Ⅳ</w:t>
      </w:r>
      <w:r>
        <w:rPr>
          <w:rFonts w:ascii="Times New Roman" w:hAnsi="Times New Roman" w:eastAsia="仿宋" w:cs="Times New Roman"/>
          <w:szCs w:val="21"/>
        </w:rPr>
        <w:t>2</w:t>
      </w:r>
      <w:r>
        <w:rPr>
          <w:rFonts w:hint="eastAsia" w:ascii="Times New Roman" w:hAnsi="Times New Roman" w:eastAsia="仿宋" w:cs="Times New Roman"/>
          <w:szCs w:val="21"/>
        </w:rPr>
        <w:t>所示。结果表明：</w:t>
      </w:r>
      <w:r>
        <w:rPr>
          <w:rFonts w:ascii="Times New Roman" w:hAnsi="Times New Roman" w:eastAsia="仿宋" w:cs="Times New Roman"/>
          <w:szCs w:val="21"/>
        </w:rPr>
        <w:t>自贸区的税收优惠政策实际上压低了区内企业交易的销项税实际税率，而对其进项税没有显著影响，使得其在增值税抵扣环节可获得更低的增值税实际税率</w:t>
      </w:r>
      <w:r>
        <w:rPr>
          <w:rFonts w:hint="eastAsia" w:ascii="Times New Roman" w:hAnsi="Times New Roman" w:eastAsia="仿宋" w:cs="Times New Roman"/>
          <w:szCs w:val="21"/>
        </w:rPr>
        <w:t>；</w:t>
      </w:r>
      <w:r>
        <w:rPr>
          <w:rFonts w:ascii="Times New Roman" w:hAnsi="Times New Roman" w:eastAsia="仿宋" w:cs="Times New Roman"/>
          <w:szCs w:val="21"/>
        </w:rPr>
        <w:t>自贸区的设立使得市场环境指标上升1.9%</w:t>
      </w:r>
      <w:r>
        <w:rPr>
          <w:rFonts w:hint="eastAsia" w:ascii="Times New Roman" w:hAnsi="Times New Roman" w:eastAsia="仿宋" w:cs="Times New Roman"/>
          <w:szCs w:val="21"/>
          <w:lang w:eastAsia="zh-CN"/>
        </w:rPr>
        <w:t>—</w:t>
      </w:r>
      <w:r>
        <w:rPr>
          <w:rFonts w:ascii="Times New Roman" w:hAnsi="Times New Roman" w:eastAsia="仿宋" w:cs="Times New Roman"/>
          <w:szCs w:val="21"/>
        </w:rPr>
        <w:t>12.8%、市场规模指标上升40.4%</w:t>
      </w:r>
      <w:r>
        <w:rPr>
          <w:rFonts w:hint="eastAsia" w:ascii="Times New Roman" w:hAnsi="Times New Roman" w:eastAsia="仿宋" w:cs="Times New Roman"/>
          <w:szCs w:val="21"/>
          <w:lang w:eastAsia="zh-CN"/>
        </w:rPr>
        <w:t>—</w:t>
      </w:r>
      <w:r>
        <w:rPr>
          <w:rFonts w:ascii="Times New Roman" w:hAnsi="Times New Roman" w:eastAsia="仿宋" w:cs="Times New Roman"/>
          <w:szCs w:val="21"/>
        </w:rPr>
        <w:t>43.6%，说明自贸区在质和量上对营商环境均有促进作用</w:t>
      </w:r>
      <w:r>
        <w:rPr>
          <w:rFonts w:hint="eastAsia" w:ascii="Times New Roman" w:hAnsi="Times New Roman" w:eastAsia="仿宋" w:cs="Times New Roman"/>
          <w:szCs w:val="21"/>
        </w:rPr>
        <w:t>；</w:t>
      </w:r>
      <w:r>
        <w:rPr>
          <w:rFonts w:ascii="Times New Roman" w:hAnsi="Times New Roman" w:eastAsia="仿宋" w:cs="Times New Roman"/>
          <w:szCs w:val="21"/>
        </w:rPr>
        <w:t>在自贸区成立后，区内企业与高速公路入口的距离显著减少，而与高铁站距离没有明显变化，这显然是易于理解的：第一，高速公路作为主要的货物运输渠道，其路网修建对地理地貌要求相对不高，且设计与新建比较容易，因此在政策引导下容易受到自贸区影响而为其搭建运输通道或靠近其进行修建；第二，福建自贸区三个片区所在城市的高铁站均在其成立前投入使用，因此自贸区成立并未影响高铁站选址；第三，相较于高速公路，高铁不用于货物运输，更多代表人员流动带来的信息成本，因此对企业间贸易的作用不大。</w:t>
      </w:r>
    </w:p>
    <w:p>
      <w:pPr>
        <w:ind w:firstLine="420" w:firstLineChars="200"/>
        <w:rPr>
          <w:rFonts w:ascii="Times New Roman" w:hAnsi="Times New Roman" w:eastAsia="仿宋" w:cs="Times New Roman"/>
          <w:color w:val="FF0000"/>
          <w:szCs w:val="21"/>
        </w:rPr>
      </w:pPr>
    </w:p>
    <w:p>
      <w:pPr>
        <w:pStyle w:val="6"/>
        <w:keepNext/>
        <w:jc w:val="center"/>
        <w:rPr>
          <w:rFonts w:hint="eastAsia" w:ascii="黑体" w:hAnsi="黑体" w:eastAsia="黑体" w:cs="黑体"/>
          <w:sz w:val="18"/>
          <w:szCs w:val="18"/>
        </w:rPr>
      </w:pPr>
      <w:bookmarkStart w:id="6" w:name="_GoBack"/>
      <w:r>
        <w:rPr>
          <w:rFonts w:hint="eastAsia" w:ascii="黑体" w:hAnsi="黑体" w:eastAsia="黑体" w:cs="黑体"/>
          <w:sz w:val="18"/>
          <w:szCs w:val="18"/>
        </w:rPr>
        <w:t>表Ⅳ2  自贸区贸促效应的机制分析</w:t>
      </w:r>
    </w:p>
    <w:bookmarkEnd w:id="6"/>
    <w:tbl>
      <w:tblPr>
        <w:tblStyle w:val="13"/>
        <w:tblW w:w="10773" w:type="dxa"/>
        <w:jc w:val="center"/>
        <w:tblLayout w:type="fixed"/>
        <w:tblCellMar>
          <w:top w:w="0" w:type="dxa"/>
          <w:left w:w="75" w:type="dxa"/>
          <w:bottom w:w="0" w:type="dxa"/>
          <w:right w:w="75" w:type="dxa"/>
        </w:tblCellMar>
      </w:tblPr>
      <w:tblGrid>
        <w:gridCol w:w="2353"/>
        <w:gridCol w:w="1051"/>
        <w:gridCol w:w="1054"/>
        <w:gridCol w:w="1051"/>
        <w:gridCol w:w="1054"/>
        <w:gridCol w:w="1051"/>
        <w:gridCol w:w="1054"/>
        <w:gridCol w:w="1051"/>
        <w:gridCol w:w="1054"/>
      </w:tblGrid>
      <w:tr>
        <w:tblPrEx>
          <w:tblCellMar>
            <w:top w:w="0" w:type="dxa"/>
            <w:left w:w="75" w:type="dxa"/>
            <w:bottom w:w="0" w:type="dxa"/>
            <w:right w:w="75" w:type="dxa"/>
          </w:tblCellMar>
        </w:tblPrEx>
        <w:trPr>
          <w:jc w:val="center"/>
        </w:trPr>
        <w:tc>
          <w:tcPr>
            <w:tcW w:w="1092" w:type="pct"/>
            <w:tcBorders>
              <w:top w:val="single" w:color="auto" w:sz="12" w:space="0"/>
              <w:left w:val="nil"/>
              <w:right w:val="nil"/>
            </w:tcBorders>
            <w:vAlign w:val="center"/>
          </w:tcPr>
          <w:p>
            <w:pPr>
              <w:autoSpaceDE w:val="0"/>
              <w:autoSpaceDN w:val="0"/>
              <w:adjustRightInd w:val="0"/>
              <w:jc w:val="center"/>
              <w:rPr>
                <w:rFonts w:ascii="Times New Roman" w:hAnsi="Times New Roman" w:cs="Times New Roman"/>
                <w:kern w:val="0"/>
                <w:sz w:val="24"/>
                <w:szCs w:val="24"/>
              </w:rPr>
            </w:pPr>
          </w:p>
        </w:tc>
        <w:tc>
          <w:tcPr>
            <w:tcW w:w="977" w:type="pct"/>
            <w:gridSpan w:val="2"/>
            <w:tcBorders>
              <w:top w:val="single" w:color="auto" w:sz="12"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szCs w:val="21"/>
              </w:rPr>
              <w:t>税收优惠</w:t>
            </w:r>
          </w:p>
        </w:tc>
        <w:tc>
          <w:tcPr>
            <w:tcW w:w="977" w:type="pct"/>
            <w:gridSpan w:val="2"/>
            <w:tcBorders>
              <w:top w:val="single" w:color="auto" w:sz="12"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szCs w:val="21"/>
              </w:rPr>
              <w:t>市场环境</w:t>
            </w:r>
          </w:p>
        </w:tc>
        <w:tc>
          <w:tcPr>
            <w:tcW w:w="977" w:type="pct"/>
            <w:gridSpan w:val="2"/>
            <w:tcBorders>
              <w:top w:val="single" w:color="auto" w:sz="12"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szCs w:val="21"/>
              </w:rPr>
              <w:t>市场规模</w:t>
            </w:r>
          </w:p>
        </w:tc>
        <w:tc>
          <w:tcPr>
            <w:tcW w:w="977" w:type="pct"/>
            <w:gridSpan w:val="2"/>
            <w:tcBorders>
              <w:top w:val="single" w:color="auto" w:sz="12" w:space="0"/>
              <w:left w:val="nil"/>
              <w:bottom w:val="single" w:color="auto" w:sz="6"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szCs w:val="21"/>
              </w:rPr>
              <w:t>交通设施</w:t>
            </w:r>
          </w:p>
        </w:tc>
      </w:tr>
      <w:tr>
        <w:tblPrEx>
          <w:tblCellMar>
            <w:top w:w="0" w:type="dxa"/>
            <w:left w:w="75" w:type="dxa"/>
            <w:bottom w:w="0" w:type="dxa"/>
            <w:right w:w="75" w:type="dxa"/>
          </w:tblCellMar>
        </w:tblPrEx>
        <w:trPr>
          <w:jc w:val="center"/>
        </w:trPr>
        <w:tc>
          <w:tcPr>
            <w:tcW w:w="1092" w:type="pct"/>
            <w:tcBorders>
              <w:left w:val="nil"/>
              <w:right w:val="nil"/>
            </w:tcBorders>
            <w:vAlign w:val="center"/>
          </w:tcPr>
          <w:p>
            <w:pPr>
              <w:autoSpaceDE w:val="0"/>
              <w:autoSpaceDN w:val="0"/>
              <w:adjustRightInd w:val="0"/>
              <w:jc w:val="center"/>
              <w:rPr>
                <w:rFonts w:ascii="Times New Roman" w:hAnsi="Times New Roman" w:cs="Times New Roman"/>
                <w:kern w:val="0"/>
                <w:sz w:val="24"/>
                <w:szCs w:val="24"/>
              </w:rPr>
            </w:pPr>
            <w:r>
              <w:rPr>
                <w:rFonts w:ascii="Times New Roman" w:hAnsi="Times New Roman" w:eastAsia="仿宋" w:cs="Times New Roman"/>
                <w:kern w:val="0"/>
                <w:szCs w:val="21"/>
              </w:rPr>
              <w:t>被解释变量</w:t>
            </w:r>
          </w:p>
        </w:tc>
        <w:tc>
          <w:tcPr>
            <w:tcW w:w="488"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作为供方的销项税实际税率</w:t>
            </w:r>
          </w:p>
        </w:tc>
        <w:tc>
          <w:tcPr>
            <w:tcW w:w="489"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作为需方的进项税实际税率</w:t>
            </w:r>
          </w:p>
        </w:tc>
        <w:tc>
          <w:tcPr>
            <w:tcW w:w="488"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ln城市商业信用环境指数</w:t>
            </w:r>
          </w:p>
        </w:tc>
        <w:tc>
          <w:tcPr>
            <w:tcW w:w="489"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ln城市市场化指数</w:t>
            </w:r>
          </w:p>
        </w:tc>
        <w:tc>
          <w:tcPr>
            <w:tcW w:w="488"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ln个体工商户注册数目</w:t>
            </w:r>
          </w:p>
        </w:tc>
        <w:tc>
          <w:tcPr>
            <w:tcW w:w="489"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ln新企业注册数目</w:t>
            </w:r>
          </w:p>
        </w:tc>
        <w:tc>
          <w:tcPr>
            <w:tcW w:w="488"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高速公路入口距离</w:t>
            </w:r>
          </w:p>
        </w:tc>
        <w:tc>
          <w:tcPr>
            <w:tcW w:w="489"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距高铁站距离</w:t>
            </w:r>
          </w:p>
        </w:tc>
      </w:tr>
      <w:tr>
        <w:tblPrEx>
          <w:tblCellMar>
            <w:top w:w="0" w:type="dxa"/>
            <w:left w:w="75" w:type="dxa"/>
            <w:bottom w:w="0" w:type="dxa"/>
            <w:right w:w="75" w:type="dxa"/>
          </w:tblCellMar>
        </w:tblPrEx>
        <w:trPr>
          <w:jc w:val="center"/>
        </w:trPr>
        <w:tc>
          <w:tcPr>
            <w:tcW w:w="1092" w:type="pct"/>
            <w:tcBorders>
              <w:left w:val="nil"/>
              <w:bottom w:val="single" w:color="auto" w:sz="6" w:space="0"/>
              <w:right w:val="nil"/>
            </w:tcBorders>
            <w:vAlign w:val="center"/>
          </w:tcPr>
          <w:p>
            <w:pPr>
              <w:autoSpaceDE w:val="0"/>
              <w:autoSpaceDN w:val="0"/>
              <w:adjustRightInd w:val="0"/>
              <w:jc w:val="center"/>
              <w:rPr>
                <w:rFonts w:ascii="Times New Roman" w:hAnsi="Times New Roman" w:cs="Times New Roman"/>
                <w:kern w:val="0"/>
                <w:sz w:val="24"/>
                <w:szCs w:val="24"/>
              </w:rPr>
            </w:pPr>
          </w:p>
        </w:tc>
        <w:tc>
          <w:tcPr>
            <w:tcW w:w="488"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w:t>
            </w:r>
          </w:p>
        </w:tc>
        <w:tc>
          <w:tcPr>
            <w:tcW w:w="489"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(2)</w:t>
            </w:r>
          </w:p>
        </w:tc>
        <w:tc>
          <w:tcPr>
            <w:tcW w:w="488"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(3)</w:t>
            </w:r>
          </w:p>
        </w:tc>
        <w:tc>
          <w:tcPr>
            <w:tcW w:w="489"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(4)</w:t>
            </w:r>
          </w:p>
        </w:tc>
        <w:tc>
          <w:tcPr>
            <w:tcW w:w="488"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(5)</w:t>
            </w:r>
          </w:p>
        </w:tc>
        <w:tc>
          <w:tcPr>
            <w:tcW w:w="489"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(6)</w:t>
            </w:r>
          </w:p>
        </w:tc>
        <w:tc>
          <w:tcPr>
            <w:tcW w:w="488"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(7)</w:t>
            </w:r>
          </w:p>
        </w:tc>
        <w:tc>
          <w:tcPr>
            <w:tcW w:w="489" w:type="pct"/>
            <w:tcBorders>
              <w:top w:val="single" w:color="auto" w:sz="6" w:space="0"/>
              <w:left w:val="nil"/>
              <w:bottom w:val="single" w:color="auto" w:sz="6"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(8)</w:t>
            </w:r>
          </w:p>
        </w:tc>
      </w:tr>
      <w:tr>
        <w:tblPrEx>
          <w:tblCellMar>
            <w:top w:w="0" w:type="dxa"/>
            <w:left w:w="75" w:type="dxa"/>
            <w:bottom w:w="0" w:type="dxa"/>
            <w:right w:w="75" w:type="dxa"/>
          </w:tblCellMar>
        </w:tblPrEx>
        <w:trPr>
          <w:jc w:val="center"/>
        </w:trPr>
        <w:tc>
          <w:tcPr>
            <w:tcW w:w="1092" w:type="pct"/>
            <w:vMerge w:val="restart"/>
            <w:tcBorders>
              <w:top w:val="single" w:color="auto" w:sz="6" w:space="0"/>
              <w:left w:val="nil"/>
              <w:right w:val="nil"/>
            </w:tcBorders>
            <w:vAlign w:val="center"/>
          </w:tcPr>
          <w:p>
            <w:pPr>
              <w:autoSpaceDE w:val="0"/>
              <w:autoSpaceDN w:val="0"/>
              <w:adjustRightInd w:val="0"/>
              <w:jc w:val="center"/>
              <w:rPr>
                <w:rFonts w:ascii="Times New Roman" w:hAnsi="Times New Roman" w:eastAsia="仿宋" w:cs="Times New Roman"/>
                <w:kern w:val="0"/>
                <w:szCs w:val="21"/>
              </w:rPr>
            </w:pPr>
            <m:oMathPara>
              <m:oMath>
                <m:r>
                  <m:rPr>
                    <m:nor/>
                    <m:sty m:val="p"/>
                  </m:rPr>
                  <w:rPr>
                    <w:rFonts w:ascii="Times New Roman" w:hAnsi="Times New Roman" w:eastAsia="仿宋" w:cs="Times New Roman"/>
                    <w:kern w:val="0"/>
                    <w:szCs w:val="21"/>
                  </w:rPr>
                  <m:t>自贸试验区×</m:t>
                </m:r>
                <m:sSub>
                  <m:sSubPr>
                    <m:ctrlPr>
                      <w:rPr>
                        <w:rFonts w:ascii="Cambria Math" w:hAnsi="Cambria Math" w:eastAsia="仿宋" w:cs="Times New Roman"/>
                        <w:kern w:val="0"/>
                        <w:szCs w:val="21"/>
                      </w:rPr>
                    </m:ctrlPr>
                  </m:sSubPr>
                  <m:e>
                    <m:r>
                      <m:rPr/>
                      <w:rPr>
                        <w:rFonts w:ascii="Cambria Math" w:hAnsi="Cambria Math" w:eastAsia="仿宋" w:cs="Times New Roman"/>
                        <w:kern w:val="0"/>
                        <w:szCs w:val="21"/>
                      </w:rPr>
                      <m:t>Post</m:t>
                    </m:r>
                    <m:ctrlPr>
                      <w:rPr>
                        <w:rFonts w:ascii="Cambria Math" w:hAnsi="Cambria Math" w:eastAsia="仿宋" w:cs="Times New Roman"/>
                        <w:kern w:val="0"/>
                        <w:szCs w:val="21"/>
                      </w:rPr>
                    </m:ctrlPr>
                  </m:e>
                  <m:sub>
                    <m:r>
                      <m:rPr/>
                      <w:rPr>
                        <w:rFonts w:ascii="Cambria Math" w:hAnsi="Cambria Math" w:eastAsia="仿宋" w:cs="Times New Roman"/>
                        <w:kern w:val="0"/>
                        <w:szCs w:val="21"/>
                      </w:rPr>
                      <m:t>t</m:t>
                    </m:r>
                    <m:ctrlPr>
                      <w:rPr>
                        <w:rFonts w:ascii="Cambria Math" w:hAnsi="Cambria Math" w:eastAsia="仿宋" w:cs="Times New Roman"/>
                        <w:kern w:val="0"/>
                        <w:szCs w:val="21"/>
                      </w:rPr>
                    </m:ctrlPr>
                  </m:sub>
                </m:sSub>
              </m:oMath>
            </m:oMathPara>
          </w:p>
        </w:tc>
        <w:tc>
          <w:tcPr>
            <w:tcW w:w="488" w:type="pct"/>
            <w:tcBorders>
              <w:top w:val="single" w:color="auto" w:sz="6" w:space="0"/>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-0.002</w:t>
            </w:r>
            <w:r>
              <w:rPr>
                <w:rFonts w:ascii="Times New Roman" w:hAnsi="Times New Roman" w:eastAsia="仿宋" w:cs="Times New Roman"/>
                <w:kern w:val="0"/>
                <w:szCs w:val="21"/>
                <w:vertAlign w:val="superscript"/>
              </w:rPr>
              <w:t>*</w:t>
            </w:r>
          </w:p>
        </w:tc>
        <w:tc>
          <w:tcPr>
            <w:tcW w:w="489" w:type="pct"/>
            <w:tcBorders>
              <w:top w:val="single" w:color="auto" w:sz="6" w:space="0"/>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-0.000</w:t>
            </w:r>
          </w:p>
        </w:tc>
        <w:tc>
          <w:tcPr>
            <w:tcW w:w="488" w:type="pct"/>
            <w:tcBorders>
              <w:top w:val="single" w:color="auto" w:sz="6" w:space="0"/>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0.019</w:t>
            </w:r>
            <w:r>
              <w:rPr>
                <w:rFonts w:ascii="Times New Roman" w:hAnsi="Times New Roman" w:eastAsia="仿宋" w:cs="Times New Roman"/>
                <w:kern w:val="0"/>
                <w:szCs w:val="21"/>
                <w:vertAlign w:val="superscript"/>
              </w:rPr>
              <w:t>*</w:t>
            </w:r>
          </w:p>
        </w:tc>
        <w:tc>
          <w:tcPr>
            <w:tcW w:w="489" w:type="pct"/>
            <w:tcBorders>
              <w:top w:val="single" w:color="auto" w:sz="6" w:space="0"/>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0.121</w:t>
            </w:r>
            <w:r>
              <w:rPr>
                <w:rFonts w:ascii="Times New Roman" w:hAnsi="Times New Roman" w:eastAsia="仿宋" w:cs="Times New Roman"/>
                <w:kern w:val="0"/>
                <w:szCs w:val="21"/>
                <w:vertAlign w:val="superscript"/>
              </w:rPr>
              <w:t>**</w:t>
            </w:r>
          </w:p>
        </w:tc>
        <w:tc>
          <w:tcPr>
            <w:tcW w:w="488" w:type="pct"/>
            <w:tcBorders>
              <w:top w:val="single" w:color="auto" w:sz="6" w:space="0"/>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0.362</w:t>
            </w:r>
            <w:r>
              <w:rPr>
                <w:rFonts w:ascii="Times New Roman" w:hAnsi="Times New Roman" w:eastAsia="仿宋" w:cs="Times New Roman"/>
                <w:kern w:val="0"/>
                <w:szCs w:val="21"/>
                <w:vertAlign w:val="superscript"/>
              </w:rPr>
              <w:t>*</w:t>
            </w:r>
          </w:p>
        </w:tc>
        <w:tc>
          <w:tcPr>
            <w:tcW w:w="489" w:type="pct"/>
            <w:tcBorders>
              <w:top w:val="single" w:color="auto" w:sz="6" w:space="0"/>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0.339</w:t>
            </w:r>
            <w:r>
              <w:rPr>
                <w:rFonts w:ascii="Times New Roman" w:hAnsi="Times New Roman" w:eastAsia="仿宋" w:cs="Times New Roman"/>
                <w:kern w:val="0"/>
                <w:szCs w:val="21"/>
                <w:vertAlign w:val="superscript"/>
              </w:rPr>
              <w:t>*</w:t>
            </w:r>
          </w:p>
        </w:tc>
        <w:tc>
          <w:tcPr>
            <w:tcW w:w="488" w:type="pct"/>
            <w:tcBorders>
              <w:top w:val="single" w:color="auto" w:sz="6" w:space="0"/>
              <w:left w:val="nil"/>
              <w:bottom w:val="nil"/>
              <w:right w:val="nil"/>
            </w:tcBorders>
          </w:tcPr>
          <w:p>
            <w:pPr>
              <w:autoSpaceDE w:val="0"/>
              <w:autoSpaceDN w:val="0"/>
              <w:adjustRightInd w:val="0"/>
              <w:jc w:val="center"/>
              <w:rPr>
                <w:rFonts w:ascii="Times New Roman" w:hAnsi="Times New Roman" w:eastAsia="仿宋" w:cs="Times New Roman"/>
                <w:kern w:val="0"/>
                <w:szCs w:val="21"/>
              </w:rPr>
            </w:pPr>
          </w:p>
        </w:tc>
        <w:tc>
          <w:tcPr>
            <w:tcW w:w="489" w:type="pct"/>
            <w:tcBorders>
              <w:top w:val="single" w:color="auto" w:sz="6" w:space="0"/>
              <w:left w:val="nil"/>
              <w:bottom w:val="nil"/>
              <w:right w:val="nil"/>
            </w:tcBorders>
          </w:tcPr>
          <w:p>
            <w:pPr>
              <w:autoSpaceDE w:val="0"/>
              <w:autoSpaceDN w:val="0"/>
              <w:adjustRightInd w:val="0"/>
              <w:jc w:val="center"/>
              <w:rPr>
                <w:rFonts w:ascii="Times New Roman" w:hAnsi="Times New Roman" w:eastAsia="仿宋" w:cs="Times New Roman"/>
                <w:kern w:val="0"/>
                <w:szCs w:val="21"/>
              </w:rPr>
            </w:pPr>
          </w:p>
        </w:tc>
      </w:tr>
      <w:tr>
        <w:tblPrEx>
          <w:tblCellMar>
            <w:top w:w="0" w:type="dxa"/>
            <w:left w:w="75" w:type="dxa"/>
            <w:bottom w:w="0" w:type="dxa"/>
            <w:right w:w="75" w:type="dxa"/>
          </w:tblCellMar>
        </w:tblPrEx>
        <w:trPr>
          <w:jc w:val="center"/>
        </w:trPr>
        <w:tc>
          <w:tcPr>
            <w:tcW w:w="1092" w:type="pct"/>
            <w:vMerge w:val="continue"/>
            <w:tcBorders>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(0.001)</w:t>
            </w: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(0.001)</w:t>
            </w: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(0.010)</w:t>
            </w: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(0.048)</w:t>
            </w: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(0.182)</w:t>
            </w: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(0.166)</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p>
        </w:tc>
      </w:tr>
      <w:tr>
        <w:tblPrEx>
          <w:tblCellMar>
            <w:top w:w="0" w:type="dxa"/>
            <w:left w:w="75" w:type="dxa"/>
            <w:bottom w:w="0" w:type="dxa"/>
            <w:right w:w="75" w:type="dxa"/>
          </w:tblCellMar>
        </w:tblPrEx>
        <w:trPr>
          <w:jc w:val="center"/>
        </w:trPr>
        <w:tc>
          <w:tcPr>
            <w:tcW w:w="1092" w:type="pct"/>
            <w:vMerge w:val="restart"/>
            <w:tcBorders>
              <w:top w:val="nil"/>
              <w:left w:val="nil"/>
              <w:right w:val="nil"/>
            </w:tcBorders>
            <w:vAlign w:val="center"/>
          </w:tcPr>
          <w:p>
            <w:pPr>
              <w:autoSpaceDE w:val="0"/>
              <w:autoSpaceDN w:val="0"/>
              <w:adjustRightInd w:val="0"/>
              <w:jc w:val="center"/>
              <w:rPr>
                <w:rFonts w:ascii="Times New Roman" w:hAnsi="Times New Roman" w:eastAsia="仿宋" w:cs="Times New Roman"/>
                <w:kern w:val="0"/>
                <w:szCs w:val="21"/>
              </w:rPr>
            </w:pPr>
            <m:oMathPara>
              <m:oMath>
                <m:sSub>
                  <m:sSubPr>
                    <m:ctrlPr>
                      <w:rPr>
                        <w:rFonts w:ascii="Cambria Math" w:hAnsi="Cambria Math" w:eastAsia="仿宋" w:cs="Times New Roman"/>
                        <w:kern w:val="0"/>
                        <w:szCs w:val="21"/>
                      </w:rPr>
                    </m:ctrlPr>
                  </m:sSubPr>
                  <m:e>
                    <m:r>
                      <m:rPr/>
                      <w:rPr>
                        <w:rFonts w:ascii="Cambria Math" w:hAnsi="Cambria Math" w:eastAsia="仿宋" w:cs="Times New Roman"/>
                        <w:kern w:val="0"/>
                        <w:szCs w:val="21"/>
                      </w:rPr>
                      <m:t>Post</m:t>
                    </m:r>
                    <m:ctrlPr>
                      <w:rPr>
                        <w:rFonts w:ascii="Cambria Math" w:hAnsi="Cambria Math" w:eastAsia="仿宋" w:cs="Times New Roman"/>
                        <w:kern w:val="0"/>
                        <w:szCs w:val="21"/>
                      </w:rPr>
                    </m:ctrlPr>
                  </m:e>
                  <m:sub>
                    <m:r>
                      <m:rPr/>
                      <w:rPr>
                        <w:rFonts w:ascii="Cambria Math" w:hAnsi="Cambria Math" w:eastAsia="仿宋" w:cs="Times New Roman"/>
                        <w:kern w:val="0"/>
                        <w:szCs w:val="21"/>
                      </w:rPr>
                      <m:t>t</m:t>
                    </m:r>
                    <m:ctrlPr>
                      <w:rPr>
                        <w:rFonts w:ascii="Cambria Math" w:hAnsi="Cambria Math" w:eastAsia="仿宋" w:cs="Times New Roman"/>
                        <w:kern w:val="0"/>
                        <w:szCs w:val="21"/>
                      </w:rPr>
                    </m:ctrlPr>
                  </m:sub>
                </m:sSub>
              </m:oMath>
            </m:oMathPara>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-0.022</w:t>
            </w:r>
            <w:r>
              <w:rPr>
                <w:rFonts w:ascii="Times New Roman" w:hAnsi="Times New Roman" w:eastAsia="仿宋" w:cs="Times New Roman"/>
                <w:kern w:val="0"/>
                <w:szCs w:val="21"/>
                <w:vertAlign w:val="superscript"/>
              </w:rPr>
              <w:t>***</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0.001</w:t>
            </w:r>
          </w:p>
        </w:tc>
      </w:tr>
      <w:tr>
        <w:tblPrEx>
          <w:tblCellMar>
            <w:top w:w="0" w:type="dxa"/>
            <w:left w:w="75" w:type="dxa"/>
            <w:bottom w:w="0" w:type="dxa"/>
            <w:right w:w="75" w:type="dxa"/>
          </w:tblCellMar>
        </w:tblPrEx>
        <w:trPr>
          <w:jc w:val="center"/>
        </w:trPr>
        <w:tc>
          <w:tcPr>
            <w:tcW w:w="1092" w:type="pct"/>
            <w:vMerge w:val="continue"/>
            <w:tcBorders>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（0.006）</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（0.001）</w:t>
            </w:r>
          </w:p>
        </w:tc>
      </w:tr>
      <w:tr>
        <w:tblPrEx>
          <w:tblCellMar>
            <w:top w:w="0" w:type="dxa"/>
            <w:left w:w="75" w:type="dxa"/>
            <w:bottom w:w="0" w:type="dxa"/>
            <w:right w:w="75" w:type="dxa"/>
          </w:tblCellMar>
        </w:tblPrEx>
        <w:trPr>
          <w:jc w:val="center"/>
        </w:trPr>
        <w:tc>
          <w:tcPr>
            <w:tcW w:w="1092"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控制变量</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CellMar>
            <w:top w:w="0" w:type="dxa"/>
            <w:left w:w="75" w:type="dxa"/>
            <w:bottom w:w="0" w:type="dxa"/>
            <w:right w:w="75" w:type="dxa"/>
          </w:tblCellMar>
        </w:tblPrEx>
        <w:trPr>
          <w:jc w:val="center"/>
        </w:trPr>
        <w:tc>
          <w:tcPr>
            <w:tcW w:w="1092"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企业 FE</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r>
      <w:tr>
        <w:tblPrEx>
          <w:tblCellMar>
            <w:top w:w="0" w:type="dxa"/>
            <w:left w:w="75" w:type="dxa"/>
            <w:bottom w:w="0" w:type="dxa"/>
            <w:right w:w="75" w:type="dxa"/>
          </w:tblCellMar>
        </w:tblPrEx>
        <w:trPr>
          <w:jc w:val="center"/>
        </w:trPr>
        <w:tc>
          <w:tcPr>
            <w:tcW w:w="1092"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szCs w:val="21"/>
              </w:rPr>
              <w:t>城市</w:t>
            </w:r>
            <w:r>
              <w:rPr>
                <w:rFonts w:hint="eastAsia" w:ascii="Times New Roman" w:hAnsi="Times New Roman" w:eastAsia="仿宋" w:cs="Times New Roman"/>
                <w:szCs w:val="21"/>
              </w:rPr>
              <w:t xml:space="preserve"> </w:t>
            </w:r>
            <w:r>
              <w:rPr>
                <w:rFonts w:ascii="Times New Roman" w:hAnsi="Times New Roman" w:eastAsia="仿宋" w:cs="Times New Roman"/>
                <w:kern w:val="0"/>
                <w:szCs w:val="21"/>
              </w:rPr>
              <w:t>FE</w:t>
            </w: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r>
      <w:tr>
        <w:tblPrEx>
          <w:tblCellMar>
            <w:top w:w="0" w:type="dxa"/>
            <w:left w:w="75" w:type="dxa"/>
            <w:bottom w:w="0" w:type="dxa"/>
            <w:right w:w="75" w:type="dxa"/>
          </w:tblCellMar>
        </w:tblPrEx>
        <w:trPr>
          <w:jc w:val="center"/>
        </w:trPr>
        <w:tc>
          <w:tcPr>
            <w:tcW w:w="1092"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年份 FE</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是</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r>
      <w:tr>
        <w:tblPrEx>
          <w:tblCellMar>
            <w:top w:w="0" w:type="dxa"/>
            <w:left w:w="75" w:type="dxa"/>
            <w:bottom w:w="0" w:type="dxa"/>
            <w:right w:w="75" w:type="dxa"/>
          </w:tblCellMar>
        </w:tblPrEx>
        <w:trPr>
          <w:jc w:val="center"/>
        </w:trPr>
        <w:tc>
          <w:tcPr>
            <w:tcW w:w="1092"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Observations</w:t>
            </w: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273 702</w:t>
            </w: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206 895</w:t>
            </w: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63</w:t>
            </w: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81</w:t>
            </w:r>
          </w:p>
        </w:tc>
        <w:tc>
          <w:tcPr>
            <w:tcW w:w="488"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81</w:t>
            </w:r>
          </w:p>
        </w:tc>
        <w:tc>
          <w:tcPr>
            <w:tcW w:w="489" w:type="pct"/>
            <w:tcBorders>
              <w:top w:val="nil"/>
              <w:left w:val="nil"/>
              <w:bottom w:val="nil"/>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81</w:t>
            </w:r>
          </w:p>
        </w:tc>
        <w:tc>
          <w:tcPr>
            <w:tcW w:w="48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1733</w:t>
            </w:r>
          </w:p>
        </w:tc>
        <w:tc>
          <w:tcPr>
            <w:tcW w:w="48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1569</w:t>
            </w:r>
          </w:p>
        </w:tc>
      </w:tr>
      <w:tr>
        <w:tblPrEx>
          <w:tblCellMar>
            <w:top w:w="0" w:type="dxa"/>
            <w:left w:w="75" w:type="dxa"/>
            <w:bottom w:w="0" w:type="dxa"/>
            <w:right w:w="75" w:type="dxa"/>
          </w:tblCellMar>
        </w:tblPrEx>
        <w:trPr>
          <w:jc w:val="center"/>
        </w:trPr>
        <w:tc>
          <w:tcPr>
            <w:tcW w:w="1092"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R-squared</w:t>
            </w:r>
          </w:p>
        </w:tc>
        <w:tc>
          <w:tcPr>
            <w:tcW w:w="488"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0.601</w:t>
            </w:r>
          </w:p>
        </w:tc>
        <w:tc>
          <w:tcPr>
            <w:tcW w:w="489" w:type="pct"/>
            <w:tcBorders>
              <w:top w:val="nil"/>
              <w:left w:val="nil"/>
              <w:bottom w:val="single" w:color="auto" w:sz="12" w:space="0"/>
              <w:right w:val="nil"/>
            </w:tcBorders>
            <w:vAlign w:val="center"/>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0.818</w:t>
            </w:r>
          </w:p>
        </w:tc>
        <w:tc>
          <w:tcPr>
            <w:tcW w:w="488" w:type="pct"/>
            <w:tcBorders>
              <w:top w:val="nil"/>
              <w:left w:val="nil"/>
              <w:bottom w:val="single" w:color="auto" w:sz="12" w:space="0"/>
              <w:right w:val="nil"/>
            </w:tcBorders>
            <w:vAlign w:val="center"/>
          </w:tcPr>
          <w:p>
            <w:pPr>
              <w:keepNext/>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0.963</w:t>
            </w:r>
          </w:p>
        </w:tc>
        <w:tc>
          <w:tcPr>
            <w:tcW w:w="489" w:type="pct"/>
            <w:tcBorders>
              <w:top w:val="nil"/>
              <w:left w:val="nil"/>
              <w:bottom w:val="single" w:color="auto" w:sz="12" w:space="0"/>
              <w:right w:val="nil"/>
            </w:tcBorders>
            <w:vAlign w:val="center"/>
          </w:tcPr>
          <w:p>
            <w:pPr>
              <w:keepNext/>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0.983</w:t>
            </w:r>
          </w:p>
        </w:tc>
        <w:tc>
          <w:tcPr>
            <w:tcW w:w="488" w:type="pct"/>
            <w:tcBorders>
              <w:top w:val="nil"/>
              <w:left w:val="nil"/>
              <w:bottom w:val="single" w:color="auto" w:sz="12" w:space="0"/>
              <w:right w:val="nil"/>
            </w:tcBorders>
            <w:vAlign w:val="center"/>
          </w:tcPr>
          <w:p>
            <w:pPr>
              <w:keepNext/>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0.942</w:t>
            </w:r>
          </w:p>
        </w:tc>
        <w:tc>
          <w:tcPr>
            <w:tcW w:w="489" w:type="pct"/>
            <w:tcBorders>
              <w:top w:val="nil"/>
              <w:left w:val="nil"/>
              <w:bottom w:val="single" w:color="auto" w:sz="12" w:space="0"/>
              <w:right w:val="nil"/>
            </w:tcBorders>
            <w:vAlign w:val="center"/>
          </w:tcPr>
          <w:p>
            <w:pPr>
              <w:keepNext/>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0.957</w:t>
            </w:r>
          </w:p>
        </w:tc>
        <w:tc>
          <w:tcPr>
            <w:tcW w:w="488" w:type="pct"/>
            <w:tcBorders>
              <w:top w:val="nil"/>
              <w:left w:val="nil"/>
              <w:bottom w:val="single" w:color="auto" w:sz="12" w:space="0"/>
              <w:right w:val="nil"/>
            </w:tcBorders>
          </w:tcPr>
          <w:p>
            <w:pPr>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0.847</w:t>
            </w:r>
          </w:p>
        </w:tc>
        <w:tc>
          <w:tcPr>
            <w:tcW w:w="489" w:type="pct"/>
            <w:tcBorders>
              <w:top w:val="nil"/>
              <w:left w:val="nil"/>
              <w:bottom w:val="single" w:color="auto" w:sz="12" w:space="0"/>
              <w:right w:val="nil"/>
            </w:tcBorders>
          </w:tcPr>
          <w:p>
            <w:pPr>
              <w:keepNext/>
              <w:autoSpaceDE w:val="0"/>
              <w:autoSpaceDN w:val="0"/>
              <w:adjustRightInd w:val="0"/>
              <w:jc w:val="center"/>
              <w:rPr>
                <w:rFonts w:ascii="Times New Roman" w:hAnsi="Times New Roman" w:eastAsia="仿宋" w:cs="Times New Roman"/>
                <w:kern w:val="0"/>
                <w:szCs w:val="21"/>
              </w:rPr>
            </w:pPr>
            <w:r>
              <w:rPr>
                <w:rFonts w:ascii="Times New Roman" w:hAnsi="Times New Roman" w:eastAsia="仿宋" w:cs="Times New Roman"/>
                <w:kern w:val="0"/>
                <w:szCs w:val="21"/>
              </w:rPr>
              <w:t>0.997</w:t>
            </w:r>
          </w:p>
        </w:tc>
      </w:tr>
    </w:tbl>
    <w:p>
      <w:pPr>
        <w:pStyle w:val="6"/>
        <w:rPr>
          <w:rFonts w:ascii="仿宋" w:hAnsi="仿宋" w:eastAsia="仿宋" w:cs="Times New Roman"/>
          <w:sz w:val="18"/>
          <w:szCs w:val="18"/>
        </w:rPr>
      </w:pPr>
      <w:r>
        <w:rPr>
          <w:rFonts w:hint="eastAsia" w:ascii="仿宋" w:hAnsi="仿宋" w:eastAsia="仿宋"/>
          <w:sz w:val="18"/>
          <w:szCs w:val="18"/>
        </w:rPr>
        <w:t>注：第</w:t>
      </w:r>
      <w:r>
        <w:rPr>
          <w:rFonts w:ascii="仿宋" w:hAnsi="仿宋" w:eastAsia="仿宋" w:cs="Times New Roman"/>
          <w:sz w:val="18"/>
          <w:szCs w:val="18"/>
        </w:rPr>
        <w:t>（3）-（6）</w:t>
      </w:r>
      <w:r>
        <w:rPr>
          <w:rFonts w:hint="eastAsia" w:ascii="仿宋" w:hAnsi="仿宋" w:eastAsia="仿宋" w:cs="Times New Roman"/>
          <w:sz w:val="18"/>
          <w:szCs w:val="18"/>
        </w:rPr>
        <w:t>列回归</w:t>
      </w:r>
      <w:r>
        <w:rPr>
          <w:rFonts w:ascii="仿宋" w:hAnsi="仿宋" w:eastAsia="仿宋" w:cs="Times New Roman"/>
          <w:sz w:val="18"/>
          <w:szCs w:val="18"/>
        </w:rPr>
        <w:t>控制变量包括工业总产值、固定资产投资总额、地方财政一般预算内支出、地方财政一般预算内收入、年末金融机构存款余额、城乡居民储蓄年末余额、非农产业占比、当年实际使用外资金额、人均地区生产总值等</w:t>
      </w:r>
      <w:r>
        <w:rPr>
          <w:rFonts w:hint="eastAsia" w:ascii="仿宋" w:hAnsi="仿宋" w:eastAsia="仿宋" w:cs="Times New Roman"/>
          <w:sz w:val="18"/>
          <w:szCs w:val="18"/>
        </w:rPr>
        <w:t>。</w:t>
      </w:r>
    </w:p>
    <w:p>
      <w:pPr>
        <w:ind w:firstLine="420" w:firstLineChars="200"/>
        <w:rPr>
          <w:rFonts w:ascii="Times New Roman" w:hAnsi="Times New Roman" w:eastAsia="仿宋" w:cs="Times New Roman"/>
          <w:color w:val="FF0000"/>
          <w:szCs w:val="21"/>
        </w:rPr>
      </w:pPr>
    </w:p>
    <w:p/>
    <w:p>
      <w:pPr>
        <w:widowControl/>
        <w:jc w:val="left"/>
      </w:pPr>
    </w:p>
    <w:p>
      <w:pPr>
        <w:widowControl/>
        <w:jc w:val="left"/>
      </w:pPr>
      <w:r>
        <w:br w:type="page"/>
      </w:r>
    </w:p>
    <w:p>
      <w:pPr>
        <w:widowControl/>
        <w:jc w:val="center"/>
        <w:rPr>
          <w:rFonts w:ascii="楷体" w:hAnsi="楷体" w:eastAsia="楷体"/>
          <w:sz w:val="28"/>
          <w:szCs w:val="28"/>
        </w:rPr>
      </w:pPr>
      <w:r>
        <w:rPr>
          <w:rFonts w:hint="eastAsia" w:ascii="楷体" w:hAnsi="楷体" w:eastAsia="楷体"/>
          <w:sz w:val="28"/>
          <w:szCs w:val="28"/>
        </w:rPr>
        <w:t>参考文献</w:t>
      </w:r>
    </w:p>
    <w:p>
      <w:pPr>
        <w:pStyle w:val="26"/>
        <w:numPr>
          <w:ilvl w:val="0"/>
          <w:numId w:val="1"/>
        </w:numPr>
        <w:ind w:left="425" w:leftChars="0" w:hanging="425" w:firstLineChars="0"/>
        <w:rPr>
          <w:rFonts w:ascii="Times New Roman" w:hAnsi="Times New Roman" w:cs="Times New Roman"/>
          <w:sz w:val="21"/>
          <w:szCs w:val="21"/>
        </w:rPr>
      </w:pPr>
      <w:r>
        <w:rPr>
          <w:rFonts w:ascii="Times New Roman" w:hAnsi="Times New Roman" w:cs="Times New Roman"/>
          <w:sz w:val="21"/>
          <w:szCs w:val="21"/>
        </w:rPr>
        <w:t xml:space="preserve">Atanasov, V. A., and B. S. Black, “ Shock-Based Causal Inference </w:t>
      </w:r>
      <w:r>
        <w:rPr>
          <w:rFonts w:hint="eastAsia" w:ascii="Times New Roman" w:hAnsi="Times New Roman" w:cs="Times New Roman"/>
          <w:sz w:val="21"/>
          <w:szCs w:val="21"/>
          <w:lang w:val="en-US" w:eastAsia="zh-CN"/>
        </w:rPr>
        <w:t>i</w:t>
      </w:r>
      <w:r>
        <w:rPr>
          <w:rFonts w:ascii="Times New Roman" w:hAnsi="Times New Roman" w:cs="Times New Roman"/>
          <w:sz w:val="21"/>
          <w:szCs w:val="21"/>
        </w:rPr>
        <w:t xml:space="preserve">n Corporate Finance </w:t>
      </w:r>
      <w:r>
        <w:rPr>
          <w:rFonts w:hint="eastAsia" w:ascii="Times New Roman" w:hAnsi="Times New Roman" w:cs="Times New Roman"/>
          <w:sz w:val="21"/>
          <w:szCs w:val="21"/>
          <w:lang w:val="en-US" w:eastAsia="zh-CN"/>
        </w:rPr>
        <w:t>a</w:t>
      </w:r>
      <w:r>
        <w:rPr>
          <w:rFonts w:ascii="Times New Roman" w:hAnsi="Times New Roman" w:cs="Times New Roman"/>
          <w:sz w:val="21"/>
          <w:szCs w:val="21"/>
        </w:rPr>
        <w:t xml:space="preserve">nd Accounting Research”, </w:t>
      </w:r>
      <w:r>
        <w:rPr>
          <w:rFonts w:ascii="Times New Roman" w:hAnsi="Times New Roman" w:cs="Times New Roman"/>
          <w:i/>
          <w:iCs/>
          <w:sz w:val="21"/>
          <w:szCs w:val="21"/>
        </w:rPr>
        <w:t>Critical Finance Review</w:t>
      </w:r>
      <w:r>
        <w:rPr>
          <w:rFonts w:ascii="Times New Roman" w:hAnsi="Times New Roman" w:cs="Times New Roman"/>
          <w:sz w:val="21"/>
          <w:szCs w:val="21"/>
        </w:rPr>
        <w:t xml:space="preserve">, 2016, 5, 207-304. </w:t>
      </w:r>
    </w:p>
    <w:p>
      <w:pPr>
        <w:pStyle w:val="26"/>
        <w:numPr>
          <w:ilvl w:val="0"/>
          <w:numId w:val="1"/>
        </w:numPr>
        <w:ind w:left="425" w:leftChars="0" w:hanging="425" w:firstLineChars="0"/>
        <w:rPr>
          <w:rFonts w:ascii="Times New Roman" w:hAnsi="Times New Roman" w:cs="Times New Roman"/>
          <w:sz w:val="21"/>
          <w:szCs w:val="21"/>
        </w:rPr>
      </w:pPr>
      <w:r>
        <w:rPr>
          <w:rFonts w:ascii="Times New Roman" w:hAnsi="Times New Roman" w:cs="Times New Roman"/>
          <w:sz w:val="21"/>
          <w:szCs w:val="21"/>
        </w:rPr>
        <w:t xml:space="preserve">Broda, C., and D. E. Weinstein, “ Globalization and the Gains from Variety”, </w:t>
      </w:r>
      <w:r>
        <w:rPr>
          <w:rFonts w:ascii="Times New Roman" w:hAnsi="Times New Roman" w:cs="Times New Roman"/>
          <w:i/>
          <w:iCs/>
          <w:sz w:val="21"/>
          <w:szCs w:val="21"/>
        </w:rPr>
        <w:t>The Quarterly Journal of Economics</w:t>
      </w:r>
      <w:r>
        <w:rPr>
          <w:rFonts w:ascii="Times New Roman" w:hAnsi="Times New Roman" w:cs="Times New Roman"/>
          <w:sz w:val="21"/>
          <w:szCs w:val="21"/>
        </w:rPr>
        <w:t xml:space="preserve">, 2006, 121(2), 541-585. </w:t>
      </w:r>
    </w:p>
    <w:p>
      <w:pPr>
        <w:pStyle w:val="26"/>
        <w:numPr>
          <w:ilvl w:val="0"/>
          <w:numId w:val="1"/>
        </w:numPr>
        <w:ind w:left="425" w:leftChars="0" w:hanging="425" w:firstLineChars="0"/>
        <w:rPr>
          <w:rFonts w:ascii="Times New Roman" w:hAnsi="Times New Roman" w:cs="Times New Roman"/>
          <w:sz w:val="21"/>
          <w:szCs w:val="21"/>
        </w:rPr>
      </w:pPr>
      <w:r>
        <w:rPr>
          <w:rFonts w:ascii="Times New Roman" w:hAnsi="Times New Roman" w:cs="Times New Roman"/>
          <w:sz w:val="21"/>
          <w:szCs w:val="21"/>
        </w:rPr>
        <w:t xml:space="preserve">Cameron, A. C., and D. L. Miller, “A Practitioner’s Guide </w:t>
      </w:r>
      <w:r>
        <w:rPr>
          <w:rFonts w:hint="eastAsia" w:ascii="Times New Roman" w:hAnsi="Times New Roman" w:cs="Times New Roman"/>
          <w:sz w:val="21"/>
          <w:szCs w:val="21"/>
          <w:lang w:val="en-US" w:eastAsia="zh-CN"/>
        </w:rPr>
        <w:t>t</w:t>
      </w:r>
      <w:r>
        <w:rPr>
          <w:rFonts w:ascii="Times New Roman" w:hAnsi="Times New Roman" w:cs="Times New Roman"/>
          <w:sz w:val="21"/>
          <w:szCs w:val="21"/>
        </w:rPr>
        <w:t xml:space="preserve">o Cluster-Robust Inference”, </w:t>
      </w:r>
      <w:r>
        <w:rPr>
          <w:rFonts w:ascii="Times New Roman" w:hAnsi="Times New Roman" w:cs="Times New Roman"/>
          <w:i/>
          <w:iCs/>
          <w:sz w:val="21"/>
          <w:szCs w:val="21"/>
        </w:rPr>
        <w:t>Journal of Human Resources</w:t>
      </w:r>
      <w:r>
        <w:rPr>
          <w:rFonts w:ascii="Times New Roman" w:hAnsi="Times New Roman" w:cs="Times New Roman"/>
          <w:sz w:val="21"/>
          <w:szCs w:val="21"/>
        </w:rPr>
        <w:t xml:space="preserve">, 50(2), 317-372. </w:t>
      </w:r>
    </w:p>
    <w:p>
      <w:pPr>
        <w:pStyle w:val="26"/>
        <w:numPr>
          <w:ilvl w:val="0"/>
          <w:numId w:val="1"/>
        </w:numPr>
        <w:ind w:left="425" w:leftChars="0" w:hanging="425" w:firstLineChars="0"/>
        <w:rPr>
          <w:rFonts w:ascii="Times New Roman" w:hAnsi="Times New Roman" w:cs="Times New Roman"/>
          <w:sz w:val="21"/>
          <w:szCs w:val="21"/>
        </w:rPr>
      </w:pPr>
      <w:r>
        <w:rPr>
          <w:rFonts w:ascii="Times New Roman" w:hAnsi="Times New Roman" w:cs="Times New Roman"/>
          <w:sz w:val="21"/>
          <w:szCs w:val="21"/>
        </w:rPr>
        <w:t xml:space="preserve">Ethier, W. J., “ National and International Returns </w:t>
      </w:r>
      <w:r>
        <w:rPr>
          <w:rFonts w:hint="eastAsia" w:ascii="Times New Roman" w:hAnsi="Times New Roman" w:cs="Times New Roman"/>
          <w:sz w:val="21"/>
          <w:szCs w:val="21"/>
          <w:lang w:val="en-US" w:eastAsia="zh-CN"/>
        </w:rPr>
        <w:t>t</w:t>
      </w:r>
      <w:r>
        <w:rPr>
          <w:rFonts w:ascii="Times New Roman" w:hAnsi="Times New Roman" w:cs="Times New Roman"/>
          <w:sz w:val="21"/>
          <w:szCs w:val="21"/>
        </w:rPr>
        <w:t xml:space="preserve">o Scale </w:t>
      </w:r>
      <w:r>
        <w:rPr>
          <w:rFonts w:hint="eastAsia" w:ascii="Times New Roman" w:hAnsi="Times New Roman" w:cs="Times New Roman"/>
          <w:sz w:val="21"/>
          <w:szCs w:val="21"/>
          <w:lang w:val="en-US" w:eastAsia="zh-CN"/>
        </w:rPr>
        <w:t>i</w:t>
      </w:r>
      <w:r>
        <w:rPr>
          <w:rFonts w:ascii="Times New Roman" w:hAnsi="Times New Roman" w:cs="Times New Roman"/>
          <w:sz w:val="21"/>
          <w:szCs w:val="21"/>
        </w:rPr>
        <w:t xml:space="preserve">n </w:t>
      </w:r>
      <w:r>
        <w:rPr>
          <w:rFonts w:hint="eastAsia" w:ascii="Times New Roman" w:hAnsi="Times New Roman" w:cs="Times New Roman"/>
          <w:sz w:val="21"/>
          <w:szCs w:val="21"/>
          <w:lang w:val="en-US" w:eastAsia="zh-CN"/>
        </w:rPr>
        <w:t>t</w:t>
      </w:r>
      <w:r>
        <w:rPr>
          <w:rFonts w:ascii="Times New Roman" w:hAnsi="Times New Roman" w:cs="Times New Roman"/>
          <w:sz w:val="21"/>
          <w:szCs w:val="21"/>
        </w:rPr>
        <w:t xml:space="preserve">he Modern Theory </w:t>
      </w:r>
      <w:r>
        <w:rPr>
          <w:rFonts w:hint="eastAsia" w:ascii="Times New Roman" w:hAnsi="Times New Roman" w:cs="Times New Roman"/>
          <w:sz w:val="21"/>
          <w:szCs w:val="21"/>
          <w:lang w:val="en-US" w:eastAsia="zh-CN"/>
        </w:rPr>
        <w:t>o</w:t>
      </w:r>
      <w:r>
        <w:rPr>
          <w:rFonts w:ascii="Times New Roman" w:hAnsi="Times New Roman" w:cs="Times New Roman"/>
          <w:sz w:val="21"/>
          <w:szCs w:val="21"/>
        </w:rPr>
        <w:t xml:space="preserve">f International Trade”, </w:t>
      </w:r>
      <w:r>
        <w:rPr>
          <w:rFonts w:ascii="Times New Roman" w:hAnsi="Times New Roman" w:cs="Times New Roman"/>
          <w:i/>
          <w:iCs/>
          <w:sz w:val="21"/>
          <w:szCs w:val="21"/>
        </w:rPr>
        <w:t>American Economic Review</w:t>
      </w:r>
      <w:r>
        <w:rPr>
          <w:rFonts w:ascii="Times New Roman" w:hAnsi="Times New Roman" w:cs="Times New Roman"/>
          <w:sz w:val="21"/>
          <w:szCs w:val="21"/>
        </w:rPr>
        <w:t xml:space="preserve">, 1982, 72(3), 389-405. </w:t>
      </w:r>
    </w:p>
    <w:p>
      <w:pPr>
        <w:pStyle w:val="26"/>
        <w:numPr>
          <w:ilvl w:val="0"/>
          <w:numId w:val="1"/>
        </w:numPr>
        <w:ind w:left="425" w:leftChars="0" w:hanging="425" w:firstLineChars="0"/>
        <w:rPr>
          <w:rFonts w:ascii="Times New Roman" w:hAnsi="Times New Roman" w:eastAsia="仿宋" w:cs="Times New Roman"/>
          <w:sz w:val="21"/>
          <w:szCs w:val="21"/>
        </w:rPr>
      </w:pPr>
      <w:r>
        <w:rPr>
          <w:rFonts w:ascii="Times New Roman" w:hAnsi="Times New Roman" w:eastAsia="仿宋" w:cs="Times New Roman"/>
          <w:sz w:val="21"/>
          <w:szCs w:val="21"/>
        </w:rPr>
        <w:t>范子英、彭飞，“</w:t>
      </w:r>
      <w:r>
        <w:rPr>
          <w:rFonts w:hint="eastAsia" w:ascii="Times New Roman" w:hAnsi="Times New Roman" w:eastAsia="仿宋" w:cs="Times New Roman"/>
          <w:sz w:val="21"/>
          <w:szCs w:val="21"/>
        </w:rPr>
        <w:t>‘</w:t>
      </w:r>
      <w:r>
        <w:rPr>
          <w:rFonts w:ascii="Times New Roman" w:hAnsi="Times New Roman" w:eastAsia="仿宋" w:cs="Times New Roman"/>
          <w:sz w:val="21"/>
          <w:szCs w:val="21"/>
        </w:rPr>
        <w:t>营改增</w:t>
      </w:r>
      <w:r>
        <w:rPr>
          <w:rFonts w:hint="eastAsia" w:ascii="Times New Roman" w:hAnsi="Times New Roman" w:eastAsia="仿宋" w:cs="Times New Roman"/>
          <w:sz w:val="21"/>
          <w:szCs w:val="21"/>
        </w:rPr>
        <w:t>’</w:t>
      </w:r>
      <w:r>
        <w:rPr>
          <w:rFonts w:ascii="Times New Roman" w:hAnsi="Times New Roman" w:eastAsia="仿宋" w:cs="Times New Roman"/>
          <w:sz w:val="21"/>
          <w:szCs w:val="21"/>
        </w:rPr>
        <w:t>的减税效应和分工效应:基于产业互联的视角”，《经济研究》，2017年第2期，第82-95页。</w:t>
      </w:r>
    </w:p>
    <w:p>
      <w:pPr>
        <w:pStyle w:val="26"/>
        <w:numPr>
          <w:ilvl w:val="0"/>
          <w:numId w:val="1"/>
        </w:numPr>
        <w:ind w:left="425" w:leftChars="0" w:hanging="425" w:firstLineChars="0"/>
        <w:rPr>
          <w:rFonts w:ascii="Times New Roman" w:hAnsi="Times New Roman" w:cs="Times New Roman"/>
          <w:sz w:val="21"/>
          <w:szCs w:val="21"/>
        </w:rPr>
      </w:pPr>
      <w:r>
        <w:rPr>
          <w:rFonts w:ascii="Times New Roman" w:hAnsi="Times New Roman" w:cs="Times New Roman"/>
          <w:sz w:val="21"/>
          <w:szCs w:val="21"/>
        </w:rPr>
        <w:t xml:space="preserve">Grossman, G. M., and E. Helpman, “Trade, Knowledge Spillovers, </w:t>
      </w:r>
      <w:r>
        <w:rPr>
          <w:rFonts w:hint="eastAsia" w:ascii="Times New Roman" w:hAnsi="Times New Roman" w:cs="Times New Roman"/>
          <w:sz w:val="21"/>
          <w:szCs w:val="21"/>
          <w:lang w:val="en-US" w:eastAsia="zh-CN"/>
        </w:rPr>
        <w:t>a</w:t>
      </w:r>
      <w:r>
        <w:rPr>
          <w:rFonts w:ascii="Times New Roman" w:hAnsi="Times New Roman" w:cs="Times New Roman"/>
          <w:sz w:val="21"/>
          <w:szCs w:val="21"/>
        </w:rPr>
        <w:t>nd Growt</w:t>
      </w:r>
      <w:r>
        <w:rPr>
          <w:rFonts w:hint="eastAsia" w:ascii="Times New Roman" w:hAnsi="Times New Roman" w:cs="Times New Roman"/>
          <w:sz w:val="21"/>
          <w:szCs w:val="21"/>
          <w:lang w:val="en-US" w:eastAsia="zh-CN"/>
        </w:rPr>
        <w:t>h</w:t>
      </w:r>
      <w:r>
        <w:rPr>
          <w:rFonts w:ascii="Times New Roman" w:hAnsi="Times New Roman" w:cs="Times New Roman"/>
          <w:sz w:val="21"/>
          <w:szCs w:val="21"/>
        </w:rPr>
        <w:t xml:space="preserve">”, </w:t>
      </w:r>
      <w:r>
        <w:rPr>
          <w:rFonts w:ascii="Times New Roman" w:hAnsi="Times New Roman" w:cs="Times New Roman"/>
          <w:i/>
          <w:iCs/>
          <w:sz w:val="21"/>
          <w:szCs w:val="21"/>
        </w:rPr>
        <w:t>European Economic Review</w:t>
      </w:r>
      <w:r>
        <w:rPr>
          <w:rFonts w:ascii="Times New Roman" w:hAnsi="Times New Roman" w:cs="Times New Roman"/>
          <w:sz w:val="21"/>
          <w:szCs w:val="21"/>
        </w:rPr>
        <w:t xml:space="preserve">,1991, 35(2-3), 517-526. </w:t>
      </w:r>
    </w:p>
    <w:p>
      <w:pPr>
        <w:pStyle w:val="26"/>
        <w:numPr>
          <w:ilvl w:val="0"/>
          <w:numId w:val="1"/>
        </w:numPr>
        <w:ind w:left="425" w:leftChars="0" w:hanging="425" w:firstLineChars="0"/>
        <w:rPr>
          <w:rFonts w:ascii="Times New Roman" w:hAnsi="Times New Roman" w:eastAsia="仿宋" w:cs="Times New Roman"/>
          <w:sz w:val="21"/>
          <w:szCs w:val="21"/>
        </w:rPr>
      </w:pPr>
      <w:r>
        <w:rPr>
          <w:rFonts w:ascii="Times New Roman" w:hAnsi="Times New Roman" w:eastAsia="仿宋" w:cs="Times New Roman"/>
          <w:sz w:val="21"/>
          <w:szCs w:val="21"/>
        </w:rPr>
        <w:t>何德旭、苗文龙、闫娟娟、沈悦，“全球系统性金融风险跨市场传染效应分析”，《经济研究》，2021年第8期，第4-21页。</w:t>
      </w:r>
    </w:p>
    <w:p>
      <w:pPr>
        <w:pStyle w:val="26"/>
        <w:numPr>
          <w:ilvl w:val="0"/>
          <w:numId w:val="1"/>
        </w:numPr>
        <w:ind w:left="425" w:leftChars="0" w:hanging="425" w:firstLineChars="0"/>
        <w:rPr>
          <w:rFonts w:ascii="Times New Roman" w:hAnsi="Times New Roman" w:eastAsia="仿宋" w:cs="Times New Roman"/>
          <w:sz w:val="21"/>
          <w:szCs w:val="21"/>
        </w:rPr>
      </w:pPr>
      <w:r>
        <w:rPr>
          <w:rFonts w:ascii="Times New Roman" w:hAnsi="Times New Roman" w:eastAsia="仿宋" w:cs="Times New Roman"/>
          <w:sz w:val="21"/>
          <w:szCs w:val="21"/>
        </w:rPr>
        <w:t>蒋灵多、陆毅、张国峰，“自由贸易试验区建设与中国出口行为”，《中国工业经济》，2021年第8期，第75-93页。</w:t>
      </w:r>
    </w:p>
    <w:p>
      <w:pPr>
        <w:pStyle w:val="26"/>
        <w:numPr>
          <w:ilvl w:val="0"/>
          <w:numId w:val="1"/>
        </w:numPr>
        <w:ind w:left="425" w:leftChars="0" w:hanging="425" w:firstLineChars="0"/>
        <w:rPr>
          <w:rFonts w:ascii="Times New Roman" w:hAnsi="Times New Roman" w:eastAsia="仿宋" w:cs="Times New Roman"/>
          <w:sz w:val="21"/>
          <w:szCs w:val="21"/>
        </w:rPr>
      </w:pPr>
      <w:r>
        <w:rPr>
          <w:rFonts w:ascii="Times New Roman" w:hAnsi="Times New Roman" w:eastAsia="仿宋" w:cs="Times New Roman"/>
          <w:sz w:val="21"/>
          <w:szCs w:val="21"/>
        </w:rPr>
        <w:t>康继军、郑维伟，“中国内陆型自贸区的贸易创造效应:扩大进口还是刺激出口”，《国际贸易问题》，2021年第2期，第16-31页。</w:t>
      </w:r>
    </w:p>
    <w:p>
      <w:pPr>
        <w:pStyle w:val="26"/>
        <w:numPr>
          <w:ilvl w:val="0"/>
          <w:numId w:val="1"/>
        </w:numPr>
        <w:ind w:left="425" w:leftChars="0" w:hanging="425" w:firstLineChars="0"/>
        <w:rPr>
          <w:rFonts w:ascii="Times New Roman" w:hAnsi="Times New Roman" w:cs="Times New Roman"/>
          <w:sz w:val="21"/>
          <w:szCs w:val="21"/>
        </w:rPr>
      </w:pPr>
      <w:r>
        <w:rPr>
          <w:rFonts w:ascii="Times New Roman" w:hAnsi="Times New Roman" w:cs="Times New Roman"/>
          <w:sz w:val="21"/>
          <w:szCs w:val="21"/>
        </w:rPr>
        <w:t xml:space="preserve">Keller, W., “ Geographic Localization </w:t>
      </w:r>
      <w:r>
        <w:rPr>
          <w:rFonts w:hint="eastAsia" w:ascii="Times New Roman" w:hAnsi="Times New Roman" w:cs="Times New Roman"/>
          <w:sz w:val="21"/>
          <w:szCs w:val="21"/>
          <w:lang w:val="en-US" w:eastAsia="zh-CN"/>
        </w:rPr>
        <w:t>o</w:t>
      </w:r>
      <w:r>
        <w:rPr>
          <w:rFonts w:ascii="Times New Roman" w:hAnsi="Times New Roman" w:cs="Times New Roman"/>
          <w:sz w:val="21"/>
          <w:szCs w:val="21"/>
        </w:rPr>
        <w:t xml:space="preserve">f International Technology Diffusion”, </w:t>
      </w:r>
      <w:r>
        <w:rPr>
          <w:rFonts w:ascii="Times New Roman" w:hAnsi="Times New Roman" w:cs="Times New Roman"/>
          <w:i/>
          <w:iCs/>
          <w:sz w:val="21"/>
          <w:szCs w:val="21"/>
        </w:rPr>
        <w:t>American Economic Review</w:t>
      </w:r>
      <w:r>
        <w:rPr>
          <w:rFonts w:ascii="Times New Roman" w:hAnsi="Times New Roman" w:cs="Times New Roman"/>
          <w:sz w:val="21"/>
          <w:szCs w:val="21"/>
        </w:rPr>
        <w:t xml:space="preserve">, 2002, 92(1), 120-142. </w:t>
      </w:r>
    </w:p>
    <w:p>
      <w:pPr>
        <w:pStyle w:val="26"/>
        <w:numPr>
          <w:ilvl w:val="0"/>
          <w:numId w:val="1"/>
        </w:numPr>
        <w:ind w:left="425" w:leftChars="0" w:hanging="425" w:firstLineChars="0"/>
        <w:rPr>
          <w:rFonts w:ascii="Times New Roman" w:hAnsi="Times New Roman" w:eastAsia="仿宋" w:cs="Times New Roman"/>
          <w:sz w:val="21"/>
          <w:szCs w:val="21"/>
        </w:rPr>
      </w:pPr>
      <w:r>
        <w:rPr>
          <w:rFonts w:ascii="Times New Roman" w:hAnsi="Times New Roman" w:eastAsia="仿宋" w:cs="Times New Roman"/>
          <w:sz w:val="21"/>
          <w:szCs w:val="21"/>
        </w:rPr>
        <w:t>梁若冰、叶一帆，“营改增对企业间贸易的影响:兼论试点的贸易转移效应”，《财政研究》，2016年第2期，第52-64页。</w:t>
      </w:r>
    </w:p>
    <w:p>
      <w:pPr>
        <w:pStyle w:val="26"/>
        <w:numPr>
          <w:ilvl w:val="0"/>
          <w:numId w:val="1"/>
        </w:numPr>
        <w:ind w:left="425" w:leftChars="0" w:hanging="425" w:firstLineChars="0"/>
        <w:rPr>
          <w:rFonts w:ascii="Times New Roman" w:hAnsi="Times New Roman" w:eastAsia="仿宋" w:cs="Times New Roman"/>
          <w:sz w:val="21"/>
          <w:szCs w:val="21"/>
        </w:rPr>
      </w:pPr>
      <w:r>
        <w:rPr>
          <w:rFonts w:ascii="Times New Roman" w:hAnsi="Times New Roman" w:eastAsia="仿宋" w:cs="Times New Roman"/>
          <w:sz w:val="21"/>
          <w:szCs w:val="21"/>
        </w:rPr>
        <w:t>颜海明</w:t>
      </w:r>
      <w:r>
        <w:rPr>
          <w:rFonts w:hint="eastAsia" w:ascii="Times New Roman" w:hAnsi="Times New Roman" w:eastAsia="仿宋" w:cs="Times New Roman"/>
          <w:sz w:val="21"/>
          <w:szCs w:val="21"/>
        </w:rPr>
        <w:t>、</w:t>
      </w:r>
      <w:r>
        <w:rPr>
          <w:rFonts w:ascii="Times New Roman" w:hAnsi="Times New Roman" w:eastAsia="仿宋" w:cs="Times New Roman"/>
          <w:sz w:val="21"/>
          <w:szCs w:val="21"/>
        </w:rPr>
        <w:t>戴国强</w:t>
      </w:r>
      <w:r>
        <w:rPr>
          <w:rFonts w:hint="eastAsia" w:ascii="Times New Roman" w:hAnsi="Times New Roman" w:eastAsia="仿宋" w:cs="Times New Roman"/>
          <w:sz w:val="21"/>
          <w:szCs w:val="21"/>
        </w:rPr>
        <w:t>，“</w:t>
      </w:r>
      <w:r>
        <w:rPr>
          <w:rFonts w:ascii="Times New Roman" w:hAnsi="Times New Roman" w:eastAsia="仿宋" w:cs="Times New Roman"/>
          <w:sz w:val="21"/>
          <w:szCs w:val="21"/>
        </w:rPr>
        <w:t>次贷危机对中国实体经济的影响渠道实证研究</w:t>
      </w:r>
      <w:r>
        <w:rPr>
          <w:rFonts w:hint="eastAsia" w:ascii="Times New Roman" w:hAnsi="Times New Roman" w:eastAsia="仿宋" w:cs="Times New Roman"/>
          <w:sz w:val="21"/>
          <w:szCs w:val="21"/>
        </w:rPr>
        <w:t>”，《</w:t>
      </w:r>
      <w:r>
        <w:rPr>
          <w:rFonts w:ascii="Times New Roman" w:hAnsi="Times New Roman" w:eastAsia="仿宋" w:cs="Times New Roman"/>
          <w:sz w:val="21"/>
          <w:szCs w:val="21"/>
        </w:rPr>
        <w:t>统计研究</w:t>
      </w:r>
      <w:r>
        <w:rPr>
          <w:rFonts w:hint="eastAsia" w:ascii="Times New Roman" w:hAnsi="Times New Roman" w:eastAsia="仿宋" w:cs="Times New Roman"/>
          <w:sz w:val="21"/>
          <w:szCs w:val="21"/>
        </w:rPr>
        <w:t>》，</w:t>
      </w:r>
      <w:r>
        <w:rPr>
          <w:rFonts w:ascii="Times New Roman" w:hAnsi="Times New Roman" w:eastAsia="仿宋" w:cs="Times New Roman"/>
          <w:sz w:val="21"/>
          <w:szCs w:val="21"/>
        </w:rPr>
        <w:t>2015</w:t>
      </w:r>
      <w:r>
        <w:rPr>
          <w:rFonts w:hint="eastAsia" w:ascii="Times New Roman" w:hAnsi="Times New Roman" w:eastAsia="仿宋" w:cs="Times New Roman"/>
          <w:sz w:val="21"/>
          <w:szCs w:val="21"/>
        </w:rPr>
        <w:t>年</w:t>
      </w:r>
      <w:r>
        <w:rPr>
          <w:rFonts w:ascii="Times New Roman" w:hAnsi="Times New Roman" w:eastAsia="仿宋" w:cs="Times New Roman"/>
          <w:sz w:val="21"/>
          <w:szCs w:val="21"/>
        </w:rPr>
        <w:t>第9期</w:t>
      </w:r>
      <w:r>
        <w:rPr>
          <w:rFonts w:hint="eastAsia" w:ascii="Times New Roman" w:hAnsi="Times New Roman" w:eastAsia="仿宋" w:cs="Times New Roman"/>
          <w:sz w:val="21"/>
          <w:szCs w:val="21"/>
        </w:rPr>
        <w:t>，第</w:t>
      </w:r>
      <w:r>
        <w:rPr>
          <w:rFonts w:ascii="Times New Roman" w:hAnsi="Times New Roman" w:eastAsia="仿宋" w:cs="Times New Roman"/>
          <w:sz w:val="21"/>
          <w:szCs w:val="21"/>
        </w:rPr>
        <w:t>19-29</w:t>
      </w:r>
      <w:r>
        <w:rPr>
          <w:rFonts w:hint="eastAsia" w:ascii="Times New Roman" w:hAnsi="Times New Roman" w:eastAsia="仿宋" w:cs="Times New Roman"/>
          <w:sz w:val="21"/>
          <w:szCs w:val="21"/>
        </w:rPr>
        <w:t>页。</w:t>
      </w:r>
    </w:p>
    <w:p>
      <w:pPr>
        <w:widowControl/>
        <w:jc w:val="center"/>
        <w:rPr>
          <w:rFonts w:ascii="楷体" w:hAnsi="楷体" w:eastAsia="楷体"/>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widowControl/>
        <w:jc w:val="center"/>
        <w:rPr>
          <w:rFonts w:ascii="楷体" w:hAnsi="楷体" w:eastAsia="楷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DY4+ZHOJXw-4">
    <w:altName w:val="Cambria"/>
    <w:panose1 w:val="00000000000000000000"/>
    <w:charset w:val="00"/>
    <w:family w:val="roman"/>
    <w:pitch w:val="default"/>
    <w:sig w:usb0="00000000" w:usb1="00000000" w:usb2="00000010" w:usb3="00000000" w:csb0="00040000" w:csb1="00000000"/>
  </w:font>
  <w:font w:name="DY261+ZHOJYE-266">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167217"/>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11"/>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eastAsia="仿宋" w:cs="Times New Roman"/>
        </w:rPr>
        <w:t>不含上下游链条中存在自贸区企业的部分区外企业。</w:t>
      </w:r>
    </w:p>
  </w:footnote>
  <w:footnote w:id="1">
    <w:p>
      <w:pPr>
        <w:pStyle w:val="11"/>
        <w:rPr>
          <w:rFonts w:ascii="Times New Roman" w:hAnsi="Times New Roman" w:cs="Times New Roman"/>
        </w:rPr>
      </w:pPr>
      <w:r>
        <w:rPr>
          <w:rStyle w:val="17"/>
          <w:rFonts w:ascii="Times New Roman" w:hAnsi="Times New Roman" w:cs="Times New Roman"/>
        </w:rPr>
        <w:footnoteRef/>
      </w:r>
      <w:r>
        <w:rPr>
          <w:rFonts w:ascii="Times New Roman" w:hAnsi="Times New Roman" w:eastAsia="仿宋" w:cs="Times New Roman"/>
        </w:rPr>
        <w:t>在本文中，接近中心度的大小可以理解为某一企业与生产网络中其他企业产生贸易联系的直接程度。举例而言，假如生产网络中有三家企业A、B、C，其中只有A与B、C产生贸易关系，那么A的接近中心度为1，B、C的接近中心度为2/3，A与其他两家企业的距离更近，更靠近网络中央位置。</w:t>
      </w:r>
    </w:p>
  </w:footnote>
  <w:footnote w:id="2">
    <w:p>
      <w:pPr>
        <w:pStyle w:val="11"/>
        <w:rPr>
          <w:rFonts w:ascii="Times New Roman" w:hAnsi="Times New Roman" w:cs="Times New Roman"/>
        </w:rPr>
      </w:pPr>
      <w:r>
        <w:rPr>
          <w:rStyle w:val="17"/>
          <w:rFonts w:ascii="Times New Roman" w:hAnsi="Times New Roman" w:cs="Times New Roman"/>
        </w:rPr>
        <w:footnoteRef/>
      </w:r>
      <w:r>
        <w:rPr>
          <w:rFonts w:ascii="Times New Roman" w:hAnsi="Times New Roman" w:cs="Times New Roman"/>
        </w:rPr>
        <w:t xml:space="preserve"> </w:t>
      </w:r>
      <w:r>
        <w:rPr>
          <w:rFonts w:ascii="Times New Roman" w:hAnsi="Times New Roman" w:eastAsia="仿宋" w:cs="Times New Roman"/>
        </w:rPr>
        <w:t>由于增值税数据中大部分企业并不从事进出口产品业务，所以即便在保证完整性的情况下只有8706家匹配成功，但经过对比增值税数据企业与匹配成功海关库企业的行业分布（</w:t>
      </w:r>
      <w:r>
        <w:rPr>
          <w:rFonts w:hint="eastAsia" w:ascii="Times New Roman" w:hAnsi="Times New Roman" w:eastAsia="仿宋" w:cs="Times New Roman"/>
        </w:rPr>
        <w:t>图</w:t>
      </w:r>
      <w:r>
        <w:rPr>
          <w:rFonts w:hint="eastAsia" w:ascii="Times New Roman" w:hAnsi="Times New Roman" w:eastAsia="仿宋" w:cs="Times New Roman"/>
          <w:szCs w:val="21"/>
        </w:rPr>
        <w:t>Ⅳ1</w:t>
      </w:r>
      <w:r>
        <w:rPr>
          <w:rFonts w:ascii="Times New Roman" w:hAnsi="Times New Roman" w:eastAsia="仿宋" w:cs="Times New Roman"/>
        </w:rPr>
        <w:t>）可发现，两者总体结构上是非常相似的，故本文认为所匹配的海关进出口企业数据可以代表本文所研究对象的国际贸易信息。</w:t>
      </w:r>
    </w:p>
  </w:footnote>
  <w:footnote w:id="3">
    <w:p>
      <w:pPr>
        <w:pStyle w:val="11"/>
      </w:pPr>
    </w:p>
  </w:footnote>
  <w:footnote w:id="4">
    <w:p>
      <w:pPr>
        <w:pStyle w:val="11"/>
      </w:pPr>
      <w:r>
        <w:rPr>
          <w:rStyle w:val="17"/>
        </w:rPr>
        <w:footnoteRef/>
      </w:r>
      <w:r>
        <w:t xml:space="preserve"> </w:t>
      </w:r>
      <w:r>
        <w:rPr>
          <w:rFonts w:hint="eastAsia" w:ascii="Times New Roman" w:hAnsi="Times New Roman" w:eastAsia="仿宋" w:cs="Times New Roman"/>
        </w:rPr>
        <w:t>需要说明的是，由于高速公路和高铁站的修建均位于自贸区地理范围以外，单纯以处理组、控制组区分区内外企业无法体现福建交通设施受到来自自贸区设立的影响，因此，本文使用增值税数据，以区内企业为样本，利用自贸区成立时间虚拟变量</w:t>
      </w:r>
      <m:oMath>
        <m:sSub>
          <m:sSubPr>
            <m:ctrlPr>
              <w:rPr>
                <w:rFonts w:ascii="Cambria Math" w:hAnsi="Cambria Math" w:eastAsia="仿宋" w:cs="Times New Roman"/>
                <w:kern w:val="0"/>
                <w:szCs w:val="21"/>
              </w:rPr>
            </m:ctrlPr>
          </m:sSubPr>
          <m:e>
            <m:r>
              <m:rPr/>
              <w:rPr>
                <w:rFonts w:ascii="Cambria Math" w:hAnsi="Cambria Math" w:eastAsia="仿宋" w:cs="Times New Roman"/>
                <w:kern w:val="0"/>
                <w:szCs w:val="21"/>
              </w:rPr>
              <m:t>Post</m:t>
            </m:r>
            <m:ctrlPr>
              <w:rPr>
                <w:rFonts w:ascii="Cambria Math" w:hAnsi="Cambria Math" w:eastAsia="仿宋" w:cs="Times New Roman"/>
                <w:kern w:val="0"/>
                <w:szCs w:val="21"/>
              </w:rPr>
            </m:ctrlPr>
          </m:e>
          <m:sub>
            <m:r>
              <m:rPr/>
              <w:rPr>
                <w:rFonts w:ascii="Cambria Math" w:hAnsi="Cambria Math" w:eastAsia="仿宋" w:cs="Times New Roman"/>
                <w:kern w:val="0"/>
                <w:szCs w:val="21"/>
              </w:rPr>
              <m:t>t</m:t>
            </m:r>
            <m:ctrlPr>
              <w:rPr>
                <w:rFonts w:ascii="Cambria Math" w:hAnsi="Cambria Math" w:eastAsia="仿宋" w:cs="Times New Roman"/>
                <w:kern w:val="0"/>
                <w:szCs w:val="21"/>
              </w:rPr>
            </m:ctrlPr>
          </m:sub>
        </m:sSub>
      </m:oMath>
      <w:r>
        <w:rPr>
          <w:rFonts w:ascii="Times New Roman" w:hAnsi="Times New Roman" w:eastAsia="仿宋" w:cs="Times New Roman"/>
        </w:rPr>
        <w:t>为解释变量，考察交通设施对自贸区企业运输便利程度的影响</w:t>
      </w:r>
      <w:r>
        <w:rPr>
          <w:rFonts w:hint="eastAsia" w:ascii="Times New Roman" w:hAnsi="Times New Roman" w:eastAsia="仿宋"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2024年第2期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EBCEE"/>
    <w:multiLevelType w:val="singleLevel"/>
    <w:tmpl w:val="5F1EBCEE"/>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C33C6B"/>
    <w:rsid w:val="00051465"/>
    <w:rsid w:val="000A1BEC"/>
    <w:rsid w:val="000F7ECC"/>
    <w:rsid w:val="00137E37"/>
    <w:rsid w:val="001971DE"/>
    <w:rsid w:val="00295460"/>
    <w:rsid w:val="00330159"/>
    <w:rsid w:val="00384165"/>
    <w:rsid w:val="003D632F"/>
    <w:rsid w:val="00423945"/>
    <w:rsid w:val="004713A1"/>
    <w:rsid w:val="0047161A"/>
    <w:rsid w:val="0049498A"/>
    <w:rsid w:val="00495A89"/>
    <w:rsid w:val="004F4CF7"/>
    <w:rsid w:val="0054754E"/>
    <w:rsid w:val="00594C75"/>
    <w:rsid w:val="005A5B03"/>
    <w:rsid w:val="006133E1"/>
    <w:rsid w:val="006C3E88"/>
    <w:rsid w:val="006D77D2"/>
    <w:rsid w:val="006E03E1"/>
    <w:rsid w:val="00764236"/>
    <w:rsid w:val="007A0A0D"/>
    <w:rsid w:val="007B5636"/>
    <w:rsid w:val="008202A3"/>
    <w:rsid w:val="008A0290"/>
    <w:rsid w:val="008B6BB4"/>
    <w:rsid w:val="00906D03"/>
    <w:rsid w:val="009325D9"/>
    <w:rsid w:val="00960E50"/>
    <w:rsid w:val="009E5DA2"/>
    <w:rsid w:val="009E60A7"/>
    <w:rsid w:val="009F69CF"/>
    <w:rsid w:val="00A018D5"/>
    <w:rsid w:val="00A4421F"/>
    <w:rsid w:val="00B14CA1"/>
    <w:rsid w:val="00C33C6B"/>
    <w:rsid w:val="00C34795"/>
    <w:rsid w:val="00C7332A"/>
    <w:rsid w:val="00CA0E41"/>
    <w:rsid w:val="00CC12AE"/>
    <w:rsid w:val="00D120E2"/>
    <w:rsid w:val="00D14469"/>
    <w:rsid w:val="00E14901"/>
    <w:rsid w:val="00E41826"/>
    <w:rsid w:val="00ED235D"/>
    <w:rsid w:val="00F14084"/>
    <w:rsid w:val="00F164ED"/>
    <w:rsid w:val="00FA57A3"/>
    <w:rsid w:val="00FB7B6D"/>
    <w:rsid w:val="02FE6A20"/>
    <w:rsid w:val="0EAC0861"/>
    <w:rsid w:val="17D363F7"/>
    <w:rsid w:val="183A68C5"/>
    <w:rsid w:val="1E8E65A3"/>
    <w:rsid w:val="1EC975DB"/>
    <w:rsid w:val="1F3848BE"/>
    <w:rsid w:val="23320886"/>
    <w:rsid w:val="2DEE38BB"/>
    <w:rsid w:val="4DD70FFB"/>
    <w:rsid w:val="58BB333F"/>
    <w:rsid w:val="5E4701A8"/>
    <w:rsid w:val="73E61789"/>
    <w:rsid w:val="7BB46A6D"/>
    <w:rsid w:val="7F7B3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autoRedefine/>
    <w:semiHidden/>
    <w:unhideWhenUsed/>
    <w:qFormat/>
    <w:uiPriority w:val="9"/>
    <w:pPr>
      <w:keepNext/>
      <w:keepLines/>
      <w:spacing w:before="260" w:after="260" w:line="416" w:lineRule="auto"/>
      <w:outlineLvl w:val="2"/>
    </w:pPr>
    <w:rPr>
      <w:b/>
      <w:bCs/>
      <w:sz w:val="32"/>
      <w:szCs w:val="32"/>
    </w:rPr>
  </w:style>
  <w:style w:type="paragraph" w:styleId="5">
    <w:name w:val="heading 9"/>
    <w:basedOn w:val="1"/>
    <w:next w:val="1"/>
    <w:link w:val="36"/>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caption"/>
    <w:basedOn w:val="1"/>
    <w:next w:val="1"/>
    <w:autoRedefine/>
    <w:unhideWhenUsed/>
    <w:qFormat/>
    <w:uiPriority w:val="35"/>
    <w:rPr>
      <w:rFonts w:eastAsia="黑体" w:asciiTheme="majorHAnsi" w:hAnsiTheme="majorHAnsi" w:cstheme="majorBidi"/>
      <w:sz w:val="20"/>
      <w:szCs w:val="20"/>
    </w:rPr>
  </w:style>
  <w:style w:type="paragraph" w:styleId="7">
    <w:name w:val="annotation text"/>
    <w:basedOn w:val="1"/>
    <w:link w:val="28"/>
    <w:autoRedefine/>
    <w:semiHidden/>
    <w:unhideWhenUsed/>
    <w:qFormat/>
    <w:uiPriority w:val="99"/>
    <w:pPr>
      <w:jc w:val="left"/>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footnote text"/>
    <w:basedOn w:val="1"/>
    <w:link w:val="20"/>
    <w:autoRedefine/>
    <w:semiHidden/>
    <w:unhideWhenUsed/>
    <w:qFormat/>
    <w:uiPriority w:val="99"/>
    <w:pPr>
      <w:snapToGrid w:val="0"/>
      <w:jc w:val="left"/>
    </w:pPr>
    <w:rPr>
      <w:sz w:val="18"/>
      <w:szCs w:val="18"/>
    </w:rPr>
  </w:style>
  <w:style w:type="paragraph" w:styleId="12">
    <w:name w:val="annotation subject"/>
    <w:basedOn w:val="7"/>
    <w:next w:val="7"/>
    <w:link w:val="29"/>
    <w:autoRedefine/>
    <w:semiHidden/>
    <w:unhideWhenUsed/>
    <w:qFormat/>
    <w:uiPriority w:val="99"/>
    <w:rPr>
      <w:b/>
      <w:bCs/>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14:textFill>
        <w14:solidFill>
          <w14:schemeClr w14:val="hlink"/>
        </w14:solidFill>
      </w14:textFill>
    </w:rPr>
  </w:style>
  <w:style w:type="character" w:styleId="17">
    <w:name w:val="footnote reference"/>
    <w:basedOn w:val="15"/>
    <w:autoRedefine/>
    <w:semiHidden/>
    <w:unhideWhenUsed/>
    <w:qFormat/>
    <w:uiPriority w:val="99"/>
    <w:rPr>
      <w:vertAlign w:val="superscript"/>
    </w:rPr>
  </w:style>
  <w:style w:type="character" w:customStyle="1" w:styleId="18">
    <w:name w:val="页脚 字符"/>
    <w:basedOn w:val="15"/>
    <w:link w:val="8"/>
    <w:autoRedefine/>
    <w:qFormat/>
    <w:uiPriority w:val="99"/>
    <w:rPr>
      <w:sz w:val="18"/>
      <w:szCs w:val="18"/>
    </w:rPr>
  </w:style>
  <w:style w:type="character" w:customStyle="1" w:styleId="19">
    <w:name w:val="页眉 字符"/>
    <w:basedOn w:val="15"/>
    <w:link w:val="9"/>
    <w:autoRedefine/>
    <w:qFormat/>
    <w:uiPriority w:val="99"/>
    <w:rPr>
      <w:sz w:val="18"/>
      <w:szCs w:val="18"/>
    </w:rPr>
  </w:style>
  <w:style w:type="character" w:customStyle="1" w:styleId="20">
    <w:name w:val="脚注文本 字符"/>
    <w:basedOn w:val="15"/>
    <w:link w:val="11"/>
    <w:autoRedefine/>
    <w:semiHidden/>
    <w:qFormat/>
    <w:uiPriority w:val="99"/>
    <w:rPr>
      <w:sz w:val="18"/>
      <w:szCs w:val="18"/>
    </w:rPr>
  </w:style>
  <w:style w:type="character" w:customStyle="1" w:styleId="21">
    <w:name w:val="fontstyle01"/>
    <w:basedOn w:val="15"/>
    <w:autoRedefine/>
    <w:qFormat/>
    <w:uiPriority w:val="0"/>
    <w:rPr>
      <w:rFonts w:hint="default" w:ascii="DY4+ZHOJXw-4" w:hAnsi="DY4+ZHOJXw-4"/>
      <w:color w:val="000000"/>
      <w:sz w:val="20"/>
      <w:szCs w:val="20"/>
    </w:rPr>
  </w:style>
  <w:style w:type="character" w:customStyle="1" w:styleId="22">
    <w:name w:val="fontstyle21"/>
    <w:basedOn w:val="15"/>
    <w:autoRedefine/>
    <w:qFormat/>
    <w:uiPriority w:val="0"/>
    <w:rPr>
      <w:rFonts w:hint="default" w:ascii="DY261+ZHOJYE-266" w:hAnsi="DY261+ZHOJYE-266"/>
      <w:color w:val="000000"/>
      <w:sz w:val="20"/>
      <w:szCs w:val="20"/>
    </w:rPr>
  </w:style>
  <w:style w:type="character" w:customStyle="1" w:styleId="23">
    <w:name w:val="fontstyle11"/>
    <w:basedOn w:val="15"/>
    <w:autoRedefine/>
    <w:qFormat/>
    <w:uiPriority w:val="0"/>
    <w:rPr>
      <w:rFonts w:hint="default" w:ascii="DY261+ZHOJYE-266" w:hAnsi="DY261+ZHOJYE-266"/>
      <w:color w:val="000000"/>
      <w:sz w:val="20"/>
      <w:szCs w:val="20"/>
    </w:rPr>
  </w:style>
  <w:style w:type="paragraph" w:customStyle="1" w:styleId="24">
    <w:name w:val="EndNote Bibliography Title"/>
    <w:basedOn w:val="1"/>
    <w:link w:val="25"/>
    <w:autoRedefine/>
    <w:qFormat/>
    <w:uiPriority w:val="0"/>
    <w:pPr>
      <w:jc w:val="center"/>
    </w:pPr>
    <w:rPr>
      <w:rFonts w:ascii="等线" w:hAnsi="等线" w:eastAsia="等线"/>
      <w:sz w:val="20"/>
    </w:rPr>
  </w:style>
  <w:style w:type="character" w:customStyle="1" w:styleId="25">
    <w:name w:val="EndNote Bibliography Title 字符"/>
    <w:basedOn w:val="15"/>
    <w:link w:val="24"/>
    <w:autoRedefine/>
    <w:qFormat/>
    <w:uiPriority w:val="0"/>
    <w:rPr>
      <w:rFonts w:ascii="等线" w:hAnsi="等线" w:eastAsia="等线"/>
      <w:sz w:val="20"/>
    </w:rPr>
  </w:style>
  <w:style w:type="paragraph" w:customStyle="1" w:styleId="26">
    <w:name w:val="EndNote Bibliography"/>
    <w:basedOn w:val="1"/>
    <w:link w:val="27"/>
    <w:autoRedefine/>
    <w:qFormat/>
    <w:uiPriority w:val="0"/>
    <w:rPr>
      <w:rFonts w:ascii="等线" w:hAnsi="等线" w:eastAsia="等线"/>
      <w:sz w:val="20"/>
    </w:rPr>
  </w:style>
  <w:style w:type="character" w:customStyle="1" w:styleId="27">
    <w:name w:val="EndNote Bibliography 字符"/>
    <w:basedOn w:val="15"/>
    <w:link w:val="26"/>
    <w:autoRedefine/>
    <w:qFormat/>
    <w:uiPriority w:val="0"/>
    <w:rPr>
      <w:rFonts w:ascii="等线" w:hAnsi="等线" w:eastAsia="等线"/>
      <w:sz w:val="20"/>
    </w:rPr>
  </w:style>
  <w:style w:type="character" w:customStyle="1" w:styleId="28">
    <w:name w:val="批注文字 字符"/>
    <w:basedOn w:val="15"/>
    <w:link w:val="7"/>
    <w:autoRedefine/>
    <w:semiHidden/>
    <w:qFormat/>
    <w:uiPriority w:val="99"/>
  </w:style>
  <w:style w:type="character" w:customStyle="1" w:styleId="29">
    <w:name w:val="批注主题 字符"/>
    <w:basedOn w:val="28"/>
    <w:link w:val="12"/>
    <w:autoRedefine/>
    <w:semiHidden/>
    <w:qFormat/>
    <w:uiPriority w:val="99"/>
    <w:rPr>
      <w:b/>
      <w:bCs/>
    </w:rPr>
  </w:style>
  <w:style w:type="paragraph" w:styleId="30">
    <w:name w:val="List Paragraph"/>
    <w:basedOn w:val="1"/>
    <w:autoRedefine/>
    <w:qFormat/>
    <w:uiPriority w:val="34"/>
    <w:pPr>
      <w:ind w:firstLine="420" w:firstLineChars="200"/>
    </w:pPr>
  </w:style>
  <w:style w:type="paragraph" w:customStyle="1" w:styleId="31">
    <w:name w:val="季刊附录标题"/>
    <w:basedOn w:val="1"/>
    <w:link w:val="33"/>
    <w:autoRedefine/>
    <w:qFormat/>
    <w:uiPriority w:val="0"/>
    <w:pPr>
      <w:ind w:firstLine="200" w:firstLineChars="200"/>
    </w:pPr>
    <w:rPr>
      <w:rFonts w:ascii="Times New Roman" w:hAnsi="Times New Roman" w:eastAsia="仿宋" w:cs="Times New Roman"/>
      <w:b/>
      <w:sz w:val="24"/>
      <w:szCs w:val="21"/>
    </w:rPr>
  </w:style>
  <w:style w:type="character" w:customStyle="1" w:styleId="32">
    <w:name w:val="标题 3 字符"/>
    <w:basedOn w:val="15"/>
    <w:link w:val="4"/>
    <w:autoRedefine/>
    <w:semiHidden/>
    <w:qFormat/>
    <w:uiPriority w:val="9"/>
    <w:rPr>
      <w:b/>
      <w:bCs/>
      <w:sz w:val="32"/>
      <w:szCs w:val="32"/>
    </w:rPr>
  </w:style>
  <w:style w:type="character" w:customStyle="1" w:styleId="33">
    <w:name w:val="季刊附录标题 字符"/>
    <w:basedOn w:val="15"/>
    <w:link w:val="31"/>
    <w:autoRedefine/>
    <w:qFormat/>
    <w:uiPriority w:val="0"/>
    <w:rPr>
      <w:rFonts w:ascii="Times New Roman" w:hAnsi="Times New Roman" w:eastAsia="仿宋" w:cs="Times New Roman"/>
      <w:b/>
      <w:sz w:val="24"/>
      <w:szCs w:val="21"/>
    </w:rPr>
  </w:style>
  <w:style w:type="character" w:customStyle="1" w:styleId="34">
    <w:name w:val="标题 2 字符"/>
    <w:basedOn w:val="15"/>
    <w:link w:val="3"/>
    <w:autoRedefine/>
    <w:semiHidden/>
    <w:qFormat/>
    <w:uiPriority w:val="9"/>
    <w:rPr>
      <w:rFonts w:asciiTheme="majorHAnsi" w:hAnsiTheme="majorHAnsi" w:eastAsiaTheme="majorEastAsia" w:cstheme="majorBidi"/>
      <w:b/>
      <w:bCs/>
      <w:sz w:val="32"/>
      <w:szCs w:val="32"/>
    </w:rPr>
  </w:style>
  <w:style w:type="character" w:customStyle="1" w:styleId="35">
    <w:name w:val="标题 1 字符"/>
    <w:basedOn w:val="15"/>
    <w:link w:val="2"/>
    <w:autoRedefine/>
    <w:qFormat/>
    <w:uiPriority w:val="9"/>
    <w:rPr>
      <w:b/>
      <w:bCs/>
      <w:kern w:val="44"/>
      <w:sz w:val="44"/>
      <w:szCs w:val="44"/>
    </w:rPr>
  </w:style>
  <w:style w:type="character" w:customStyle="1" w:styleId="36">
    <w:name w:val="标题 9 字符"/>
    <w:basedOn w:val="15"/>
    <w:link w:val="5"/>
    <w:autoRedefine/>
    <w:semiHidden/>
    <w:qFormat/>
    <w:uiPriority w:val="9"/>
    <w:rPr>
      <w:rFonts w:asciiTheme="majorHAnsi" w:hAnsiTheme="majorHAnsi" w:eastAsiaTheme="majorEastAsia" w:cstheme="majorBidi"/>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9983;&#20135;&#32593;&#32476;&#30740;&#31350;\&#29983;&#20135;&#32593;&#32476;&#19982;&#33258;&#36152;&#21306;&#20914;&#20987;\&#22238;&#24402;&#32467;&#26524;\&#32479;&#19968;&#20379;&#38656;&#26041;&#32467;&#26524;\&#24322;&#36136;&#24615;\&#26032;&#24314;%20Microsoft%20Excel%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9983;&#20135;&#32593;&#32476;&#30740;&#31350;\&#29983;&#20135;&#32593;&#32476;&#19982;&#33258;&#36152;&#21306;&#20914;&#20987;\&#22238;&#24402;&#32467;&#26524;\&#32479;&#19968;&#20379;&#38656;&#26041;&#32467;&#26524;\&#26426;&#21046;&#26816;&#39564;\&#28023;&#20851;&#24211;&#19982;&#21457;&#31080;&#24211;&#29305;&#24449;&#23545;&#276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c:f>
              <c:strCache>
                <c:ptCount val="1"/>
                <c:pt idx="0">
                  <c:v>估计系数</c:v>
                </c:pt>
              </c:strCache>
            </c:strRef>
          </c:tx>
          <c:spPr>
            <a:pattFill prst="pct75">
              <a:fgClr>
                <a:schemeClr val="dk1">
                  <a:lumMod val="65000"/>
                  <a:lumOff val="35000"/>
                </a:schemeClr>
              </a:fgClr>
              <a:bgClr>
                <a:schemeClr val="bg1"/>
              </a:bgClr>
            </a:pattFill>
            <a:ln>
              <a:noFill/>
            </a:ln>
            <a:effectLst/>
          </c:spPr>
          <c:invertIfNegative val="0"/>
          <c:dLbls>
            <c:delete val="1"/>
          </c:dLbls>
          <c:errBars>
            <c:errBarType val="both"/>
            <c:errValType val="cust"/>
            <c:noEndCap val="0"/>
            <c:plus>
              <c:numRef>
                <c:f>Sheet1!$E$7:$E$32</c:f>
                <c:numCache>
                  <c:formatCode>General</c:formatCode>
                  <c:ptCount val="26"/>
                  <c:pt idx="0">
                    <c:v>-1.916</c:v>
                  </c:pt>
                  <c:pt idx="1">
                    <c:v>0.403</c:v>
                  </c:pt>
                  <c:pt idx="2">
                    <c:v>-2.8585</c:v>
                  </c:pt>
                  <c:pt idx="3">
                    <c:v>0.229</c:v>
                  </c:pt>
                  <c:pt idx="4">
                    <c:v>0.3035</c:v>
                  </c:pt>
                  <c:pt idx="5">
                    <c:v>0.4725</c:v>
                  </c:pt>
                  <c:pt idx="6">
                    <c:v>0.747</c:v>
                  </c:pt>
                  <c:pt idx="7">
                    <c:v>0.3155</c:v>
                  </c:pt>
                  <c:pt idx="8">
                    <c:v>0.527</c:v>
                  </c:pt>
                  <c:pt idx="9">
                    <c:v>-1.3535</c:v>
                  </c:pt>
                  <c:pt idx="10">
                    <c:v>0.8675</c:v>
                  </c:pt>
                  <c:pt idx="11">
                    <c:v>0.726</c:v>
                  </c:pt>
                  <c:pt idx="12">
                    <c:v>0.375</c:v>
                  </c:pt>
                  <c:pt idx="13">
                    <c:v>0.589</c:v>
                  </c:pt>
                  <c:pt idx="14">
                    <c:v>0.055</c:v>
                  </c:pt>
                  <c:pt idx="15">
                    <c:v>-0.0455</c:v>
                  </c:pt>
                  <c:pt idx="16">
                    <c:v>0.2695</c:v>
                  </c:pt>
                  <c:pt idx="17">
                    <c:v>0.096</c:v>
                  </c:pt>
                  <c:pt idx="18">
                    <c:v>0.3795</c:v>
                  </c:pt>
                  <c:pt idx="19">
                    <c:v>0.8325</c:v>
                  </c:pt>
                  <c:pt idx="20">
                    <c:v>0.0905</c:v>
                  </c:pt>
                  <c:pt idx="21">
                    <c:v>1.8375</c:v>
                  </c:pt>
                  <c:pt idx="22">
                    <c:v>1.9805</c:v>
                  </c:pt>
                  <c:pt idx="23">
                    <c:v>1.013</c:v>
                  </c:pt>
                  <c:pt idx="24">
                    <c:v>0.2165</c:v>
                  </c:pt>
                  <c:pt idx="25">
                    <c:v>1.133</c:v>
                  </c:pt>
                </c:numCache>
              </c:numRef>
            </c:plus>
            <c:minus>
              <c:numRef>
                <c:f>Sheet1!$F$7:$F$32</c:f>
                <c:numCache>
                  <c:formatCode>General</c:formatCode>
                  <c:ptCount val="26"/>
                  <c:pt idx="0">
                    <c:v>-2.788</c:v>
                  </c:pt>
                  <c:pt idx="1">
                    <c:v>0.067</c:v>
                  </c:pt>
                  <c:pt idx="2">
                    <c:v>-5.0715</c:v>
                  </c:pt>
                  <c:pt idx="3">
                    <c:v>-0.011</c:v>
                  </c:pt>
                  <c:pt idx="4">
                    <c:v>-0.0375</c:v>
                  </c:pt>
                  <c:pt idx="5">
                    <c:v>0.2695</c:v>
                  </c:pt>
                  <c:pt idx="6">
                    <c:v>0.391</c:v>
                  </c:pt>
                  <c:pt idx="7">
                    <c:v>-0.2075</c:v>
                  </c:pt>
                  <c:pt idx="8">
                    <c:v>0.241</c:v>
                  </c:pt>
                  <c:pt idx="9">
                    <c:v>-3.2625</c:v>
                  </c:pt>
                  <c:pt idx="10">
                    <c:v>0.5305</c:v>
                  </c:pt>
                  <c:pt idx="11">
                    <c:v>0.41</c:v>
                  </c:pt>
                  <c:pt idx="12">
                    <c:v>0.019</c:v>
                  </c:pt>
                  <c:pt idx="13">
                    <c:v>0.251</c:v>
                  </c:pt>
                  <c:pt idx="14">
                    <c:v>-0.649</c:v>
                  </c:pt>
                  <c:pt idx="15">
                    <c:v>-0.4385</c:v>
                  </c:pt>
                  <c:pt idx="16">
                    <c:v>0.0185</c:v>
                  </c:pt>
                  <c:pt idx="17">
                    <c:v>-0.346</c:v>
                  </c:pt>
                  <c:pt idx="18">
                    <c:v>-0.1275</c:v>
                  </c:pt>
                  <c:pt idx="19">
                    <c:v>0.2055</c:v>
                  </c:pt>
                  <c:pt idx="20">
                    <c:v>-0.0845</c:v>
                  </c:pt>
                  <c:pt idx="21">
                    <c:v>1.1865</c:v>
                  </c:pt>
                  <c:pt idx="22">
                    <c:v>1.2395</c:v>
                  </c:pt>
                  <c:pt idx="23">
                    <c:v>0.561</c:v>
                  </c:pt>
                  <c:pt idx="24">
                    <c:v>-0.8965</c:v>
                  </c:pt>
                  <c:pt idx="25">
                    <c:v>0.691</c:v>
                  </c:pt>
                </c:numCache>
              </c:numRef>
            </c:minus>
            <c:spPr>
              <a:noFill/>
              <a:ln w="6350" cap="flat" cmpd="sng" algn="ctr">
                <a:solidFill>
                  <a:schemeClr val="tx1"/>
                </a:solidFill>
                <a:round/>
              </a:ln>
              <a:effectLst/>
            </c:spPr>
          </c:errBars>
          <c:cat>
            <c:strRef>
              <c:f>Sheet1!$A$7:$A$32</c:f>
              <c:strCache>
                <c:ptCount val="26"/>
                <c:pt idx="0">
                  <c:v>金属矿采选业</c:v>
                </c:pt>
                <c:pt idx="1">
                  <c:v>非金属矿及其他矿采选业</c:v>
                </c:pt>
                <c:pt idx="2">
                  <c:v>食品制造及烟草加工业</c:v>
                </c:pt>
                <c:pt idx="3">
                  <c:v>纺织业</c:v>
                </c:pt>
                <c:pt idx="4">
                  <c:v>纺织服装鞋帽皮革羽绒及其制品业</c:v>
                </c:pt>
                <c:pt idx="5">
                  <c:v>木材加工及家具制造业</c:v>
                </c:pt>
                <c:pt idx="6">
                  <c:v>造纸印刷及文教体育用品制造业</c:v>
                </c:pt>
                <c:pt idx="7">
                  <c:v>石油加工、炼焦及核燃料加工业</c:v>
                </c:pt>
                <c:pt idx="8">
                  <c:v>化学工业</c:v>
                </c:pt>
                <c:pt idx="9">
                  <c:v>非金属矿物制品业</c:v>
                </c:pt>
                <c:pt idx="10">
                  <c:v>金属冶炼及压延加工业</c:v>
                </c:pt>
                <c:pt idx="11">
                  <c:v>金属制品业</c:v>
                </c:pt>
                <c:pt idx="12">
                  <c:v>通用、专用设备制造业</c:v>
                </c:pt>
                <c:pt idx="13">
                  <c:v>交通运输设备制造业</c:v>
                </c:pt>
                <c:pt idx="14">
                  <c:v>电气机械及器材制造业</c:v>
                </c:pt>
                <c:pt idx="15">
                  <c:v>通信设备、计算机及其他电子设备制造业</c:v>
                </c:pt>
                <c:pt idx="16">
                  <c:v>仪器仪表及文化办公用机械制造业</c:v>
                </c:pt>
                <c:pt idx="17">
                  <c:v>水的生产和供应业</c:v>
                </c:pt>
                <c:pt idx="18">
                  <c:v>建筑业</c:v>
                </c:pt>
                <c:pt idx="19">
                  <c:v>邮政业</c:v>
                </c:pt>
                <c:pt idx="20">
                  <c:v>信息传输、计算机服务和软件业</c:v>
                </c:pt>
                <c:pt idx="21">
                  <c:v>批发和零售业</c:v>
                </c:pt>
                <c:pt idx="22">
                  <c:v>房地产业</c:v>
                </c:pt>
                <c:pt idx="23">
                  <c:v>研究与试验发展业</c:v>
                </c:pt>
                <c:pt idx="24">
                  <c:v>综合技术服务业</c:v>
                </c:pt>
                <c:pt idx="25">
                  <c:v>水利、环境和公共设施管理业</c:v>
                </c:pt>
              </c:strCache>
            </c:strRef>
          </c:cat>
          <c:val>
            <c:numRef>
              <c:f>Sheet1!$B$7:$B$32</c:f>
              <c:numCache>
                <c:formatCode>General</c:formatCode>
                <c:ptCount val="26"/>
                <c:pt idx="0">
                  <c:v>-2.352</c:v>
                </c:pt>
                <c:pt idx="1">
                  <c:v>0.235</c:v>
                </c:pt>
                <c:pt idx="2">
                  <c:v>-3.965</c:v>
                </c:pt>
                <c:pt idx="3">
                  <c:v>0.109</c:v>
                </c:pt>
                <c:pt idx="4">
                  <c:v>0.133</c:v>
                </c:pt>
                <c:pt idx="5">
                  <c:v>0.371</c:v>
                </c:pt>
                <c:pt idx="6">
                  <c:v>0.569</c:v>
                </c:pt>
                <c:pt idx="7">
                  <c:v>0.054</c:v>
                </c:pt>
                <c:pt idx="8">
                  <c:v>0.384</c:v>
                </c:pt>
                <c:pt idx="9">
                  <c:v>-2.308</c:v>
                </c:pt>
                <c:pt idx="10">
                  <c:v>0.699</c:v>
                </c:pt>
                <c:pt idx="11">
                  <c:v>0.568</c:v>
                </c:pt>
                <c:pt idx="12">
                  <c:v>0.197</c:v>
                </c:pt>
                <c:pt idx="13">
                  <c:v>0.42</c:v>
                </c:pt>
                <c:pt idx="14">
                  <c:v>-0.297</c:v>
                </c:pt>
                <c:pt idx="15">
                  <c:v>-0.242</c:v>
                </c:pt>
                <c:pt idx="16">
                  <c:v>0.144</c:v>
                </c:pt>
                <c:pt idx="17">
                  <c:v>-0.125</c:v>
                </c:pt>
                <c:pt idx="18">
                  <c:v>0.126</c:v>
                </c:pt>
                <c:pt idx="19">
                  <c:v>0.519</c:v>
                </c:pt>
                <c:pt idx="20">
                  <c:v>0.003</c:v>
                </c:pt>
                <c:pt idx="21">
                  <c:v>1.512</c:v>
                </c:pt>
                <c:pt idx="22">
                  <c:v>1.61</c:v>
                </c:pt>
                <c:pt idx="23">
                  <c:v>0.787</c:v>
                </c:pt>
                <c:pt idx="24">
                  <c:v>-0.34</c:v>
                </c:pt>
                <c:pt idx="25">
                  <c:v>0.912</c:v>
                </c:pt>
              </c:numCache>
            </c:numRef>
          </c:val>
        </c:ser>
        <c:dLbls>
          <c:showLegendKey val="0"/>
          <c:showVal val="0"/>
          <c:showCatName val="0"/>
          <c:showSerName val="0"/>
          <c:showPercent val="0"/>
          <c:showBubbleSize val="0"/>
        </c:dLbls>
        <c:gapWidth val="267"/>
        <c:overlap val="-43"/>
        <c:axId val="946012800"/>
        <c:axId val="946014880"/>
      </c:barChart>
      <c:catAx>
        <c:axId val="946012800"/>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spcFirstLastPara="1" vertOverflow="ellipsis" vert="eaVert" wrap="square" anchor="ctr" anchorCtr="1"/>
          <a:lstStyle/>
          <a:p>
            <a:pPr>
              <a:defRPr lang="zh-CN" sz="900" b="0" i="0" u="none" strike="noStrike" kern="1000" cap="none" spc="-100" normalizeH="0" baseline="0">
                <a:solidFill>
                  <a:schemeClr val="dk1">
                    <a:lumMod val="65000"/>
                    <a:lumOff val="35000"/>
                  </a:schemeClr>
                </a:solidFill>
                <a:latin typeface="+mn-lt"/>
                <a:ea typeface="+mn-ea"/>
                <a:cs typeface="+mn-cs"/>
              </a:defRPr>
            </a:pPr>
          </a:p>
        </c:txPr>
        <c:crossAx val="946014880"/>
        <c:crosses val="autoZero"/>
        <c:auto val="1"/>
        <c:lblAlgn val="ctr"/>
        <c:lblOffset val="70"/>
        <c:tickLblSkip val="1"/>
        <c:noMultiLvlLbl val="0"/>
      </c:catAx>
      <c:valAx>
        <c:axId val="946014880"/>
        <c:scaling>
          <c:orientation val="minMax"/>
          <c:max val="4"/>
          <c:min val="-7"/>
        </c:scaling>
        <c:delete val="0"/>
        <c:axPos val="l"/>
        <c:title>
          <c:tx>
            <c:rich>
              <a:bodyPr rot="-5400000" spcFirstLastPara="1" vertOverflow="ellipsis" vert="horz" wrap="square" anchor="ctr" anchorCtr="1"/>
              <a:lstStyle/>
              <a:p>
                <a:pPr>
                  <a:defRPr lang="zh-CN" sz="800" b="1" i="0" u="none" strike="noStrike" kern="1000" spc="0" baseline="0">
                    <a:solidFill>
                      <a:sysClr val="windowText" lastClr="000000"/>
                    </a:solidFill>
                    <a:latin typeface="+mn-lt"/>
                    <a:ea typeface="仿宋" panose="02010609060101010101" pitchFamily="3" charset="-122"/>
                    <a:cs typeface="+mn-cs"/>
                  </a:defRPr>
                </a:pPr>
                <a:r>
                  <a:rPr lang="zh-CN" sz="800" spc="0" baseline="0">
                    <a:solidFill>
                      <a:sysClr val="windowText" lastClr="000000"/>
                    </a:solidFill>
                    <a:ea typeface="仿宋" panose="02010609060101010101" pitchFamily="3" charset="-122"/>
                  </a:rPr>
                  <a:t>分行业贸促效应</a:t>
                </a:r>
                <a:endParaRPr lang="zh-CN" sz="800" spc="0" baseline="0">
                  <a:solidFill>
                    <a:sysClr val="windowText" lastClr="000000"/>
                  </a:solidFill>
                  <a:ea typeface="仿宋" panose="02010609060101010101" pitchFamily="3" charset="-122"/>
                </a:endParaRP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000" spc="-100" baseline="0">
                <a:solidFill>
                  <a:schemeClr val="dk1">
                    <a:lumMod val="65000"/>
                    <a:lumOff val="35000"/>
                  </a:schemeClr>
                </a:solidFill>
                <a:latin typeface="+mn-lt"/>
                <a:ea typeface="+mn-ea"/>
                <a:cs typeface="+mn-cs"/>
              </a:defRPr>
            </a:pPr>
          </a:p>
        </c:txPr>
        <c:crossAx val="946012800"/>
        <c:crosses val="autoZero"/>
        <c:crossBetween val="between"/>
      </c:valAx>
      <c:dTable>
        <c:showHorzBorder val="0"/>
        <c:showVertBorder val="1"/>
        <c:showOutline val="0"/>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a:defRPr lang="zh-CN" sz="600" b="0" i="0" u="none" strike="noStrike" kern="1000" spc="-90" baseline="0">
                <a:solidFill>
                  <a:sysClr val="windowText" lastClr="000000"/>
                </a:solidFill>
                <a:latin typeface="+mn-lt"/>
                <a:ea typeface="仿宋" panose="02010609060101010101" pitchFamily="3" charset="-122"/>
                <a:cs typeface="+mn-cs"/>
              </a:defRPr>
            </a:pPr>
          </a:p>
        </c:txPr>
      </c:dTable>
      <c:spPr>
        <a:solidFill>
          <a:sysClr val="window" lastClr="FFFFFF"/>
        </a:solidFill>
        <a:ln>
          <a:solidFill>
            <a:schemeClr val="tx1">
              <a:lumMod val="50000"/>
              <a:lumOff val="50000"/>
            </a:schemeClr>
          </a:solidFill>
        </a:ln>
        <a:effectLst/>
      </c:spPr>
    </c:plotArea>
    <c:plotVisOnly val="1"/>
    <c:dispBlanksAs val="gap"/>
    <c:showDLblsOverMax val="0"/>
  </c:chart>
  <c:spPr>
    <a:solidFill>
      <a:schemeClr val="lt1"/>
    </a:solidFill>
    <a:ln w="9525" cap="flat" cmpd="sng" algn="ctr">
      <a:noFill/>
      <a:round/>
    </a:ln>
    <a:effectLst/>
  </c:spPr>
  <c:txPr>
    <a:bodyPr rot="0" vert="eaVert"/>
    <a:lstStyle/>
    <a:p>
      <a:pPr>
        <a:defRPr lang="zh-CN" kern="1000" spc="-100" baseline="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0"/>
          <a:lstStyle/>
          <a:p>
            <a:pPr algn="ctr">
              <a:defRPr lang="zh-CN" sz="1400" b="0" i="0" u="none" strike="noStrike" kern="1200" spc="0" baseline="0">
                <a:solidFill>
                  <a:schemeClr val="tx1"/>
                </a:solidFill>
                <a:latin typeface="+mn-lt"/>
                <a:ea typeface="+mn-ea"/>
                <a:cs typeface="+mn-cs"/>
              </a:defRPr>
            </a:pPr>
            <a:r>
              <a:rPr lang="zh-CN" altLang="zh-CN" sz="900" b="1" i="0" u="none" strike="noStrike" baseline="0">
                <a:effectLst/>
                <a:latin typeface="仿宋" panose="02010609060101010101" pitchFamily="3" charset="-122"/>
                <a:ea typeface="仿宋" panose="02010609060101010101" pitchFamily="3" charset="-122"/>
              </a:rPr>
              <a:t>图Ⅳ</a:t>
            </a:r>
            <a:r>
              <a:rPr lang="en-US" altLang="zh-CN" sz="900" b="1" i="0" u="none" strike="noStrike" baseline="0">
                <a:effectLst/>
                <a:latin typeface="仿宋" panose="02010609060101010101" pitchFamily="3" charset="-122"/>
                <a:ea typeface="仿宋" panose="02010609060101010101" pitchFamily="3" charset="-122"/>
              </a:rPr>
              <a:t>1</a:t>
            </a:r>
            <a:r>
              <a:rPr lang="en-US" altLang="zh-CN" sz="900" b="1" i="0" baseline="0">
                <a:solidFill>
                  <a:schemeClr val="tx1"/>
                </a:solidFill>
                <a:ea typeface="仿宋" panose="02010609060101010101" pitchFamily="3" charset="-122"/>
              </a:rPr>
              <a:t>  </a:t>
            </a:r>
            <a:r>
              <a:rPr lang="zh-CN" altLang="en-US" sz="900" b="1" i="0" baseline="0">
                <a:solidFill>
                  <a:schemeClr val="tx1"/>
                </a:solidFill>
                <a:ea typeface="仿宋" panose="02010609060101010101" pitchFamily="3" charset="-122"/>
              </a:rPr>
              <a:t>增值税数据企业与海关库企业所属行业类别占比</a:t>
            </a:r>
            <a:endParaRPr lang="zh-CN" altLang="en-US" sz="900" b="1" i="0" baseline="0">
              <a:solidFill>
                <a:schemeClr val="tx1"/>
              </a:solidFill>
              <a:ea typeface="仿宋" panose="02010609060101010101" pitchFamily="3" charset="-122"/>
            </a:endParaRPr>
          </a:p>
        </c:rich>
      </c:tx>
      <c:layout>
        <c:manualLayout>
          <c:xMode val="edge"/>
          <c:yMode val="edge"/>
          <c:x val="0.204168232928083"/>
          <c:y val="0.914547743274097"/>
        </c:manualLayout>
      </c:layout>
      <c:overlay val="0"/>
      <c:spPr>
        <a:noFill/>
        <a:ln>
          <a:noFill/>
        </a:ln>
        <a:effectLst/>
      </c:spPr>
    </c:title>
    <c:autoTitleDeleted val="0"/>
    <c:plotArea>
      <c:layout>
        <c:manualLayout>
          <c:layoutTarget val="inner"/>
          <c:xMode val="edge"/>
          <c:yMode val="edge"/>
          <c:x val="0.0595126824798413"/>
          <c:y val="0.0160859109810833"/>
          <c:w val="0.759911617987096"/>
          <c:h val="0.339123793354107"/>
        </c:manualLayout>
      </c:layout>
      <c:barChart>
        <c:barDir val="col"/>
        <c:grouping val="clustered"/>
        <c:varyColors val="0"/>
        <c:ser>
          <c:idx val="0"/>
          <c:order val="0"/>
          <c:tx>
            <c:strRef>
              <c:f>'行业类别占比 (2)'!$F$6</c:f>
              <c:strCache>
                <c:ptCount val="1"/>
                <c:pt idx="0">
                  <c:v>海关库</c:v>
                </c:pt>
              </c:strCache>
            </c:strRef>
          </c:tx>
          <c:spPr>
            <a:pattFill prst="dkDnDiag">
              <a:fgClr>
                <a:schemeClr val="tx1"/>
              </a:fgClr>
              <a:bgClr>
                <a:schemeClr val="bg1"/>
              </a:bgClr>
            </a:pattFill>
            <a:ln w="1270">
              <a:solidFill>
                <a:schemeClr val="tx1"/>
              </a:solidFill>
            </a:ln>
            <a:effectLst/>
          </c:spPr>
          <c:invertIfNegative val="0"/>
          <c:dLbls>
            <c:delete val="1"/>
          </c:dLbls>
          <c:cat>
            <c:strRef>
              <c:f>'行业类别占比 (2)'!$G$5:$Q$5</c:f>
              <c:strCache>
                <c:ptCount val="11"/>
                <c:pt idx="0">
                  <c:v>建筑与房地产及相关行业</c:v>
                </c:pt>
                <c:pt idx="1">
                  <c:v>信息与技术服务</c:v>
                </c:pt>
                <c:pt idx="2">
                  <c:v>居民生活服务与公共事业</c:v>
                </c:pt>
                <c:pt idx="3">
                  <c:v>交通运输、仓储、租赁等商务服务</c:v>
                </c:pt>
                <c:pt idx="4">
                  <c:v>文教体育机械用品制造业</c:v>
                </c:pt>
                <c:pt idx="5">
                  <c:v>石油、化工与废料处理</c:v>
                </c:pt>
                <c:pt idx="6">
                  <c:v>工艺品及其他制造业</c:v>
                </c:pt>
                <c:pt idx="7">
                  <c:v>批发与零售业</c:v>
                </c:pt>
                <c:pt idx="8">
                  <c:v>纺织与服装制作</c:v>
                </c:pt>
                <c:pt idx="9">
                  <c:v>金属与非金属矿选、冶炼及制品制造</c:v>
                </c:pt>
                <c:pt idx="10">
                  <c:v>通用、专用机械与设备制造</c:v>
                </c:pt>
              </c:strCache>
            </c:strRef>
          </c:cat>
          <c:val>
            <c:numRef>
              <c:f>'行业类别占比 (2)'!$G$6:$Q$6</c:f>
              <c:numCache>
                <c:formatCode>General</c:formatCode>
                <c:ptCount val="11"/>
                <c:pt idx="0">
                  <c:v>5.53</c:v>
                </c:pt>
                <c:pt idx="1">
                  <c:v>2.81</c:v>
                </c:pt>
                <c:pt idx="2">
                  <c:v>6.47</c:v>
                </c:pt>
                <c:pt idx="3">
                  <c:v>2.37</c:v>
                </c:pt>
                <c:pt idx="4">
                  <c:v>4.23</c:v>
                </c:pt>
                <c:pt idx="5">
                  <c:v>2.69</c:v>
                </c:pt>
                <c:pt idx="6">
                  <c:v>9.42</c:v>
                </c:pt>
                <c:pt idx="7">
                  <c:v>34.45</c:v>
                </c:pt>
                <c:pt idx="8">
                  <c:v>11.59</c:v>
                </c:pt>
                <c:pt idx="9">
                  <c:v>8.91</c:v>
                </c:pt>
                <c:pt idx="10">
                  <c:v>10.73</c:v>
                </c:pt>
              </c:numCache>
            </c:numRef>
          </c:val>
        </c:ser>
        <c:ser>
          <c:idx val="1"/>
          <c:order val="1"/>
          <c:tx>
            <c:strRef>
              <c:f>'行业类别占比 (2)'!$F$7</c:f>
              <c:strCache>
                <c:ptCount val="1"/>
                <c:pt idx="0">
                  <c:v>发票库</c:v>
                </c:pt>
              </c:strCache>
            </c:strRef>
          </c:tx>
          <c:spPr>
            <a:pattFill prst="divot">
              <a:fgClr>
                <a:schemeClr val="tx1"/>
              </a:fgClr>
              <a:bgClr>
                <a:schemeClr val="bg1"/>
              </a:bgClr>
            </a:pattFill>
            <a:ln w="1270">
              <a:solidFill>
                <a:schemeClr val="tx1"/>
              </a:solidFill>
            </a:ln>
            <a:effectLst/>
          </c:spPr>
          <c:invertIfNegative val="0"/>
          <c:dLbls>
            <c:delete val="1"/>
          </c:dLbls>
          <c:cat>
            <c:strRef>
              <c:f>'行业类别占比 (2)'!$G$5:$Q$5</c:f>
              <c:strCache>
                <c:ptCount val="11"/>
                <c:pt idx="0">
                  <c:v>建筑与房地产及相关行业</c:v>
                </c:pt>
                <c:pt idx="1">
                  <c:v>信息与技术服务</c:v>
                </c:pt>
                <c:pt idx="2">
                  <c:v>居民生活服务与公共事业</c:v>
                </c:pt>
                <c:pt idx="3">
                  <c:v>交通运输、仓储、租赁等商务服务</c:v>
                </c:pt>
                <c:pt idx="4">
                  <c:v>文教体育机械用品制造业</c:v>
                </c:pt>
                <c:pt idx="5">
                  <c:v>石油、化工与废料处理</c:v>
                </c:pt>
                <c:pt idx="6">
                  <c:v>工艺品及其他制造业</c:v>
                </c:pt>
                <c:pt idx="7">
                  <c:v>批发与零售业</c:v>
                </c:pt>
                <c:pt idx="8">
                  <c:v>纺织与服装制作</c:v>
                </c:pt>
                <c:pt idx="9">
                  <c:v>金属与非金属矿选、冶炼及制品制造</c:v>
                </c:pt>
                <c:pt idx="10">
                  <c:v>通用、专用机械与设备制造</c:v>
                </c:pt>
              </c:strCache>
            </c:strRef>
          </c:cat>
          <c:val>
            <c:numRef>
              <c:f>'行业类别占比 (2)'!$G$7:$Q$7</c:f>
              <c:numCache>
                <c:formatCode>General</c:formatCode>
                <c:ptCount val="11"/>
                <c:pt idx="0">
                  <c:v>7.67</c:v>
                </c:pt>
                <c:pt idx="1">
                  <c:v>6.49</c:v>
                </c:pt>
                <c:pt idx="2">
                  <c:v>7.75</c:v>
                </c:pt>
                <c:pt idx="3">
                  <c:v>3.81</c:v>
                </c:pt>
                <c:pt idx="4">
                  <c:v>2.7</c:v>
                </c:pt>
                <c:pt idx="5">
                  <c:v>2.77</c:v>
                </c:pt>
                <c:pt idx="6">
                  <c:v>4.41</c:v>
                </c:pt>
                <c:pt idx="7">
                  <c:v>39.6</c:v>
                </c:pt>
                <c:pt idx="8">
                  <c:v>9.54</c:v>
                </c:pt>
                <c:pt idx="9">
                  <c:v>6.18</c:v>
                </c:pt>
                <c:pt idx="10">
                  <c:v>5.47</c:v>
                </c:pt>
              </c:numCache>
            </c:numRef>
          </c:val>
        </c:ser>
        <c:dLbls>
          <c:showLegendKey val="0"/>
          <c:showVal val="0"/>
          <c:showCatName val="0"/>
          <c:showSerName val="0"/>
          <c:showPercent val="0"/>
          <c:showBubbleSize val="0"/>
        </c:dLbls>
        <c:gapWidth val="150"/>
        <c:axId val="1359821440"/>
        <c:axId val="1359822272"/>
      </c:barChart>
      <c:catAx>
        <c:axId val="1359821440"/>
        <c:scaling>
          <c:orientation val="minMax"/>
        </c:scaling>
        <c:delete val="0"/>
        <c:axPos val="b"/>
        <c:numFmt formatCode="General" sourceLinked="1"/>
        <c:majorTickMark val="none"/>
        <c:minorTickMark val="none"/>
        <c:tickLblPos val="nextTo"/>
        <c:spPr>
          <a:noFill/>
          <a:ln>
            <a:solidFill>
              <a:schemeClr val="tx1"/>
            </a:solidFill>
          </a:ln>
          <a:effectLst/>
        </c:spPr>
        <c:txPr>
          <a:bodyPr rot="0" spcFirstLastPara="1" vertOverflow="ellipsis" vert="eaVert" wrap="square" anchor="ctr" anchorCtr="1"/>
          <a:lstStyle/>
          <a:p>
            <a:pPr>
              <a:defRPr lang="zh-CN" sz="700" b="0" i="0" u="none" strike="noStrike" kern="1200" baseline="0">
                <a:ln>
                  <a:noFill/>
                </a:ln>
                <a:solidFill>
                  <a:sysClr val="windowText" lastClr="000000"/>
                </a:solidFill>
                <a:effectLst/>
                <a:latin typeface="+mn-lt"/>
                <a:ea typeface="仿宋" panose="02010609060101010101" pitchFamily="3" charset="-122"/>
                <a:cs typeface="+mn-cs"/>
              </a:defRPr>
            </a:pPr>
          </a:p>
        </c:txPr>
        <c:crossAx val="1359822272"/>
        <c:crosses val="autoZero"/>
        <c:auto val="1"/>
        <c:lblAlgn val="ctr"/>
        <c:lblOffset val="100"/>
        <c:noMultiLvlLbl val="0"/>
      </c:catAx>
      <c:valAx>
        <c:axId val="135982227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sz="600" b="1">
                    <a:solidFill>
                      <a:sysClr val="windowText" lastClr="000000"/>
                    </a:solidFill>
                    <a:latin typeface="仿宋" panose="02010609060101010101" pitchFamily="3" charset="-122"/>
                    <a:ea typeface="仿宋" panose="02010609060101010101" pitchFamily="3" charset="-122"/>
                  </a:rPr>
                  <a:t>占比（</a:t>
                </a:r>
                <a:r>
                  <a:rPr lang="en-US" altLang="zh-CN" sz="600" b="1">
                    <a:solidFill>
                      <a:sysClr val="windowText" lastClr="000000"/>
                    </a:solidFill>
                    <a:latin typeface="仿宋" panose="02010609060101010101" pitchFamily="3" charset="-122"/>
                    <a:ea typeface="仿宋" panose="02010609060101010101" pitchFamily="3" charset="-122"/>
                  </a:rPr>
                  <a:t>%</a:t>
                </a:r>
                <a:r>
                  <a:rPr lang="zh-CN" altLang="en-US" sz="600" b="1">
                    <a:solidFill>
                      <a:sysClr val="windowText" lastClr="000000"/>
                    </a:solidFill>
                    <a:latin typeface="仿宋" panose="02010609060101010101" pitchFamily="3" charset="-122"/>
                    <a:ea typeface="仿宋" panose="02010609060101010101" pitchFamily="3" charset="-122"/>
                  </a:rPr>
                  <a:t>）</a:t>
                </a:r>
                <a:endParaRPr lang="zh-CN" altLang="en-US" sz="600" b="1">
                  <a:solidFill>
                    <a:sysClr val="windowText" lastClr="000000"/>
                  </a:solidFill>
                  <a:latin typeface="仿宋" panose="02010609060101010101" pitchFamily="3" charset="-122"/>
                  <a:ea typeface="仿宋" panose="02010609060101010101" pitchFamily="3" charset="-122"/>
                </a:endParaRPr>
              </a:p>
            </c:rich>
          </c:tx>
          <c:layout>
            <c:manualLayout>
              <c:xMode val="edge"/>
              <c:yMode val="edge"/>
              <c:x val="0"/>
              <c:y val="0.11067515127312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700" b="0" i="0" u="none" strike="noStrike" kern="1200" baseline="0">
                <a:solidFill>
                  <a:sysClr val="windowText" lastClr="000000"/>
                </a:solidFill>
                <a:latin typeface="+mn-lt"/>
                <a:ea typeface="+mn-ea"/>
                <a:cs typeface="+mn-cs"/>
              </a:defRPr>
            </a:pPr>
          </a:p>
        </c:txPr>
        <c:crossAx val="1359821440"/>
        <c:crosses val="autoZero"/>
        <c:crossBetween val="between"/>
      </c:valAx>
      <c:spPr>
        <a:noFill/>
        <a:ln w="1270">
          <a:solidFill>
            <a:schemeClr val="tx1"/>
          </a:solidFill>
        </a:ln>
        <a:effectLst/>
      </c:spPr>
    </c:plotArea>
    <c:legend>
      <c:legendPos val="t"/>
      <c:layout>
        <c:manualLayout>
          <c:xMode val="edge"/>
          <c:yMode val="edge"/>
          <c:x val="0.0768946497072481"/>
          <c:y val="0.138448913765297"/>
          <c:w val="0.163521215959468"/>
          <c:h val="0.057131855451574"/>
        </c:manualLayout>
      </c:layout>
      <c:overlay val="0"/>
      <c:spPr>
        <a:noFill/>
        <a:ln>
          <a:noFill/>
        </a:ln>
        <a:effectLst/>
      </c:spPr>
      <c:txPr>
        <a:bodyPr rot="0" spcFirstLastPara="1" vertOverflow="ellipsis" vert="horz" wrap="square" anchor="ctr" anchorCtr="1"/>
        <a:lstStyle/>
        <a:p>
          <a:pPr>
            <a:defRPr lang="zh-CN" sz="700" b="0" i="0" u="none" strike="noStrike" kern="1200" baseline="0">
              <a:solidFill>
                <a:schemeClr val="tx1">
                  <a:lumMod val="65000"/>
                  <a:lumOff val="35000"/>
                </a:schemeClr>
              </a:solidFill>
              <a:latin typeface="+mn-lt"/>
              <a:ea typeface="仿宋" panose="02010609060101010101" pitchFamily="3" charset="-122"/>
              <a:cs typeface="+mn-cs"/>
            </a:defRPr>
          </a:pPr>
        </a:p>
      </c:txPr>
    </c:legend>
    <c:plotVisOnly val="1"/>
    <c:dispBlanksAs val="gap"/>
    <c:showDLblsOverMax val="0"/>
  </c:chart>
  <c:spPr>
    <a:no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4C070D-854B-40C8-AFD3-76437690F253}">
  <ds:schemaRefs/>
</ds:datastoreItem>
</file>

<file path=docProps/app.xml><?xml version="1.0" encoding="utf-8"?>
<Properties xmlns="http://schemas.openxmlformats.org/officeDocument/2006/extended-properties" xmlns:vt="http://schemas.openxmlformats.org/officeDocument/2006/docPropsVTypes">
  <Template>Normal</Template>
  <Pages>12</Pages>
  <Words>1992</Words>
  <Characters>11361</Characters>
  <Lines>94</Lines>
  <Paragraphs>26</Paragraphs>
  <TotalTime>9</TotalTime>
  <ScaleCrop>false</ScaleCrop>
  <LinksUpToDate>false</LinksUpToDate>
  <CharactersWithSpaces>13327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2024-03-03T15:05:00Z</dcterms:created>
  <dc:creator>Wang yingjie</dc:creator>
  <cp:lastModifiedBy>刘京</cp:lastModifiedBy>
  <dcterms:modified xsi:type="dcterms:W3CDTF">2024-03-17T13:07:50Z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7938B06D76BF4E4B817165C54B68A071_12</vt:lpwstr>
  </property>
</Properties>
</file>