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kern w:val="0"/>
          <w:sz w:val="32"/>
          <w:szCs w:val="32"/>
        </w:rPr>
      </w:pPr>
      <w:bookmarkStart w:id="0" w:name="_Toc145418274"/>
      <w:r>
        <w:rPr>
          <w:rFonts w:hint="eastAsia" w:ascii="仿宋" w:hAnsi="仿宋" w:eastAsia="仿宋" w:cs="仿宋"/>
          <w:b/>
          <w:kern w:val="0"/>
          <w:sz w:val="32"/>
          <w:szCs w:val="32"/>
          <w:lang w:eastAsia="zh-Hans"/>
        </w:rPr>
        <w:t>学前教育对</w:t>
      </w:r>
      <w:r>
        <w:rPr>
          <w:rFonts w:hint="eastAsia" w:ascii="仿宋" w:hAnsi="仿宋" w:eastAsia="仿宋" w:cs="仿宋"/>
          <w:b/>
          <w:kern w:val="0"/>
          <w:sz w:val="32"/>
          <w:szCs w:val="32"/>
        </w:rPr>
        <w:t>儿童认知与非认知发展</w:t>
      </w:r>
      <w:r>
        <w:rPr>
          <w:rFonts w:hint="eastAsia" w:ascii="仿宋" w:hAnsi="仿宋" w:eastAsia="仿宋" w:cs="仿宋"/>
          <w:b/>
          <w:kern w:val="0"/>
          <w:sz w:val="32"/>
          <w:szCs w:val="32"/>
          <w:lang w:eastAsia="zh-Hans"/>
        </w:rPr>
        <w:t>的影响</w:t>
      </w:r>
    </w:p>
    <w:p>
      <w:pPr>
        <w:jc w:val="center"/>
        <w:rPr>
          <w:rFonts w:hint="eastAsia" w:ascii="仿宋" w:hAnsi="仿宋" w:eastAsia="仿宋" w:cs="仿宋"/>
          <w:bCs/>
          <w:kern w:val="0"/>
          <w:sz w:val="28"/>
          <w:szCs w:val="28"/>
        </w:rPr>
      </w:pPr>
      <w:r>
        <w:rPr>
          <w:rFonts w:hint="eastAsia" w:ascii="仿宋" w:hAnsi="仿宋" w:eastAsia="仿宋" w:cs="仿宋"/>
          <w:bCs/>
          <w:kern w:val="0"/>
          <w:sz w:val="28"/>
          <w:szCs w:val="28"/>
        </w:rPr>
        <w:t>——来自中国学前教育普及项目的证据</w:t>
      </w:r>
    </w:p>
    <w:p>
      <w:pPr>
        <w:jc w:val="center"/>
        <w:rPr>
          <w:rFonts w:hint="eastAsia" w:ascii="仿宋" w:hAnsi="仿宋" w:eastAsia="仿宋" w:cs="仿宋"/>
          <w:b/>
          <w:kern w:val="0"/>
          <w:sz w:val="31"/>
          <w:szCs w:val="31"/>
        </w:rPr>
      </w:pPr>
    </w:p>
    <w:p>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赵丽秋</w:t>
      </w:r>
      <w:r>
        <w:rPr>
          <w:rFonts w:hint="eastAsia" w:ascii="仿宋" w:hAnsi="仿宋" w:eastAsia="仿宋" w:cs="仿宋"/>
          <w:kern w:val="0"/>
          <w:sz w:val="28"/>
          <w:szCs w:val="28"/>
        </w:rPr>
        <w:t xml:space="preserve">  </w:t>
      </w:r>
      <w:r>
        <w:rPr>
          <w:rFonts w:hint="eastAsia" w:ascii="仿宋" w:hAnsi="仿宋" w:eastAsia="仿宋" w:cs="仿宋"/>
          <w:kern w:val="0"/>
          <w:sz w:val="28"/>
          <w:szCs w:val="28"/>
        </w:rPr>
        <w:t>李莉</w:t>
      </w:r>
    </w:p>
    <w:p>
      <w:pPr>
        <w:spacing w:line="360" w:lineRule="auto"/>
        <w:rPr>
          <w:rFonts w:hint="eastAsia" w:ascii="仿宋" w:hAnsi="仿宋" w:eastAsia="仿宋" w:cs="仿宋"/>
          <w:kern w:val="0"/>
          <w:sz w:val="24"/>
        </w:rPr>
      </w:pPr>
    </w:p>
    <w:p>
      <w:pPr>
        <w:jc w:val="center"/>
        <w:rPr>
          <w:rFonts w:hint="eastAsia" w:ascii="仿宋" w:hAnsi="仿宋" w:eastAsia="仿宋" w:cs="仿宋"/>
          <w:b/>
          <w:kern w:val="0"/>
          <w:sz w:val="28"/>
          <w:szCs w:val="28"/>
        </w:rPr>
      </w:pPr>
      <w:r>
        <w:rPr>
          <w:rFonts w:hint="eastAsia" w:ascii="仿宋" w:hAnsi="仿宋" w:eastAsia="仿宋" w:cs="仿宋"/>
          <w:b/>
          <w:kern w:val="0"/>
          <w:sz w:val="28"/>
          <w:szCs w:val="28"/>
        </w:rPr>
        <w:t>目录</w:t>
      </w:r>
    </w:p>
    <w:p>
      <w:pPr>
        <w:pStyle w:val="10"/>
        <w:rPr>
          <w:rFonts w:hint="eastAsia" w:ascii="仿宋" w:hAnsi="仿宋" w:eastAsia="仿宋" w:cs="仿宋"/>
          <w14:ligatures w14:val="standardContextual"/>
        </w:rPr>
      </w:pPr>
      <w:r>
        <w:rPr>
          <w:rFonts w:hint="eastAsia" w:ascii="仿宋" w:hAnsi="仿宋" w:eastAsia="仿宋" w:cs="仿宋"/>
          <w:kern w:val="0"/>
        </w:rPr>
        <w:fldChar w:fldCharType="begin"/>
      </w:r>
      <w:r>
        <w:rPr>
          <w:rFonts w:hint="eastAsia" w:ascii="仿宋" w:hAnsi="仿宋" w:eastAsia="仿宋" w:cs="仿宋"/>
          <w:kern w:val="0"/>
        </w:rPr>
        <w:instrText xml:space="preserve"> TOC \o "1-3" \h \z \u </w:instrText>
      </w:r>
      <w:r>
        <w:rPr>
          <w:rFonts w:hint="eastAsia" w:ascii="仿宋" w:hAnsi="仿宋" w:eastAsia="仿宋" w:cs="仿宋"/>
          <w:kern w:val="0"/>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"_Toc145418274" </w:instrText>
      </w:r>
      <w:r>
        <w:rPr>
          <w:rFonts w:hint="eastAsia" w:ascii="仿宋" w:hAnsi="仿宋" w:eastAsia="仿宋" w:cs="仿宋"/>
        </w:rPr>
        <w:fldChar w:fldCharType="separate"/>
      </w:r>
      <w:r>
        <w:rPr>
          <w:rStyle w:val="19"/>
          <w:rFonts w:hint="eastAsia" w:ascii="仿宋" w:hAnsi="仿宋" w:eastAsia="仿宋" w:cs="仿宋"/>
        </w:rPr>
        <w:t>附录I</w:t>
      </w:r>
      <w:r>
        <w:rPr>
          <w:rFonts w:hint="eastAsia" w:ascii="仿宋" w:hAnsi="仿宋" w:eastAsia="仿宋" w:cs="仿宋"/>
          <w:lang w:val="en-SG"/>
          <w14:ligatures w14:val="standardContextual"/>
        </w:rPr>
        <w:tab/>
      </w:r>
      <w:r>
        <w:rPr>
          <w:rStyle w:val="19"/>
          <w:rFonts w:hint="eastAsia" w:ascii="仿宋" w:hAnsi="仿宋" w:eastAsia="仿宋" w:cs="仿宋"/>
        </w:rPr>
        <w:t>影响地级市幼儿园密度增长率的因素</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rPr>
        <w:fldChar w:fldCharType="end"/>
      </w:r>
    </w:p>
    <w:p>
      <w:pPr>
        <w:pStyle w:val="10"/>
        <w:rPr>
          <w:rFonts w:hint="eastAsia" w:ascii="仿宋" w:hAnsi="仿宋" w:eastAsia="仿宋" w:cs="仿宋"/>
          <w:lang w:val="en-SG"/>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"_Toc145418275" </w:instrText>
      </w:r>
      <w:r>
        <w:rPr>
          <w:rFonts w:hint="eastAsia" w:ascii="仿宋" w:hAnsi="仿宋" w:eastAsia="仿宋" w:cs="仿宋"/>
        </w:rPr>
        <w:fldChar w:fldCharType="separate"/>
      </w:r>
      <w:r>
        <w:rPr>
          <w:rStyle w:val="19"/>
          <w:rFonts w:hint="eastAsia" w:ascii="仿宋" w:hAnsi="仿宋" w:eastAsia="仿宋" w:cs="仿宋"/>
        </w:rPr>
        <w:t>附录II</w:t>
      </w:r>
      <w:r>
        <w:rPr>
          <w:rFonts w:hint="eastAsia" w:ascii="仿宋" w:hAnsi="仿宋" w:eastAsia="仿宋" w:cs="仿宋"/>
          <w:lang w:val="en-SG"/>
          <w14:ligatures w14:val="standardContextual"/>
        </w:rPr>
        <w:tab/>
      </w:r>
      <w:r>
        <w:rPr>
          <w:rStyle w:val="19"/>
          <w:rFonts w:hint="eastAsia" w:ascii="仿宋" w:hAnsi="仿宋" w:eastAsia="仿宋" w:cs="仿宋"/>
        </w:rPr>
        <w:t>记忆测试和数列测试</w:t>
      </w:r>
      <w:r>
        <w:rPr>
          <w:rFonts w:hint="eastAsia" w:ascii="仿宋" w:hAnsi="仿宋" w:eastAsia="仿宋" w:cs="仿宋"/>
        </w:rPr>
        <w:tab/>
      </w:r>
      <w:r>
        <w:rPr>
          <w:rFonts w:hint="eastAsia" w:ascii="仿宋" w:hAnsi="仿宋" w:eastAsia="仿宋" w:cs="仿宋"/>
        </w:rPr>
        <w:t>2</w:t>
      </w:r>
      <w:r>
        <w:rPr>
          <w:rFonts w:hint="eastAsia" w:ascii="仿宋" w:hAnsi="仿宋" w:eastAsia="仿宋" w:cs="仿宋"/>
        </w:rPr>
        <w:fldChar w:fldCharType="end"/>
      </w:r>
    </w:p>
    <w:p>
      <w:pPr>
        <w:pStyle w:val="10"/>
        <w:rPr>
          <w:rFonts w:hint="eastAsia" w:ascii="仿宋" w:hAnsi="仿宋" w:eastAsia="仿宋" w:cs="仿宋"/>
          <w:lang w:val="en-SG"/>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"_Toc145418276" </w:instrText>
      </w:r>
      <w:r>
        <w:rPr>
          <w:rFonts w:hint="eastAsia" w:ascii="仿宋" w:hAnsi="仿宋" w:eastAsia="仿宋" w:cs="仿宋"/>
        </w:rPr>
        <w:fldChar w:fldCharType="separate"/>
      </w:r>
      <w:r>
        <w:rPr>
          <w:rStyle w:val="19"/>
          <w:rFonts w:hint="eastAsia" w:ascii="仿宋" w:hAnsi="仿宋" w:eastAsia="仿宋" w:cs="仿宋"/>
        </w:rPr>
        <w:t>附录III</w:t>
      </w:r>
      <w:r>
        <w:rPr>
          <w:rFonts w:hint="eastAsia" w:ascii="仿宋" w:hAnsi="仿宋" w:eastAsia="仿宋" w:cs="仿宋"/>
          <w:lang w:val="en-SG"/>
          <w14:ligatures w14:val="standardContextual"/>
        </w:rPr>
        <w:tab/>
      </w:r>
      <w:r>
        <w:rPr>
          <w:rStyle w:val="19"/>
          <w:rFonts w:hint="eastAsia" w:ascii="仿宋" w:hAnsi="仿宋" w:eastAsia="仿宋" w:cs="仿宋"/>
        </w:rPr>
        <w:t>安慰剂检验</w:t>
      </w:r>
      <w:r>
        <w:rPr>
          <w:rFonts w:hint="eastAsia" w:ascii="仿宋" w:hAnsi="仿宋" w:eastAsia="仿宋" w:cs="仿宋"/>
        </w:rPr>
        <w:tab/>
      </w:r>
      <w:r>
        <w:rPr>
          <w:rFonts w:hint="eastAsia" w:ascii="仿宋" w:hAnsi="仿宋" w:eastAsia="仿宋" w:cs="仿宋"/>
        </w:rPr>
        <w:t>3</w:t>
      </w:r>
      <w:r>
        <w:rPr>
          <w:rFonts w:hint="eastAsia" w:ascii="仿宋" w:hAnsi="仿宋" w:eastAsia="仿宋" w:cs="仿宋"/>
        </w:rPr>
        <w:fldChar w:fldCharType="end"/>
      </w:r>
    </w:p>
    <w:p>
      <w:pPr>
        <w:pStyle w:val="10"/>
        <w:rPr>
          <w:rFonts w:hint="eastAsia" w:ascii="仿宋" w:hAnsi="仿宋" w:eastAsia="仿宋" w:cs="仿宋"/>
          <w:lang w:val="en-SG"/>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"_Toc145418277" </w:instrText>
      </w:r>
      <w:r>
        <w:rPr>
          <w:rFonts w:hint="eastAsia" w:ascii="仿宋" w:hAnsi="仿宋" w:eastAsia="仿宋" w:cs="仿宋"/>
        </w:rPr>
        <w:fldChar w:fldCharType="separate"/>
      </w:r>
      <w:r>
        <w:rPr>
          <w:rStyle w:val="19"/>
          <w:rFonts w:hint="eastAsia" w:ascii="仿宋" w:hAnsi="仿宋" w:eastAsia="仿宋" w:cs="仿宋"/>
        </w:rPr>
        <w:t>附录IV</w:t>
      </w:r>
      <w:r>
        <w:rPr>
          <w:rFonts w:hint="eastAsia" w:ascii="仿宋" w:hAnsi="仿宋" w:eastAsia="仿宋" w:cs="仿宋"/>
          <w:lang w:val="en-SG"/>
          <w14:ligatures w14:val="standardContextual"/>
        </w:rPr>
        <w:tab/>
      </w:r>
      <w:r>
        <w:rPr>
          <w:rStyle w:val="19"/>
          <w:rFonts w:hint="eastAsia" w:ascii="仿宋" w:hAnsi="仿宋" w:eastAsia="仿宋" w:cs="仿宋"/>
        </w:rPr>
        <w:t>学前教育对儿童认知能力发展的异质性分析</w:t>
      </w:r>
      <w:r>
        <w:rPr>
          <w:rFonts w:hint="eastAsia" w:ascii="仿宋" w:hAnsi="仿宋" w:eastAsia="仿宋" w:cs="仿宋"/>
        </w:rPr>
        <w:tab/>
      </w:r>
      <w:r>
        <w:rPr>
          <w:rFonts w:hint="eastAsia" w:ascii="仿宋" w:hAnsi="仿宋" w:eastAsia="仿宋" w:cs="仿宋"/>
        </w:rPr>
        <w:t>4</w:t>
      </w:r>
      <w:r>
        <w:rPr>
          <w:rFonts w:hint="eastAsia" w:ascii="仿宋" w:hAnsi="仿宋" w:eastAsia="仿宋" w:cs="仿宋"/>
        </w:rPr>
        <w:fldChar w:fldCharType="end"/>
      </w:r>
    </w:p>
    <w:p>
      <w:pPr>
        <w:pStyle w:val="10"/>
        <w:rPr>
          <w:rFonts w:hint="eastAsia" w:ascii="仿宋" w:hAnsi="仿宋" w:eastAsia="仿宋" w:cs="仿宋"/>
          <w:lang w:val="en-SG"/>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"_Toc145418278" </w:instrText>
      </w:r>
      <w:r>
        <w:rPr>
          <w:rFonts w:hint="eastAsia" w:ascii="仿宋" w:hAnsi="仿宋" w:eastAsia="仿宋" w:cs="仿宋"/>
        </w:rPr>
        <w:fldChar w:fldCharType="separate"/>
      </w:r>
      <w:r>
        <w:rPr>
          <w:rStyle w:val="19"/>
          <w:rFonts w:hint="eastAsia" w:ascii="仿宋" w:hAnsi="仿宋" w:eastAsia="仿宋" w:cs="仿宋"/>
        </w:rPr>
        <w:t>附录V</w:t>
      </w:r>
      <w:r>
        <w:rPr>
          <w:rFonts w:hint="eastAsia" w:ascii="仿宋" w:hAnsi="仿宋" w:eastAsia="仿宋" w:cs="仿宋"/>
          <w:lang w:val="en-SG"/>
          <w14:ligatures w14:val="standardContextual"/>
        </w:rPr>
        <w:tab/>
      </w:r>
      <w:r>
        <w:rPr>
          <w:rStyle w:val="19"/>
          <w:rFonts w:hint="eastAsia" w:ascii="仿宋" w:hAnsi="仿宋" w:eastAsia="仿宋" w:cs="仿宋"/>
        </w:rPr>
        <w:t>考虑其他干扰项目实施效果识别的因素</w:t>
      </w:r>
      <w:r>
        <w:rPr>
          <w:rFonts w:hint="eastAsia" w:ascii="仿宋" w:hAnsi="仿宋" w:eastAsia="仿宋" w:cs="仿宋"/>
        </w:rPr>
        <w:tab/>
      </w:r>
      <w:r>
        <w:rPr>
          <w:rFonts w:hint="eastAsia" w:ascii="仿宋" w:hAnsi="仿宋" w:eastAsia="仿宋" w:cs="仿宋"/>
        </w:rPr>
        <w:t>6</w:t>
      </w:r>
      <w:r>
        <w:rPr>
          <w:rFonts w:hint="eastAsia" w:ascii="仿宋" w:hAnsi="仿宋" w:eastAsia="仿宋" w:cs="仿宋"/>
        </w:rPr>
        <w:fldChar w:fldCharType="end"/>
      </w:r>
    </w:p>
    <w:p>
      <w:pPr>
        <w:spacing w:line="360" w:lineRule="auto"/>
        <w:jc w:val="center"/>
        <w:rPr>
          <w:rFonts w:hint="eastAsia" w:ascii="仿宋" w:hAnsi="仿宋" w:eastAsia="仿宋" w:cs="仿宋"/>
          <w:bCs/>
          <w:iCs/>
          <w:kern w:val="0"/>
          <w:sz w:val="24"/>
        </w:rPr>
        <w:sectPr>
          <w:headerReference r:id="rId3" w:type="default"/>
          <w:pgSz w:w="11900" w:h="16840"/>
          <w:pgMar w:top="1440" w:right="1800" w:bottom="1440" w:left="1800" w:header="851" w:footer="992" w:gutter="0"/>
          <w:cols w:space="425" w:num="1"/>
          <w:docGrid w:type="lines" w:linePitch="312" w:charSpace="0"/>
        </w:sectPr>
      </w:pPr>
      <w:r>
        <w:rPr>
          <w:rFonts w:hint="eastAsia" w:ascii="仿宋" w:hAnsi="仿宋" w:eastAsia="仿宋" w:cs="仿宋"/>
          <w:bCs/>
          <w:iCs/>
          <w:kern w:val="0"/>
          <w:sz w:val="24"/>
        </w:rPr>
        <w:fldChar w:fldCharType="end"/>
      </w:r>
    </w:p>
    <w:p>
      <w:pPr>
        <w:pStyle w:val="25"/>
        <w:numPr>
          <w:numId w:val="0"/>
        </w:numPr>
        <w:spacing w:before="0"/>
        <w:ind w:leftChars="0"/>
        <w:jc w:val="center"/>
        <w:rPr>
          <w:rFonts w:hint="eastAsia" w:ascii="楷体" w:hAnsi="楷体" w:eastAsia="楷体" w:cs="楷体"/>
          <w:sz w:val="28"/>
          <w:szCs w:val="36"/>
        </w:rPr>
      </w:pPr>
      <w:r>
        <w:rPr>
          <w:rFonts w:hint="eastAsia" w:ascii="楷体" w:hAnsi="楷体" w:eastAsia="楷体" w:cs="楷体"/>
          <w:sz w:val="28"/>
          <w:szCs w:val="36"/>
          <w:lang w:val="en-US" w:eastAsia="zh-CN"/>
        </w:rPr>
        <w:t>附录Ⅰ</w:t>
      </w:r>
      <w:r>
        <w:rPr>
          <w:rFonts w:hint="eastAsia" w:ascii="楷体" w:hAnsi="楷体" w:eastAsia="楷体" w:cs="楷体"/>
          <w:sz w:val="28"/>
          <w:szCs w:val="36"/>
          <w:lang w:val="en-US" w:eastAsia="zh-CN"/>
        </w:rPr>
        <w:t xml:space="preserve"> </w:t>
      </w:r>
      <w:r>
        <w:rPr>
          <w:rFonts w:hint="eastAsia" w:ascii="楷体" w:hAnsi="楷体" w:eastAsia="楷体" w:cs="楷体"/>
          <w:sz w:val="28"/>
          <w:szCs w:val="36"/>
        </w:rPr>
        <w:t>影响地级市幼儿园密度增长率的因素</w:t>
      </w:r>
      <w:bookmarkEnd w:id="0"/>
    </w:p>
    <w:p>
      <w:pPr>
        <w:snapToGrid w:val="0"/>
        <w:ind w:firstLine="420" w:firstLineChars="200"/>
        <w:rPr>
          <w:rFonts w:hint="eastAsia" w:ascii="仿宋" w:hAnsi="仿宋" w:eastAsia="仿宋" w:cs="仿宋"/>
          <w:color w:val="000000"/>
          <w:kern w:val="0"/>
          <w:szCs w:val="21"/>
          <w:lang w:eastAsia="zh-Hans"/>
        </w:rPr>
      </w:pPr>
      <w:r>
        <w:rPr>
          <w:rFonts w:hint="eastAsia" w:ascii="仿宋" w:hAnsi="仿宋" w:eastAsia="仿宋" w:cs="仿宋"/>
          <w:color w:val="000000"/>
          <w:kern w:val="0"/>
          <w:szCs w:val="21"/>
        </w:rPr>
        <w:t>我们将地级市</w:t>
      </w:r>
      <w:r>
        <w:rPr>
          <w:rFonts w:hint="eastAsia" w:ascii="仿宋" w:hAnsi="仿宋" w:eastAsia="仿宋" w:cs="仿宋"/>
          <w:color w:val="000000"/>
          <w:kern w:val="0"/>
          <w:szCs w:val="21"/>
          <w:lang w:eastAsia="zh-Hans"/>
        </w:rPr>
        <w:t>每千名适龄儿童</w:t>
      </w:r>
      <w:r>
        <w:rPr>
          <w:rFonts w:hint="eastAsia" w:ascii="仿宋" w:hAnsi="仿宋" w:eastAsia="仿宋" w:cs="仿宋"/>
          <w:color w:val="000000"/>
          <w:kern w:val="0"/>
          <w:szCs w:val="21"/>
        </w:rPr>
        <w:t>的幼儿园数量作为地级市层面幼儿园密度的度量，</w:t>
      </w:r>
      <w:r>
        <w:rPr>
          <w:rFonts w:hint="eastAsia" w:ascii="仿宋" w:hAnsi="仿宋" w:eastAsia="仿宋" w:cs="仿宋"/>
          <w:color w:val="000000"/>
          <w:kern w:val="0"/>
          <w:szCs w:val="21"/>
          <w:lang w:eastAsia="zh-Hans"/>
        </w:rPr>
        <w:t>进一步</w:t>
      </w:r>
      <w:r>
        <w:rPr>
          <w:rFonts w:hint="eastAsia" w:ascii="仿宋" w:hAnsi="仿宋" w:eastAsia="仿宋" w:cs="仿宋"/>
          <w:color w:val="000000"/>
          <w:kern w:val="0"/>
          <w:szCs w:val="21"/>
        </w:rPr>
        <w:t>分析影响幼儿园密度增长的因素。</w:t>
      </w:r>
      <w:r>
        <w:rPr>
          <w:rFonts w:hint="eastAsia" w:ascii="仿宋" w:hAnsi="仿宋" w:eastAsia="仿宋" w:cs="仿宋"/>
        </w:rPr>
        <w:t>2010</w:t>
      </w:r>
      <w:r>
        <w:rPr>
          <w:rFonts w:hint="eastAsia" w:ascii="仿宋" w:hAnsi="仿宋" w:eastAsia="仿宋" w:cs="仿宋"/>
          <w:lang w:eastAsia="zh-Hans"/>
        </w:rPr>
        <w:t>年城市层面数据来自2011年《中国区域经济统计年鉴》。</w:t>
      </w:r>
      <w:r>
        <w:rPr>
          <w:rFonts w:hint="eastAsia" w:ascii="仿宋" w:hAnsi="仿宋" w:eastAsia="仿宋" w:cs="仿宋"/>
          <w:color w:val="000000"/>
          <w:kern w:val="0"/>
          <w:szCs w:val="21"/>
        </w:rPr>
        <w:t>表I1的结果显示，控制了省份固定效应后，2010—2011年间地级市幼儿园密度的增长速度很大程度上依赖于2010年地级市的</w:t>
      </w:r>
      <w:r>
        <w:rPr>
          <w:rFonts w:hint="eastAsia" w:ascii="仿宋" w:hAnsi="仿宋" w:eastAsia="仿宋" w:cs="仿宋"/>
          <w:color w:val="000000"/>
          <w:kern w:val="0"/>
          <w:szCs w:val="21"/>
          <w:lang w:eastAsia="zh-Hans"/>
        </w:rPr>
        <w:t>每千名适龄儿童</w:t>
      </w:r>
      <w:r>
        <w:rPr>
          <w:rFonts w:hint="eastAsia" w:ascii="仿宋" w:hAnsi="仿宋" w:eastAsia="仿宋" w:cs="仿宋"/>
          <w:color w:val="000000"/>
          <w:kern w:val="0"/>
          <w:szCs w:val="21"/>
        </w:rPr>
        <w:t>幼儿园数量和人口数量。给定其他条件不变的情况下，一个地级市初</w:t>
      </w:r>
      <w:bookmarkStart w:id="5" w:name="_GoBack"/>
      <w:bookmarkEnd w:id="5"/>
      <w:r>
        <w:rPr>
          <w:rFonts w:hint="eastAsia" w:ascii="仿宋" w:hAnsi="仿宋" w:eastAsia="仿宋" w:cs="仿宋"/>
          <w:color w:val="000000"/>
          <w:kern w:val="0"/>
          <w:szCs w:val="21"/>
        </w:rPr>
        <w:t>始的幼儿园</w:t>
      </w:r>
      <w:r>
        <w:rPr>
          <w:rFonts w:hint="eastAsia" w:ascii="仿宋" w:hAnsi="仿宋" w:eastAsia="仿宋" w:cs="仿宋"/>
          <w:color w:val="000000"/>
          <w:kern w:val="0"/>
          <w:szCs w:val="21"/>
          <w:lang w:eastAsia="zh-Hans"/>
        </w:rPr>
        <w:t>密度</w:t>
      </w:r>
      <w:r>
        <w:rPr>
          <w:rFonts w:hint="eastAsia" w:ascii="仿宋" w:hAnsi="仿宋" w:eastAsia="仿宋" w:cs="仿宋"/>
          <w:color w:val="000000"/>
          <w:kern w:val="0"/>
          <w:szCs w:val="21"/>
        </w:rPr>
        <w:t>越</w:t>
      </w:r>
      <w:r>
        <w:rPr>
          <w:rFonts w:hint="eastAsia" w:ascii="仿宋" w:hAnsi="仿宋" w:eastAsia="仿宋" w:cs="仿宋"/>
          <w:color w:val="000000"/>
          <w:kern w:val="0"/>
          <w:szCs w:val="21"/>
          <w:lang w:eastAsia="zh-Hans"/>
        </w:rPr>
        <w:t>低</w:t>
      </w:r>
      <w:r>
        <w:rPr>
          <w:rFonts w:hint="eastAsia" w:ascii="仿宋" w:hAnsi="仿宋" w:eastAsia="仿宋" w:cs="仿宋"/>
          <w:color w:val="000000"/>
          <w:kern w:val="0"/>
          <w:szCs w:val="21"/>
        </w:rPr>
        <w:t>或初始的人口数量越大，则幼儿园密度的增长速度显著更快，而2010年人均GDP</w:t>
      </w:r>
      <w:r>
        <w:rPr>
          <w:rFonts w:hint="eastAsia" w:ascii="仿宋" w:hAnsi="仿宋" w:eastAsia="仿宋" w:cs="仿宋"/>
          <w:color w:val="000000"/>
          <w:kern w:val="0"/>
          <w:szCs w:val="21"/>
          <w:lang w:eastAsia="zh-Hans"/>
        </w:rPr>
        <w:t>和</w:t>
      </w:r>
      <w:r>
        <w:rPr>
          <w:rFonts w:hint="eastAsia" w:ascii="仿宋" w:hAnsi="仿宋" w:eastAsia="仿宋" w:cs="仿宋"/>
          <w:color w:val="000000"/>
          <w:kern w:val="0"/>
          <w:szCs w:val="21"/>
        </w:rPr>
        <w:t>政府财政支出对幼儿园</w:t>
      </w:r>
      <w:r>
        <w:rPr>
          <w:rFonts w:hint="eastAsia" w:ascii="仿宋" w:hAnsi="仿宋" w:eastAsia="仿宋" w:cs="仿宋"/>
          <w:color w:val="000000"/>
          <w:kern w:val="0"/>
          <w:szCs w:val="21"/>
          <w:lang w:eastAsia="zh-Hans"/>
        </w:rPr>
        <w:t>密度</w:t>
      </w:r>
      <w:r>
        <w:rPr>
          <w:rFonts w:hint="eastAsia" w:ascii="仿宋" w:hAnsi="仿宋" w:eastAsia="仿宋" w:cs="仿宋"/>
          <w:color w:val="000000"/>
          <w:kern w:val="0"/>
          <w:szCs w:val="21"/>
        </w:rPr>
        <w:t>的增长速度没有显著影响。综合来看，上述变量可以解释幼儿园</w:t>
      </w:r>
      <w:r>
        <w:rPr>
          <w:rFonts w:hint="eastAsia" w:ascii="仿宋" w:hAnsi="仿宋" w:eastAsia="仿宋" w:cs="仿宋"/>
          <w:color w:val="000000"/>
          <w:kern w:val="0"/>
          <w:szCs w:val="21"/>
          <w:lang w:eastAsia="zh-Hans"/>
        </w:rPr>
        <w:t>密度增长</w:t>
      </w:r>
      <w:r>
        <w:rPr>
          <w:rFonts w:hint="eastAsia" w:ascii="仿宋" w:hAnsi="仿宋" w:eastAsia="仿宋" w:cs="仿宋"/>
          <w:color w:val="000000"/>
          <w:kern w:val="0"/>
          <w:szCs w:val="21"/>
        </w:rPr>
        <w:t>速度</w:t>
      </w:r>
      <w:r>
        <w:rPr>
          <w:rFonts w:hint="eastAsia" w:ascii="仿宋" w:hAnsi="仿宋" w:eastAsia="仿宋" w:cs="仿宋"/>
          <w:color w:val="000000"/>
          <w:kern w:val="0"/>
          <w:szCs w:val="21"/>
          <w:lang w:eastAsia="zh-Hans"/>
        </w:rPr>
        <w:t>50%以上的变</w:t>
      </w:r>
      <w:r>
        <w:rPr>
          <w:rFonts w:hint="eastAsia" w:ascii="仿宋" w:hAnsi="仿宋" w:eastAsia="仿宋" w:cs="仿宋"/>
          <w:color w:val="000000"/>
          <w:kern w:val="0"/>
          <w:szCs w:val="21"/>
        </w:rPr>
        <w:t>异。在本研究的识别策略中，我们考虑了由于</w:t>
      </w:r>
      <w:r>
        <w:rPr>
          <w:rFonts w:hint="eastAsia" w:ascii="仿宋" w:hAnsi="仿宋" w:eastAsia="仿宋" w:cs="仿宋"/>
          <w:color w:val="000000"/>
          <w:kern w:val="0"/>
          <w:szCs w:val="21"/>
          <w:lang w:eastAsia="zh-Hans"/>
        </w:rPr>
        <w:t>城市特征</w:t>
      </w:r>
      <w:r>
        <w:rPr>
          <w:rFonts w:hint="eastAsia" w:ascii="仿宋" w:hAnsi="仿宋" w:eastAsia="仿宋" w:cs="仿宋"/>
          <w:color w:val="000000"/>
          <w:kern w:val="0"/>
          <w:szCs w:val="21"/>
        </w:rPr>
        <w:t>的差异导致不同城市儿童人力资本</w:t>
      </w:r>
      <w:r>
        <w:rPr>
          <w:rFonts w:hint="eastAsia" w:ascii="仿宋" w:hAnsi="仿宋" w:eastAsia="仿宋" w:cs="仿宋"/>
          <w:color w:val="000000"/>
          <w:kern w:val="0"/>
          <w:szCs w:val="21"/>
          <w:lang w:eastAsia="zh-Hans"/>
        </w:rPr>
        <w:t>发展</w:t>
      </w:r>
      <w:r>
        <w:rPr>
          <w:rFonts w:hint="eastAsia" w:ascii="仿宋" w:hAnsi="仿宋" w:eastAsia="仿宋" w:cs="仿宋"/>
          <w:color w:val="000000"/>
          <w:kern w:val="0"/>
          <w:szCs w:val="21"/>
        </w:rPr>
        <w:t>的</w:t>
      </w:r>
      <w:r>
        <w:rPr>
          <w:rFonts w:hint="eastAsia" w:ascii="仿宋" w:hAnsi="仿宋" w:eastAsia="仿宋" w:cs="仿宋"/>
          <w:color w:val="000000"/>
          <w:kern w:val="0"/>
          <w:szCs w:val="21"/>
          <w:lang w:eastAsia="zh-Hans"/>
        </w:rPr>
        <w:t>出生队列</w:t>
      </w:r>
      <w:r>
        <w:rPr>
          <w:rFonts w:hint="eastAsia" w:ascii="仿宋" w:hAnsi="仿宋" w:eastAsia="仿宋" w:cs="仿宋"/>
          <w:color w:val="000000"/>
          <w:kern w:val="0"/>
          <w:szCs w:val="21"/>
        </w:rPr>
        <w:t>趋势</w:t>
      </w:r>
      <w:r>
        <w:rPr>
          <w:rFonts w:hint="eastAsia" w:ascii="仿宋" w:hAnsi="仿宋" w:eastAsia="仿宋" w:cs="仿宋"/>
          <w:color w:val="000000"/>
          <w:kern w:val="0"/>
          <w:szCs w:val="21"/>
        </w:rPr>
        <w:t>（</w:t>
      </w:r>
      <w:r>
        <w:rPr>
          <w:rFonts w:hint="eastAsia" w:ascii="仿宋" w:hAnsi="仿宋" w:eastAsia="仿宋" w:cs="仿宋"/>
          <w:color w:val="000000"/>
          <w:kern w:val="0"/>
          <w:szCs w:val="21"/>
        </w:rPr>
        <w:t>cohort trends</w:t>
      </w:r>
      <w:r>
        <w:rPr>
          <w:rFonts w:hint="eastAsia" w:ascii="仿宋" w:hAnsi="仿宋" w:eastAsia="仿宋" w:cs="仿宋"/>
          <w:color w:val="000000"/>
          <w:kern w:val="0"/>
          <w:szCs w:val="21"/>
        </w:rPr>
        <w:t>）</w:t>
      </w:r>
      <w:r>
        <w:rPr>
          <w:rFonts w:hint="eastAsia" w:ascii="仿宋" w:hAnsi="仿宋" w:eastAsia="仿宋" w:cs="仿宋"/>
          <w:color w:val="000000"/>
          <w:kern w:val="0"/>
          <w:szCs w:val="21"/>
          <w:lang w:eastAsia="zh-Hans"/>
        </w:rPr>
        <w:t>不同</w:t>
      </w:r>
      <w:r>
        <w:rPr>
          <w:rFonts w:hint="eastAsia" w:ascii="仿宋" w:hAnsi="仿宋" w:eastAsia="仿宋" w:cs="仿宋"/>
          <w:color w:val="000000"/>
          <w:kern w:val="0"/>
          <w:szCs w:val="21"/>
        </w:rPr>
        <w:t>的可能性</w:t>
      </w:r>
      <w:r>
        <w:rPr>
          <w:rFonts w:hint="eastAsia" w:ascii="仿宋" w:hAnsi="仿宋" w:eastAsia="仿宋" w:cs="仿宋"/>
          <w:color w:val="000000"/>
          <w:kern w:val="0"/>
          <w:szCs w:val="21"/>
          <w:lang w:eastAsia="zh-Hans"/>
        </w:rPr>
        <w:t>。</w:t>
      </w:r>
    </w:p>
    <w:p>
      <w:pPr>
        <w:snapToGrid w:val="0"/>
        <w:ind w:firstLine="420" w:firstLineChars="200"/>
        <w:rPr>
          <w:rFonts w:hint="eastAsia" w:ascii="仿宋" w:hAnsi="仿宋" w:eastAsia="仿宋" w:cs="仿宋"/>
          <w:color w:val="000000"/>
          <w:kern w:val="0"/>
          <w:szCs w:val="21"/>
          <w:lang w:eastAsia="zh-Hans"/>
        </w:rPr>
      </w:pPr>
    </w:p>
    <w:p>
      <w:pPr>
        <w:autoSpaceDE w:val="0"/>
        <w:autoSpaceDN w:val="0"/>
        <w:adjustRightInd w:val="0"/>
        <w:jc w:val="center"/>
        <w:rPr>
          <w:rFonts w:hint="eastAsia" w:ascii="宋体" w:hAnsi="宋体" w:eastAsia="宋体" w:cs="宋体"/>
          <w:b/>
          <w:bCs/>
          <w:kern w:val="0"/>
          <w:sz w:val="20"/>
          <w:szCs w:val="20"/>
        </w:rPr>
      </w:pPr>
      <w:r>
        <w:rPr>
          <w:rFonts w:hint="eastAsia" w:ascii="宋体" w:hAnsi="宋体" w:eastAsia="宋体" w:cs="宋体"/>
          <w:b/>
          <w:bCs/>
          <w:color w:val="000000"/>
          <w:kern w:val="0"/>
          <w:sz w:val="20"/>
          <w:szCs w:val="20"/>
        </w:rPr>
        <w:t>表I1 影响地级市</w:t>
      </w:r>
      <w:r>
        <w:rPr>
          <w:rFonts w:hint="eastAsia" w:ascii="宋体" w:hAnsi="宋体" w:eastAsia="宋体" w:cs="宋体"/>
          <w:b/>
          <w:bCs/>
          <w:color w:val="000000"/>
          <w:kern w:val="0"/>
          <w:sz w:val="20"/>
          <w:szCs w:val="20"/>
          <w:lang w:eastAsia="zh-Hans"/>
        </w:rPr>
        <w:t>幼儿园</w:t>
      </w:r>
      <w:r>
        <w:rPr>
          <w:rFonts w:hint="eastAsia" w:ascii="宋体" w:hAnsi="宋体" w:eastAsia="宋体" w:cs="宋体"/>
          <w:b/>
          <w:bCs/>
          <w:color w:val="000000"/>
          <w:kern w:val="0"/>
          <w:sz w:val="20"/>
          <w:szCs w:val="20"/>
        </w:rPr>
        <w:t>密度</w:t>
      </w:r>
      <w:r>
        <w:rPr>
          <w:rFonts w:hint="eastAsia" w:ascii="宋体" w:hAnsi="宋体" w:eastAsia="宋体" w:cs="宋体"/>
          <w:b/>
          <w:bCs/>
          <w:color w:val="000000"/>
          <w:kern w:val="0"/>
          <w:sz w:val="20"/>
          <w:szCs w:val="20"/>
          <w:lang w:eastAsia="zh-Hans"/>
        </w:rPr>
        <w:t>增长</w:t>
      </w:r>
      <w:r>
        <w:rPr>
          <w:rFonts w:hint="eastAsia" w:ascii="宋体" w:hAnsi="宋体" w:eastAsia="宋体" w:cs="宋体"/>
          <w:b/>
          <w:bCs/>
          <w:color w:val="000000"/>
          <w:kern w:val="0"/>
          <w:sz w:val="20"/>
          <w:szCs w:val="20"/>
        </w:rPr>
        <w:t>率的因素</w:t>
      </w:r>
    </w:p>
    <w:tbl>
      <w:tblPr>
        <w:tblStyle w:val="16"/>
        <w:tblW w:w="0" w:type="auto"/>
        <w:jc w:val="center"/>
        <w:tblLayout w:type="fixed"/>
        <w:tblCellMar>
          <w:top w:w="0" w:type="dxa"/>
          <w:left w:w="75" w:type="dxa"/>
          <w:bottom w:w="0" w:type="dxa"/>
          <w:right w:w="75" w:type="dxa"/>
        </w:tblCellMar>
      </w:tblPr>
      <w:tblGrid>
        <w:gridCol w:w="4054"/>
        <w:gridCol w:w="3597"/>
      </w:tblGrid>
      <w:tr>
        <w:tblPrEx>
          <w:tblCellMar>
            <w:top w:w="0" w:type="dxa"/>
            <w:left w:w="75" w:type="dxa"/>
            <w:bottom w:w="0" w:type="dxa"/>
            <w:right w:w="75" w:type="dxa"/>
          </w:tblCellMar>
        </w:tblPrEx>
        <w:trPr>
          <w:jc w:val="center"/>
        </w:trPr>
        <w:tc>
          <w:tcPr>
            <w:tcW w:w="4054" w:type="dxa"/>
            <w:tcBorders>
              <w:top w:val="single" w:color="auto" w:sz="6" w:space="0"/>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被解释变量：</w:t>
            </w:r>
            <w:r>
              <w:rPr>
                <w:rFonts w:hint="eastAsia" w:ascii="仿宋" w:hAnsi="仿宋" w:eastAsia="仿宋" w:cs="仿宋"/>
                <w:sz w:val="18"/>
                <w:szCs w:val="18"/>
              </w:rPr>
              <w:t>2010</w:t>
            </w:r>
            <w:r>
              <w:rPr>
                <w:rFonts w:hint="eastAsia" w:ascii="仿宋" w:hAnsi="仿宋" w:eastAsia="仿宋" w:cs="仿宋"/>
                <w:kern w:val="0"/>
                <w:sz w:val="18"/>
                <w:szCs w:val="18"/>
              </w:rPr>
              <w:t>—</w:t>
            </w:r>
            <w:r>
              <w:rPr>
                <w:rFonts w:hint="eastAsia" w:ascii="仿宋" w:hAnsi="仿宋" w:eastAsia="仿宋" w:cs="仿宋"/>
                <w:sz w:val="18"/>
                <w:szCs w:val="18"/>
              </w:rPr>
              <w:t>2011</w:t>
            </w:r>
            <w:r>
              <w:rPr>
                <w:rFonts w:hint="eastAsia" w:ascii="仿宋" w:hAnsi="仿宋" w:eastAsia="仿宋" w:cs="仿宋"/>
                <w:sz w:val="18"/>
                <w:szCs w:val="18"/>
                <w:lang w:eastAsia="zh-Hans"/>
              </w:rPr>
              <w:t>年每千名适龄儿童</w:t>
            </w:r>
            <w:r>
              <w:rPr>
                <w:rFonts w:hint="eastAsia" w:ascii="仿宋" w:hAnsi="仿宋" w:eastAsia="仿宋" w:cs="仿宋"/>
                <w:kern w:val="0"/>
                <w:sz w:val="18"/>
                <w:szCs w:val="18"/>
                <w:lang w:eastAsia="zh-Hans"/>
              </w:rPr>
              <w:t>幼儿园增长率</w:t>
            </w:r>
          </w:p>
        </w:tc>
      </w:tr>
      <w:tr>
        <w:tblPrEx>
          <w:tblCellMar>
            <w:top w:w="0" w:type="dxa"/>
            <w:left w:w="75" w:type="dxa"/>
            <w:bottom w:w="0" w:type="dxa"/>
            <w:right w:w="75" w:type="dxa"/>
          </w:tblCellMar>
        </w:tblPrEx>
        <w:trPr>
          <w:jc w:val="center"/>
        </w:trPr>
        <w:tc>
          <w:tcPr>
            <w:tcW w:w="4054" w:type="dxa"/>
            <w:tcBorders>
              <w:top w:val="nil"/>
              <w:left w:val="nil"/>
              <w:bottom w:val="single" w:color="auto" w:sz="6" w:space="0"/>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变量</w:t>
            </w:r>
          </w:p>
        </w:tc>
        <w:tc>
          <w:tcPr>
            <w:tcW w:w="359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rPr>
              <w:t>(1)</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lang w:eastAsia="zh-Hans"/>
              </w:rPr>
              <w:t>og（</w:t>
            </w:r>
            <w:r>
              <w:rPr>
                <w:rFonts w:hint="eastAsia" w:ascii="仿宋" w:hAnsi="仿宋" w:eastAsia="仿宋" w:cs="仿宋"/>
                <w:kern w:val="0"/>
                <w:sz w:val="18"/>
                <w:szCs w:val="18"/>
              </w:rPr>
              <w:t>2010</w:t>
            </w:r>
            <w:r>
              <w:rPr>
                <w:rFonts w:hint="eastAsia" w:ascii="仿宋" w:hAnsi="仿宋" w:eastAsia="仿宋" w:cs="仿宋"/>
                <w:kern w:val="0"/>
                <w:sz w:val="18"/>
                <w:szCs w:val="18"/>
                <w:lang w:eastAsia="zh-Hans"/>
              </w:rPr>
              <w:t>年每千名适龄儿童幼儿园数量）</w:t>
            </w: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-0.066**</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(0.032)</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og（2010</w:t>
            </w:r>
            <w:r>
              <w:rPr>
                <w:rFonts w:hint="eastAsia" w:ascii="仿宋" w:hAnsi="仿宋" w:eastAsia="仿宋" w:cs="仿宋"/>
                <w:kern w:val="0"/>
                <w:sz w:val="18"/>
                <w:szCs w:val="18"/>
                <w:lang w:eastAsia="zh-Hans"/>
              </w:rPr>
              <w:t>年人均</w:t>
            </w:r>
            <w:r>
              <w:rPr>
                <w:rFonts w:hint="eastAsia" w:ascii="仿宋" w:hAnsi="仿宋" w:eastAsia="仿宋" w:cs="仿宋"/>
                <w:kern w:val="0"/>
                <w:sz w:val="18"/>
                <w:szCs w:val="18"/>
              </w:rPr>
              <w:t>GDP）</w:t>
            </w: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-0.0064</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(0.059)</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kern w:val="0"/>
                <w:sz w:val="18"/>
                <w:szCs w:val="18"/>
              </w:rPr>
              <w:t>l</w:t>
            </w:r>
            <w:r>
              <w:rPr>
                <w:rFonts w:hint="eastAsia" w:ascii="仿宋" w:hAnsi="仿宋" w:eastAsia="仿宋" w:cs="仿宋"/>
                <w:kern w:val="0"/>
                <w:sz w:val="18"/>
                <w:szCs w:val="18"/>
                <w:lang w:eastAsia="zh-Hans"/>
              </w:rPr>
              <w:t>og（2010年人口</w:t>
            </w:r>
            <w:r>
              <w:rPr>
                <w:rFonts w:hint="eastAsia" w:ascii="仿宋" w:hAnsi="仿宋" w:eastAsia="仿宋" w:cs="仿宋"/>
                <w:kern w:val="0"/>
                <w:sz w:val="18"/>
                <w:szCs w:val="18"/>
              </w:rPr>
              <w:t>数）</w:t>
            </w: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0.16**</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(0.066)</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2010年政府财政支出）</w:t>
            </w: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-0.11</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bidi="ar"/>
              </w:rPr>
              <w:t>(0.076)</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常数</w:t>
            </w: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-0.25</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(0.58)</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观测值</w:t>
            </w: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104</w:t>
            </w:r>
          </w:p>
        </w:tc>
      </w:tr>
      <w:tr>
        <w:tblPrEx>
          <w:tblCellMar>
            <w:top w:w="0" w:type="dxa"/>
            <w:left w:w="75" w:type="dxa"/>
            <w:bottom w:w="0" w:type="dxa"/>
            <w:right w:w="75" w:type="dxa"/>
          </w:tblCellMar>
        </w:tblPrEx>
        <w:trPr>
          <w:jc w:val="center"/>
        </w:trPr>
        <w:tc>
          <w:tcPr>
            <w:tcW w:w="4054"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359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0.517</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4054" w:type="dxa"/>
            <w:tcBorders>
              <w:top w:val="nil"/>
              <w:left w:val="nil"/>
              <w:bottom w:val="single" w:color="auto" w:sz="6" w:space="0"/>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省份固定效应</w:t>
            </w:r>
          </w:p>
        </w:tc>
        <w:tc>
          <w:tcPr>
            <w:tcW w:w="359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Yes</w:t>
            </w:r>
          </w:p>
        </w:tc>
      </w:tr>
    </w:tbl>
    <w:p>
      <w:pPr>
        <w:rPr>
          <w:rFonts w:hint="eastAsia" w:ascii="仿宋" w:hAnsi="仿宋" w:eastAsia="仿宋" w:cs="仿宋"/>
          <w:sz w:val="18"/>
          <w:szCs w:val="18"/>
        </w:rPr>
      </w:pPr>
      <w:r>
        <w:rPr>
          <w:rFonts w:hint="eastAsia" w:ascii="仿宋" w:hAnsi="仿宋" w:eastAsia="仿宋" w:cs="仿宋"/>
          <w:sz w:val="18"/>
          <w:szCs w:val="18"/>
          <w:lang w:eastAsia="zh-Hans"/>
        </w:rPr>
        <w:t>注</w:t>
      </w:r>
      <w:r>
        <w:rPr>
          <w:rFonts w:hint="eastAsia" w:ascii="仿宋" w:hAnsi="仿宋" w:eastAsia="仿宋" w:cs="仿宋"/>
          <w:sz w:val="18"/>
          <w:szCs w:val="18"/>
        </w:rPr>
        <w:t>：</w:t>
      </w:r>
      <w:r>
        <w:rPr>
          <w:rFonts w:hint="eastAsia" w:ascii="仿宋" w:hAnsi="仿宋" w:eastAsia="仿宋" w:cs="仿宋"/>
          <w:sz w:val="18"/>
          <w:szCs w:val="18"/>
          <w:lang w:eastAsia="zh-Hans"/>
        </w:rPr>
        <w:t>被解释变量为</w:t>
      </w:r>
      <w:r>
        <w:rPr>
          <w:rFonts w:hint="eastAsia" w:ascii="仿宋" w:hAnsi="仿宋" w:eastAsia="仿宋" w:cs="仿宋"/>
          <w:sz w:val="18"/>
          <w:szCs w:val="18"/>
        </w:rPr>
        <w:t>2010</w:t>
      </w:r>
      <w:r>
        <w:rPr>
          <w:rFonts w:hint="eastAsia" w:ascii="仿宋" w:hAnsi="仿宋" w:eastAsia="仿宋" w:cs="仿宋"/>
          <w:sz w:val="18"/>
          <w:szCs w:val="18"/>
          <w:lang w:eastAsia="zh-Hans"/>
        </w:rPr>
        <w:t>年至</w:t>
      </w:r>
      <w:r>
        <w:rPr>
          <w:rFonts w:hint="eastAsia" w:ascii="仿宋" w:hAnsi="仿宋" w:eastAsia="仿宋" w:cs="仿宋"/>
          <w:sz w:val="18"/>
          <w:szCs w:val="18"/>
        </w:rPr>
        <w:t>2011</w:t>
      </w:r>
      <w:r>
        <w:rPr>
          <w:rFonts w:hint="eastAsia" w:ascii="仿宋" w:hAnsi="仿宋" w:eastAsia="仿宋" w:cs="仿宋"/>
          <w:sz w:val="18"/>
          <w:szCs w:val="18"/>
          <w:lang w:eastAsia="zh-Hans"/>
        </w:rPr>
        <w:t>年间地级市层面每千名适龄儿童幼儿园数量的增长率。</w:t>
      </w:r>
      <w:r>
        <w:rPr>
          <w:rFonts w:hint="eastAsia" w:ascii="仿宋" w:hAnsi="仿宋" w:eastAsia="仿宋" w:cs="仿宋"/>
          <w:kern w:val="0"/>
          <w:sz w:val="18"/>
          <w:szCs w:val="18"/>
          <w:lang w:eastAsia="zh-Hans"/>
        </w:rPr>
        <w:t>括号中为稳健标准误</w:t>
      </w:r>
      <w:r>
        <w:rPr>
          <w:rFonts w:hint="eastAsia" w:ascii="仿宋" w:hAnsi="仿宋" w:eastAsia="仿宋" w:cs="仿宋"/>
          <w:kern w:val="0"/>
          <w:sz w:val="18"/>
          <w:szCs w:val="18"/>
        </w:rPr>
        <w:t>。</w:t>
      </w:r>
      <w:r>
        <w:rPr>
          <w:rFonts w:hint="eastAsia" w:ascii="仿宋" w:hAnsi="仿宋" w:eastAsia="仿宋" w:cs="仿宋"/>
          <w:sz w:val="18"/>
          <w:szCs w:val="18"/>
        </w:rPr>
        <w:t>***、**和*分别表示1%、5%和10%的显著性水平。</w:t>
      </w:r>
      <w:r>
        <w:rPr>
          <w:rFonts w:hint="eastAsia" w:ascii="仿宋" w:hAnsi="仿宋" w:eastAsia="仿宋" w:cs="仿宋"/>
          <w:sz w:val="18"/>
          <w:szCs w:val="18"/>
        </w:rPr>
        <w:br w:type="page"/>
      </w:r>
    </w:p>
    <w:p>
      <w:pPr>
        <w:pStyle w:val="25"/>
        <w:numPr>
          <w:numId w:val="0"/>
        </w:numPr>
        <w:ind w:leftChars="0"/>
        <w:jc w:val="center"/>
        <w:rPr>
          <w:rFonts w:hint="eastAsia" w:ascii="楷体" w:hAnsi="楷体" w:eastAsia="楷体" w:cs="楷体"/>
          <w:sz w:val="28"/>
          <w:szCs w:val="36"/>
        </w:rPr>
      </w:pPr>
      <w:bookmarkStart w:id="1" w:name="_Toc145418275"/>
      <w:r>
        <w:rPr>
          <w:rFonts w:hint="eastAsia" w:ascii="楷体" w:hAnsi="楷体" w:eastAsia="楷体" w:cs="楷体"/>
          <w:sz w:val="28"/>
          <w:szCs w:val="36"/>
          <w:lang w:val="en-US" w:eastAsia="zh-CN"/>
        </w:rPr>
        <w:t xml:space="preserve">附录Ⅱ </w:t>
      </w:r>
      <w:r>
        <w:rPr>
          <w:rFonts w:hint="eastAsia" w:ascii="楷体" w:hAnsi="楷体" w:eastAsia="楷体" w:cs="楷体"/>
          <w:sz w:val="28"/>
          <w:szCs w:val="36"/>
        </w:rPr>
        <w:t>记忆测试和数列测试</w:t>
      </w:r>
      <w:bookmarkEnd w:id="1"/>
    </w:p>
    <w:p>
      <w:pPr>
        <w:snapToGrid w:val="0"/>
        <w:ind w:firstLine="420"/>
        <w:rPr>
          <w:rFonts w:hint="eastAsia" w:ascii="仿宋" w:hAnsi="仿宋" w:eastAsia="仿宋" w:cs="仿宋"/>
        </w:rPr>
      </w:pPr>
      <w:r>
        <w:rPr>
          <w:rFonts w:hint="eastAsia" w:ascii="仿宋" w:hAnsi="仿宋" w:eastAsia="仿宋" w:cs="仿宋"/>
        </w:rPr>
        <w:t>CFPS2016年的认知测试包含记忆测试和数列测试。在记忆测试中，访员给受访者读出10个在生活中常见的单词，受访者在听完全部单词后立即回忆访员读出的单词，受访者答对的单词总数即为记忆测试得分</w:t>
      </w:r>
      <w:r>
        <w:rPr>
          <w:rFonts w:hint="eastAsia" w:ascii="仿宋" w:hAnsi="仿宋" w:eastAsia="仿宋" w:cs="仿宋"/>
        </w:rPr>
        <w:t>（</w:t>
      </w:r>
      <w:r>
        <w:rPr>
          <w:rFonts w:hint="eastAsia" w:ascii="仿宋" w:hAnsi="仿宋" w:eastAsia="仿宋" w:cs="仿宋"/>
        </w:rPr>
        <w:t>对顺序不做要求</w:t>
      </w:r>
      <w:r>
        <w:rPr>
          <w:rFonts w:hint="eastAsia" w:ascii="仿宋" w:hAnsi="仿宋" w:eastAsia="仿宋" w:cs="仿宋"/>
        </w:rPr>
        <w:t>）</w:t>
      </w:r>
      <w:r>
        <w:rPr>
          <w:rFonts w:hint="eastAsia" w:ascii="仿宋" w:hAnsi="仿宋" w:eastAsia="仿宋" w:cs="仿宋"/>
        </w:rPr>
        <w:t>。数列测试使用了两阶段的适应性测试。在第一阶段，受访者回答三道数列题，由此得出第一阶段答对题数目</w:t>
      </w:r>
      <w:r>
        <w:rPr>
          <w:rFonts w:hint="eastAsia" w:ascii="仿宋" w:hAnsi="仿宋" w:eastAsia="仿宋" w:cs="仿宋"/>
        </w:rPr>
        <w:t>（</w:t>
      </w:r>
      <w:r>
        <w:rPr>
          <w:rFonts w:hint="eastAsia" w:ascii="仿宋" w:hAnsi="仿宋" w:eastAsia="仿宋" w:cs="仿宋"/>
        </w:rPr>
        <w:t>0到3</w:t>
      </w:r>
      <w:r>
        <w:rPr>
          <w:rFonts w:hint="eastAsia" w:ascii="仿宋" w:hAnsi="仿宋" w:eastAsia="仿宋" w:cs="仿宋"/>
        </w:rPr>
        <w:t>）</w:t>
      </w:r>
      <w:r>
        <w:rPr>
          <w:rFonts w:hint="eastAsia" w:ascii="仿宋" w:hAnsi="仿宋" w:eastAsia="仿宋" w:cs="仿宋"/>
        </w:rPr>
        <w:t>。在第二阶段，系统根据受访者在第一阶段答对题的数目从</w:t>
      </w:r>
      <w:r>
        <w:rPr>
          <w:rFonts w:hint="eastAsia" w:ascii="仿宋" w:hAnsi="仿宋" w:eastAsia="仿宋" w:cs="仿宋"/>
          <w:lang w:eastAsia="zh-Hans"/>
        </w:rPr>
        <w:t>难度呈梯度分布的</w:t>
      </w:r>
      <w:r>
        <w:rPr>
          <w:rFonts w:hint="eastAsia" w:ascii="仿宋" w:hAnsi="仿宋" w:eastAsia="仿宋" w:cs="仿宋"/>
        </w:rPr>
        <w:t>四组题中选择相对应的一组题发放给受访者。第一阶段答对题数越多的个体在第二阶段将会接受更难的测试。</w:t>
      </w:r>
      <w:r>
        <w:rPr>
          <w:rFonts w:hint="eastAsia" w:ascii="仿宋" w:hAnsi="仿宋" w:eastAsia="仿宋" w:cs="仿宋"/>
          <w:lang w:eastAsia="zh-Hans"/>
        </w:rPr>
        <w:t>受访者依据其答对每道题</w:t>
      </w:r>
      <w:r>
        <w:rPr>
          <w:rFonts w:hint="eastAsia" w:ascii="仿宋" w:hAnsi="仿宋" w:eastAsia="仿宋" w:cs="仿宋"/>
        </w:rPr>
        <w:t>的</w:t>
      </w:r>
      <w:r>
        <w:rPr>
          <w:rFonts w:hint="eastAsia" w:ascii="仿宋" w:hAnsi="仿宋" w:eastAsia="仿宋" w:cs="仿宋"/>
          <w:lang w:eastAsia="zh-Hans"/>
        </w:rPr>
        <w:t>概率得到数列测试得分。</w:t>
      </w:r>
    </w:p>
    <w:p>
      <w:pPr>
        <w:rPr>
          <w:rFonts w:hint="eastAsia" w:ascii="仿宋" w:hAnsi="仿宋" w:eastAsia="仿宋" w:cs="仿宋"/>
        </w:rPr>
      </w:pPr>
    </w:p>
    <w:p>
      <w:pPr>
        <w:rPr>
          <w:rFonts w:hint="eastAsia" w:ascii="仿宋" w:hAnsi="仿宋" w:eastAsia="仿宋" w:cs="仿宋"/>
          <w:sz w:val="18"/>
          <w:szCs w:val="18"/>
        </w:rPr>
      </w:pPr>
      <w:r>
        <w:rPr>
          <w:rFonts w:hint="eastAsia" w:ascii="仿宋" w:hAnsi="仿宋" w:eastAsia="仿宋" w:cs="仿宋"/>
          <w:sz w:val="18"/>
          <w:szCs w:val="18"/>
        </w:rPr>
        <w:br w:type="page"/>
      </w:r>
    </w:p>
    <w:p>
      <w:pPr>
        <w:pStyle w:val="25"/>
        <w:numPr>
          <w:numId w:val="0"/>
        </w:numPr>
        <w:ind w:leftChars="0"/>
        <w:jc w:val="center"/>
        <w:rPr>
          <w:rFonts w:hint="eastAsia" w:ascii="楷体" w:hAnsi="楷体" w:eastAsia="楷体" w:cs="楷体"/>
          <w:sz w:val="28"/>
          <w:szCs w:val="36"/>
        </w:rPr>
      </w:pPr>
      <w:bookmarkStart w:id="2" w:name="_Toc145418276"/>
      <w:r>
        <w:rPr>
          <w:rFonts w:hint="eastAsia" w:ascii="楷体" w:hAnsi="楷体" w:eastAsia="楷体" w:cs="楷体"/>
          <w:sz w:val="28"/>
          <w:szCs w:val="36"/>
          <w:lang w:val="en-US" w:eastAsia="zh-CN"/>
        </w:rPr>
        <w:t xml:space="preserve">附录Ⅲ </w:t>
      </w:r>
      <w:r>
        <w:rPr>
          <w:rFonts w:hint="eastAsia" w:ascii="楷体" w:hAnsi="楷体" w:eastAsia="楷体" w:cs="楷体"/>
          <w:sz w:val="28"/>
          <w:szCs w:val="36"/>
        </w:rPr>
        <w:t>安慰剂检验</w:t>
      </w:r>
      <w:bookmarkEnd w:id="2"/>
    </w:p>
    <w:p>
      <w:pPr>
        <w:snapToGrid w:val="0"/>
        <w:ind w:firstLine="420"/>
        <w:rPr>
          <w:rFonts w:hint="eastAsia" w:ascii="仿宋" w:hAnsi="仿宋" w:eastAsia="仿宋" w:cs="仿宋"/>
          <w:kern w:val="0"/>
          <w:szCs w:val="21"/>
        </w:rPr>
      </w:pPr>
      <w:r>
        <w:rPr>
          <w:rFonts w:hint="eastAsia" w:ascii="仿宋" w:hAnsi="仿宋" w:eastAsia="仿宋" w:cs="仿宋"/>
          <w:szCs w:val="21"/>
        </w:rPr>
        <w:t>我们</w:t>
      </w:r>
      <w:r>
        <w:rPr>
          <w:rFonts w:hint="eastAsia" w:ascii="仿宋" w:hAnsi="仿宋" w:eastAsia="仿宋" w:cs="仿宋"/>
          <w:szCs w:val="21"/>
        </w:rPr>
        <w:t>通过</w:t>
      </w:r>
      <w:r>
        <w:rPr>
          <w:rFonts w:hint="eastAsia" w:ascii="仿宋" w:hAnsi="仿宋" w:eastAsia="仿宋" w:cs="仿宋"/>
          <w:szCs w:val="21"/>
          <w:lang w:eastAsia="zh-Hans"/>
        </w:rPr>
        <w:t>开展</w:t>
      </w:r>
      <w:r>
        <w:rPr>
          <w:rFonts w:hint="eastAsia" w:ascii="仿宋" w:hAnsi="仿宋" w:eastAsia="仿宋" w:cs="仿宋"/>
          <w:szCs w:val="21"/>
        </w:rPr>
        <w:t>安慰剂检验</w:t>
      </w:r>
      <w:r>
        <w:rPr>
          <w:rFonts w:hint="eastAsia" w:ascii="仿宋" w:hAnsi="仿宋" w:eastAsia="仿宋" w:cs="仿宋"/>
          <w:szCs w:val="21"/>
        </w:rPr>
        <w:t>来考察</w:t>
      </w:r>
      <w:r>
        <w:rPr>
          <w:rFonts w:hint="eastAsia" w:ascii="仿宋" w:hAnsi="仿宋" w:eastAsia="仿宋" w:cs="仿宋"/>
          <w:szCs w:val="21"/>
        </w:rPr>
        <w:t>双重差分识别策略的有效性。我们使用16</w:t>
      </w:r>
      <w:r>
        <w:rPr>
          <w:rFonts w:hint="eastAsia" w:ascii="仿宋" w:hAnsi="仿宋" w:eastAsia="仿宋" w:cs="仿宋"/>
          <w:szCs w:val="21"/>
          <w:lang w:eastAsia="zh-Hans"/>
        </w:rPr>
        <w:t>–</w:t>
      </w:r>
      <w:r>
        <w:rPr>
          <w:rFonts w:hint="eastAsia" w:ascii="仿宋" w:hAnsi="仿宋" w:eastAsia="仿宋" w:cs="仿宋"/>
          <w:szCs w:val="21"/>
        </w:rPr>
        <w:t>21岁个体的样本，并将学前教育普及项目的实施</w:t>
      </w:r>
      <w:r>
        <w:rPr>
          <w:rFonts w:hint="eastAsia" w:ascii="仿宋" w:hAnsi="仿宋" w:eastAsia="仿宋" w:cs="仿宋"/>
          <w:kern w:val="0"/>
          <w:szCs w:val="21"/>
        </w:rPr>
        <w:t>时间往前推移了6年，即我们</w:t>
      </w:r>
      <w:r>
        <w:rPr>
          <w:rFonts w:hint="eastAsia" w:ascii="仿宋" w:hAnsi="仿宋" w:eastAsia="仿宋" w:cs="仿宋"/>
          <w:kern w:val="0"/>
          <w:szCs w:val="21"/>
        </w:rPr>
        <w:t>将</w:t>
      </w:r>
      <w:r>
        <w:rPr>
          <w:rFonts w:hint="eastAsia" w:ascii="仿宋" w:hAnsi="仿宋" w:eastAsia="仿宋" w:cs="仿宋"/>
          <w:kern w:val="0"/>
          <w:szCs w:val="21"/>
        </w:rPr>
        <w:t>儿童11岁时所在地级市的幼儿园</w:t>
      </w:r>
      <w:r>
        <w:rPr>
          <w:rFonts w:hint="eastAsia" w:ascii="仿宋" w:hAnsi="仿宋" w:eastAsia="仿宋" w:cs="仿宋"/>
          <w:kern w:val="0"/>
          <w:szCs w:val="21"/>
          <w:lang w:eastAsia="zh-Hans"/>
        </w:rPr>
        <w:t>密度</w:t>
      </w:r>
      <w:r>
        <w:rPr>
          <w:rFonts w:hint="eastAsia" w:ascii="仿宋" w:hAnsi="仿宋" w:eastAsia="仿宋" w:cs="仿宋"/>
          <w:kern w:val="0"/>
          <w:szCs w:val="21"/>
        </w:rPr>
        <w:t>作为核心解释变量。由于儿童7周岁之前就已经上小学，11岁时所在地级市的幼儿园</w:t>
      </w:r>
      <w:r>
        <w:rPr>
          <w:rFonts w:hint="eastAsia" w:ascii="仿宋" w:hAnsi="仿宋" w:eastAsia="仿宋" w:cs="仿宋"/>
          <w:kern w:val="0"/>
          <w:szCs w:val="21"/>
          <w:lang w:eastAsia="zh-Hans"/>
        </w:rPr>
        <w:t>密度</w:t>
      </w:r>
      <w:r>
        <w:rPr>
          <w:rFonts w:hint="eastAsia" w:ascii="仿宋" w:hAnsi="仿宋" w:eastAsia="仿宋" w:cs="仿宋"/>
          <w:kern w:val="0"/>
          <w:szCs w:val="21"/>
        </w:rPr>
        <w:t>不应该影响该儿童入学幼儿园的概率及认知能力。</w:t>
      </w:r>
    </w:p>
    <w:p>
      <w:pPr>
        <w:snapToGrid w:val="0"/>
        <w:ind w:firstLine="420" w:firstLineChars="200"/>
        <w:rPr>
          <w:rFonts w:hint="eastAsia" w:ascii="仿宋" w:hAnsi="仿宋" w:eastAsia="仿宋" w:cs="仿宋"/>
          <w:szCs w:val="21"/>
          <w:lang w:eastAsia="zh-Hans"/>
        </w:rPr>
      </w:pPr>
      <w:r>
        <w:rPr>
          <w:rFonts w:hint="eastAsia" w:ascii="仿宋" w:hAnsi="仿宋" w:eastAsia="仿宋" w:cs="仿宋"/>
          <w:szCs w:val="21"/>
        </w:rPr>
        <w:t>表</w:t>
      </w:r>
      <w:r>
        <w:rPr>
          <w:rFonts w:hint="eastAsia" w:ascii="仿宋" w:hAnsi="仿宋" w:eastAsia="仿宋" w:cs="仿宋"/>
          <w:color w:val="000000"/>
          <w:kern w:val="0"/>
          <w:szCs w:val="21"/>
        </w:rPr>
        <w:t>III</w:t>
      </w:r>
      <w:r>
        <w:rPr>
          <w:rFonts w:hint="eastAsia" w:ascii="仿宋" w:hAnsi="仿宋" w:eastAsia="仿宋" w:cs="仿宋"/>
          <w:color w:val="000000"/>
          <w:kern w:val="0"/>
          <w:szCs w:val="21"/>
        </w:rPr>
        <w:t>1</w:t>
      </w:r>
      <w:r>
        <w:rPr>
          <w:rFonts w:hint="eastAsia" w:ascii="仿宋" w:hAnsi="仿宋" w:eastAsia="仿宋" w:cs="仿宋"/>
          <w:szCs w:val="21"/>
        </w:rPr>
        <w:t>报告了安慰剂检验的结果。儿童11岁时所在地级市的幼儿园密度对幼儿园</w:t>
      </w:r>
      <w:r>
        <w:rPr>
          <w:rFonts w:hint="eastAsia" w:ascii="仿宋" w:hAnsi="仿宋" w:eastAsia="仿宋" w:cs="仿宋"/>
          <w:szCs w:val="21"/>
          <w:lang w:eastAsia="zh-Hans"/>
        </w:rPr>
        <w:t>入学</w:t>
      </w:r>
      <w:r>
        <w:rPr>
          <w:rFonts w:hint="eastAsia" w:ascii="仿宋" w:hAnsi="仿宋" w:eastAsia="仿宋" w:cs="仿宋"/>
          <w:szCs w:val="21"/>
        </w:rPr>
        <w:t>的影响为负，且</w:t>
      </w:r>
      <w:r>
        <w:rPr>
          <w:rFonts w:hint="eastAsia" w:ascii="仿宋" w:hAnsi="仿宋" w:eastAsia="仿宋" w:cs="仿宋"/>
          <w:szCs w:val="21"/>
          <w:lang w:eastAsia="zh-Hans"/>
        </w:rPr>
        <w:t>在统计上不</w:t>
      </w:r>
      <w:r>
        <w:rPr>
          <w:rFonts w:hint="eastAsia" w:ascii="仿宋" w:hAnsi="仿宋" w:eastAsia="仿宋" w:cs="仿宋"/>
          <w:kern w:val="0"/>
          <w:szCs w:val="21"/>
          <w:lang w:eastAsia="zh-Hans"/>
        </w:rPr>
        <w:t>显著</w:t>
      </w:r>
      <w:r>
        <w:rPr>
          <w:rFonts w:hint="eastAsia" w:ascii="仿宋" w:hAnsi="仿宋" w:eastAsia="仿宋" w:cs="仿宋"/>
          <w:kern w:val="0"/>
          <w:szCs w:val="21"/>
        </w:rPr>
        <w:t>。</w:t>
      </w:r>
      <w:r>
        <w:rPr>
          <w:rFonts w:hint="eastAsia" w:ascii="仿宋" w:hAnsi="仿宋" w:eastAsia="仿宋" w:cs="仿宋"/>
          <w:szCs w:val="21"/>
        </w:rPr>
        <w:t>这</w:t>
      </w:r>
      <w:r>
        <w:rPr>
          <w:rFonts w:hint="eastAsia" w:ascii="仿宋" w:hAnsi="仿宋" w:eastAsia="仿宋" w:cs="仿宋"/>
          <w:szCs w:val="21"/>
          <w:lang w:eastAsia="zh-Hans"/>
        </w:rPr>
        <w:t>意味着</w:t>
      </w:r>
      <w:r>
        <w:rPr>
          <w:rFonts w:hint="eastAsia" w:ascii="仿宋" w:hAnsi="仿宋" w:eastAsia="仿宋" w:cs="仿宋"/>
          <w:kern w:val="0"/>
          <w:szCs w:val="21"/>
          <w:lang w:eastAsia="zh-Hans"/>
        </w:rPr>
        <w:t>，</w:t>
      </w:r>
      <w:r>
        <w:rPr>
          <w:rFonts w:hint="eastAsia" w:ascii="仿宋" w:hAnsi="仿宋" w:eastAsia="仿宋" w:cs="仿宋"/>
          <w:szCs w:val="21"/>
          <w:lang w:eastAsia="zh-Hans"/>
        </w:rPr>
        <w:t>在</w:t>
      </w:r>
      <w:r>
        <w:rPr>
          <w:rFonts w:hint="eastAsia" w:ascii="仿宋" w:hAnsi="仿宋" w:eastAsia="仿宋" w:cs="仿宋"/>
          <w:szCs w:val="21"/>
        </w:rPr>
        <w:t>实施</w:t>
      </w:r>
      <w:r>
        <w:rPr>
          <w:rFonts w:hint="eastAsia" w:ascii="仿宋" w:hAnsi="仿宋" w:eastAsia="仿宋" w:cs="仿宋"/>
          <w:kern w:val="0"/>
          <w:szCs w:val="21"/>
        </w:rPr>
        <w:t>学前教育普及项目</w:t>
      </w:r>
      <w:r>
        <w:rPr>
          <w:rFonts w:hint="eastAsia" w:ascii="仿宋" w:hAnsi="仿宋" w:eastAsia="仿宋" w:cs="仿宋"/>
          <w:kern w:val="0"/>
          <w:szCs w:val="21"/>
          <w:lang w:eastAsia="zh-Hans"/>
        </w:rPr>
        <w:t>前，</w:t>
      </w:r>
      <w:r>
        <w:rPr>
          <w:rFonts w:hint="eastAsia" w:ascii="仿宋" w:hAnsi="仿宋" w:eastAsia="仿宋" w:cs="仿宋"/>
          <w:szCs w:val="21"/>
          <w:lang w:eastAsia="zh-Hans"/>
        </w:rPr>
        <w:t>事后幼儿园密度快速增长</w:t>
      </w:r>
      <w:r>
        <w:rPr>
          <w:rFonts w:hint="eastAsia" w:ascii="仿宋" w:hAnsi="仿宋" w:eastAsia="仿宋" w:cs="仿宋"/>
          <w:szCs w:val="21"/>
        </w:rPr>
        <w:t>和慢速增长</w:t>
      </w:r>
      <w:r>
        <w:rPr>
          <w:rFonts w:hint="eastAsia" w:ascii="仿宋" w:hAnsi="仿宋" w:eastAsia="仿宋" w:cs="仿宋"/>
          <w:szCs w:val="21"/>
          <w:lang w:eastAsia="zh-Hans"/>
        </w:rPr>
        <w:t>地区</w:t>
      </w:r>
      <w:r>
        <w:rPr>
          <w:rFonts w:hint="eastAsia" w:ascii="仿宋" w:hAnsi="仿宋" w:eastAsia="仿宋" w:cs="仿宋"/>
          <w:kern w:val="0"/>
          <w:szCs w:val="21"/>
        </w:rPr>
        <w:t>在</w:t>
      </w:r>
      <w:r>
        <w:rPr>
          <w:rFonts w:hint="eastAsia" w:ascii="仿宋" w:hAnsi="仿宋" w:eastAsia="仿宋" w:cs="仿宋"/>
          <w:kern w:val="0"/>
          <w:szCs w:val="21"/>
          <w:lang w:eastAsia="zh-Hans"/>
        </w:rPr>
        <w:t>幼儿园入学概率的出生队列趋势</w:t>
      </w:r>
      <w:r>
        <w:rPr>
          <w:rFonts w:hint="eastAsia" w:ascii="仿宋" w:hAnsi="仿宋" w:eastAsia="仿宋" w:cs="仿宋"/>
          <w:kern w:val="0"/>
          <w:szCs w:val="21"/>
        </w:rPr>
        <w:t>上</w:t>
      </w:r>
      <w:r>
        <w:rPr>
          <w:rFonts w:hint="eastAsia" w:ascii="仿宋" w:hAnsi="仿宋" w:eastAsia="仿宋" w:cs="仿宋"/>
          <w:kern w:val="0"/>
          <w:szCs w:val="21"/>
          <w:lang w:eastAsia="zh-Hans"/>
        </w:rPr>
        <w:t>没有显著差异</w:t>
      </w:r>
      <w:r>
        <w:rPr>
          <w:rFonts w:hint="eastAsia" w:ascii="仿宋" w:hAnsi="仿宋" w:eastAsia="仿宋" w:cs="仿宋"/>
          <w:szCs w:val="21"/>
        </w:rPr>
        <w:t>。</w:t>
      </w:r>
      <w:r>
        <w:rPr>
          <w:rFonts w:hint="eastAsia" w:ascii="仿宋" w:hAnsi="仿宋" w:eastAsia="仿宋" w:cs="仿宋"/>
          <w:kern w:val="0"/>
          <w:szCs w:val="21"/>
        </w:rPr>
        <w:t>此外，我们还发现儿童11岁时所在地级市的幼儿园</w:t>
      </w:r>
      <w:r>
        <w:rPr>
          <w:rFonts w:hint="eastAsia" w:ascii="仿宋" w:hAnsi="仿宋" w:eastAsia="仿宋" w:cs="仿宋"/>
          <w:kern w:val="0"/>
          <w:szCs w:val="21"/>
          <w:lang w:eastAsia="zh-Hans"/>
        </w:rPr>
        <w:t>密度</w:t>
      </w:r>
      <w:r>
        <w:rPr>
          <w:rFonts w:hint="eastAsia" w:ascii="仿宋" w:hAnsi="仿宋" w:eastAsia="仿宋" w:cs="仿宋"/>
          <w:kern w:val="0"/>
          <w:szCs w:val="21"/>
        </w:rPr>
        <w:t>对其认知能力没有显著影响。总之，基于安慰剂检验的结果，我们排除了估计结果是由其他不可观测的出生</w:t>
      </w:r>
      <w:r>
        <w:rPr>
          <w:rFonts w:hint="eastAsia" w:ascii="仿宋" w:hAnsi="仿宋" w:eastAsia="仿宋" w:cs="仿宋"/>
          <w:szCs w:val="21"/>
          <w:lang w:eastAsia="zh-Hans"/>
        </w:rPr>
        <w:t>队列趋势导致的可能性。</w:t>
      </w:r>
    </w:p>
    <w:p>
      <w:pPr>
        <w:snapToGrid w:val="0"/>
        <w:ind w:firstLine="420" w:firstLineChars="200"/>
        <w:rPr>
          <w:rFonts w:hint="eastAsia" w:ascii="仿宋" w:hAnsi="仿宋" w:eastAsia="仿宋" w:cs="仿宋"/>
          <w:szCs w:val="21"/>
          <w:lang w:eastAsia="zh-Hans"/>
        </w:rPr>
      </w:pPr>
    </w:p>
    <w:p>
      <w:pPr>
        <w:autoSpaceDE w:val="0"/>
        <w:autoSpaceDN w:val="0"/>
        <w:adjustRightInd w:val="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表III1 安慰剂检验：16–21岁样本</w:t>
      </w:r>
    </w:p>
    <w:tbl>
      <w:tblPr>
        <w:tblStyle w:val="16"/>
        <w:tblW w:w="8931" w:type="dxa"/>
        <w:jc w:val="center"/>
        <w:tblLayout w:type="fixed"/>
        <w:tblCellMar>
          <w:top w:w="0" w:type="dxa"/>
          <w:left w:w="75" w:type="dxa"/>
          <w:bottom w:w="0" w:type="dxa"/>
          <w:right w:w="75" w:type="dxa"/>
        </w:tblCellMar>
      </w:tblPr>
      <w:tblGrid>
        <w:gridCol w:w="3545"/>
        <w:gridCol w:w="1346"/>
        <w:gridCol w:w="1347"/>
        <w:gridCol w:w="1346"/>
        <w:gridCol w:w="1347"/>
      </w:tblGrid>
      <w:tr>
        <w:tblPrEx>
          <w:tblCellMar>
            <w:top w:w="0" w:type="dxa"/>
            <w:left w:w="75" w:type="dxa"/>
            <w:bottom w:w="0" w:type="dxa"/>
            <w:right w:w="75" w:type="dxa"/>
          </w:tblCellMar>
        </w:tblPrEx>
        <w:trPr>
          <w:jc w:val="center"/>
        </w:trPr>
        <w:tc>
          <w:tcPr>
            <w:tcW w:w="3545" w:type="dxa"/>
            <w:tcBorders>
              <w:top w:val="single" w:color="auto" w:sz="6" w:space="0"/>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346"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(1)</w:t>
            </w:r>
          </w:p>
        </w:tc>
        <w:tc>
          <w:tcPr>
            <w:tcW w:w="1347"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(2)</w:t>
            </w:r>
          </w:p>
        </w:tc>
        <w:tc>
          <w:tcPr>
            <w:tcW w:w="1346"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(3)</w:t>
            </w:r>
          </w:p>
        </w:tc>
        <w:tc>
          <w:tcPr>
            <w:tcW w:w="1347"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(4)</w:t>
            </w:r>
          </w:p>
        </w:tc>
      </w:tr>
      <w:tr>
        <w:tblPrEx>
          <w:tblCellMar>
            <w:top w:w="0" w:type="dxa"/>
            <w:left w:w="75" w:type="dxa"/>
            <w:bottom w:w="0" w:type="dxa"/>
            <w:right w:w="75" w:type="dxa"/>
          </w:tblCellMar>
        </w:tblPrEx>
        <w:trPr>
          <w:jc w:val="center"/>
        </w:trPr>
        <w:tc>
          <w:tcPr>
            <w:tcW w:w="3545" w:type="dxa"/>
            <w:tcBorders>
              <w:top w:val="nil"/>
              <w:left w:val="nil"/>
              <w:bottom w:val="single" w:color="auto" w:sz="6" w:space="0"/>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变量</w:t>
            </w:r>
          </w:p>
        </w:tc>
        <w:tc>
          <w:tcPr>
            <w:tcW w:w="1346"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幼儿园入</w:t>
            </w:r>
            <w:r>
              <w:rPr>
                <w:rFonts w:hint="eastAsia" w:ascii="仿宋" w:hAnsi="仿宋" w:eastAsia="仿宋" w:cs="仿宋"/>
                <w:kern w:val="0"/>
                <w:sz w:val="18"/>
                <w:szCs w:val="18"/>
              </w:rPr>
              <w:t>学</w:t>
            </w:r>
          </w:p>
        </w:tc>
        <w:tc>
          <w:tcPr>
            <w:tcW w:w="134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平均认知成绩</w:t>
            </w:r>
          </w:p>
        </w:tc>
        <w:tc>
          <w:tcPr>
            <w:tcW w:w="1346"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记忆测试成绩</w:t>
            </w:r>
          </w:p>
        </w:tc>
        <w:tc>
          <w:tcPr>
            <w:tcW w:w="134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数列测试成绩</w:t>
            </w:r>
          </w:p>
        </w:tc>
      </w:tr>
      <w:tr>
        <w:tblPrEx>
          <w:tblCellMar>
            <w:top w:w="0" w:type="dxa"/>
            <w:left w:w="75" w:type="dxa"/>
            <w:bottom w:w="0" w:type="dxa"/>
            <w:right w:w="75" w:type="dxa"/>
          </w:tblCellMar>
        </w:tblPrEx>
        <w:trPr>
          <w:jc w:val="center"/>
        </w:trPr>
        <w:tc>
          <w:tcPr>
            <w:tcW w:w="3545"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346"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34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346"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34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jc w:val="center"/>
        </w:trPr>
        <w:tc>
          <w:tcPr>
            <w:tcW w:w="3545"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og（11</w:t>
            </w:r>
            <w:r>
              <w:rPr>
                <w:rFonts w:hint="eastAsia" w:ascii="仿宋" w:hAnsi="仿宋" w:eastAsia="仿宋" w:cs="仿宋"/>
                <w:kern w:val="0"/>
                <w:sz w:val="18"/>
                <w:szCs w:val="18"/>
                <w:lang w:eastAsia="zh-Hans"/>
              </w:rPr>
              <w:t>岁时每千名适龄儿童幼儿园数量</w:t>
            </w:r>
            <w:r>
              <w:rPr>
                <w:rFonts w:hint="eastAsia" w:ascii="仿宋" w:hAnsi="仿宋" w:eastAsia="仿宋" w:cs="仿宋"/>
                <w:kern w:val="0"/>
                <w:sz w:val="18"/>
                <w:szCs w:val="18"/>
              </w:rPr>
              <w:t>）</w:t>
            </w: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-0.082</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-0.018</w:t>
            </w: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-0.27</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0.10</w:t>
            </w:r>
          </w:p>
        </w:tc>
      </w:tr>
      <w:tr>
        <w:tblPrEx>
          <w:tblCellMar>
            <w:top w:w="0" w:type="dxa"/>
            <w:left w:w="75" w:type="dxa"/>
            <w:bottom w:w="0" w:type="dxa"/>
            <w:right w:w="75" w:type="dxa"/>
          </w:tblCellMar>
        </w:tblPrEx>
        <w:trPr>
          <w:trHeight w:val="90" w:hRule="atLeast"/>
          <w:jc w:val="center"/>
        </w:trPr>
        <w:tc>
          <w:tcPr>
            <w:tcW w:w="3545"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(0.067)</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(0.25)</w:t>
            </w: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(0.24)</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(0.25)</w:t>
            </w:r>
          </w:p>
        </w:tc>
      </w:tr>
      <w:tr>
        <w:tblPrEx>
          <w:tblCellMar>
            <w:top w:w="0" w:type="dxa"/>
            <w:left w:w="75" w:type="dxa"/>
            <w:bottom w:w="0" w:type="dxa"/>
            <w:right w:w="75" w:type="dxa"/>
          </w:tblCellMar>
        </w:tblPrEx>
        <w:trPr>
          <w:jc w:val="center"/>
        </w:trPr>
        <w:tc>
          <w:tcPr>
            <w:tcW w:w="3545"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346"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34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346"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34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jc w:val="center"/>
        </w:trPr>
        <w:tc>
          <w:tcPr>
            <w:tcW w:w="3545"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lang w:eastAsia="zh-Hans"/>
              </w:rPr>
              <w:t>观测值</w:t>
            </w: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1,597</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1,091</w:t>
            </w: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1,091</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1,100</w:t>
            </w:r>
          </w:p>
        </w:tc>
      </w:tr>
      <w:tr>
        <w:tblPrEx>
          <w:tblCellMar>
            <w:top w:w="0" w:type="dxa"/>
            <w:left w:w="75" w:type="dxa"/>
            <w:bottom w:w="0" w:type="dxa"/>
            <w:right w:w="75" w:type="dxa"/>
          </w:tblCellMar>
        </w:tblPrEx>
        <w:trPr>
          <w:jc w:val="center"/>
        </w:trPr>
        <w:tc>
          <w:tcPr>
            <w:tcW w:w="3545"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0.571</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0.317</w:t>
            </w:r>
          </w:p>
        </w:tc>
        <w:tc>
          <w:tcPr>
            <w:tcW w:w="134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0.325</w:t>
            </w:r>
          </w:p>
        </w:tc>
        <w:tc>
          <w:tcPr>
            <w:tcW w:w="134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0.297</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3545" w:type="dxa"/>
            <w:tcBorders>
              <w:top w:val="nil"/>
              <w:left w:val="nil"/>
              <w:bottom w:val="single" w:color="auto" w:sz="6" w:space="0"/>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i/>
                <w:iCs/>
                <w:kern w:val="0"/>
                <w:sz w:val="18"/>
                <w:szCs w:val="18"/>
                <w:lang w:eastAsia="zh-Hans"/>
              </w:rPr>
              <w:t>Y</w:t>
            </w:r>
            <w:r>
              <w:rPr>
                <w:rFonts w:hint="eastAsia" w:ascii="仿宋" w:hAnsi="仿宋" w:eastAsia="仿宋" w:cs="仿宋"/>
                <w:kern w:val="0"/>
                <w:sz w:val="18"/>
                <w:szCs w:val="18"/>
                <w:lang w:eastAsia="zh-Hans"/>
              </w:rPr>
              <w:t>的均值</w:t>
            </w:r>
          </w:p>
        </w:tc>
        <w:tc>
          <w:tcPr>
            <w:tcW w:w="1346"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0.586</w:t>
            </w:r>
          </w:p>
        </w:tc>
        <w:tc>
          <w:tcPr>
            <w:tcW w:w="134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w:t>
            </w:r>
          </w:p>
        </w:tc>
        <w:tc>
          <w:tcPr>
            <w:tcW w:w="1346"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w:t>
            </w:r>
          </w:p>
        </w:tc>
        <w:tc>
          <w:tcPr>
            <w:tcW w:w="134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0</w:t>
            </w:r>
          </w:p>
        </w:tc>
      </w:tr>
    </w:tbl>
    <w:p>
      <w:pPr>
        <w:rPr>
          <w:rFonts w:hint="eastAsia" w:ascii="仿宋" w:hAnsi="仿宋" w:eastAsia="仿宋" w:cs="仿宋"/>
        </w:rPr>
      </w:pPr>
      <w:r>
        <w:rPr>
          <w:rFonts w:hint="eastAsia" w:ascii="仿宋" w:hAnsi="仿宋" w:eastAsia="仿宋" w:cs="仿宋"/>
          <w:iCs/>
          <w:sz w:val="18"/>
          <w:szCs w:val="18"/>
          <w:lang w:eastAsia="zh-Hans"/>
        </w:rPr>
        <w:t>注</w:t>
      </w:r>
      <w:r>
        <w:rPr>
          <w:rFonts w:hint="eastAsia" w:ascii="仿宋" w:hAnsi="仿宋" w:eastAsia="仿宋" w:cs="仿宋"/>
          <w:sz w:val="18"/>
          <w:szCs w:val="18"/>
        </w:rPr>
        <w:t>: 列（1）的设定与表2</w:t>
      </w:r>
      <w:r>
        <w:rPr>
          <w:rFonts w:hint="eastAsia" w:ascii="仿宋" w:hAnsi="仿宋" w:eastAsia="仿宋" w:cs="仿宋"/>
          <w:sz w:val="18"/>
          <w:szCs w:val="18"/>
          <w:lang w:eastAsia="zh-Hans"/>
        </w:rPr>
        <w:t>列</w:t>
      </w:r>
      <w:r>
        <w:rPr>
          <w:rFonts w:hint="eastAsia" w:ascii="仿宋" w:hAnsi="仿宋" w:eastAsia="仿宋" w:cs="仿宋"/>
          <w:sz w:val="18"/>
          <w:szCs w:val="18"/>
        </w:rPr>
        <w:t>（2）</w:t>
      </w:r>
      <w:r>
        <w:rPr>
          <w:rFonts w:hint="eastAsia" w:ascii="仿宋" w:hAnsi="仿宋" w:eastAsia="仿宋" w:cs="仿宋"/>
          <w:sz w:val="18"/>
          <w:szCs w:val="18"/>
          <w:lang w:eastAsia="zh-Hans"/>
        </w:rPr>
        <w:t>的设定</w:t>
      </w:r>
      <w:r>
        <w:rPr>
          <w:rFonts w:hint="eastAsia" w:ascii="仿宋" w:hAnsi="仿宋" w:eastAsia="仿宋" w:cs="仿宋"/>
          <w:sz w:val="18"/>
          <w:szCs w:val="18"/>
        </w:rPr>
        <w:t>一致，列（2）</w:t>
      </w:r>
      <w:r>
        <w:rPr>
          <w:rFonts w:hint="eastAsia" w:ascii="仿宋" w:hAnsi="仿宋" w:eastAsia="仿宋" w:cs="仿宋"/>
          <w:sz w:val="18"/>
          <w:szCs w:val="18"/>
          <w:lang w:eastAsia="zh-Hans"/>
        </w:rPr>
        <w:t>–</w:t>
      </w:r>
      <w:r>
        <w:rPr>
          <w:rFonts w:hint="eastAsia" w:ascii="仿宋" w:hAnsi="仿宋" w:eastAsia="仿宋" w:cs="仿宋"/>
          <w:sz w:val="18"/>
          <w:szCs w:val="18"/>
        </w:rPr>
        <w:t>（4）的设定与表3的Panel A一致。</w:t>
      </w:r>
      <w:r>
        <w:rPr>
          <w:rFonts w:hint="eastAsia" w:ascii="仿宋" w:hAnsi="仿宋" w:eastAsia="仿宋" w:cs="仿宋"/>
          <w:sz w:val="18"/>
          <w:szCs w:val="18"/>
          <w:lang w:eastAsia="zh-Hans"/>
        </w:rPr>
        <w:t>所有回归都控制了个体和家庭特征、出生年份</w:t>
      </w:r>
      <w:r>
        <w:rPr>
          <w:rFonts w:hint="eastAsia" w:ascii="仿宋" w:hAnsi="仿宋" w:eastAsia="仿宋" w:cs="仿宋"/>
          <w:sz w:val="18"/>
          <w:szCs w:val="18"/>
        </w:rPr>
        <w:t>固定效应</w:t>
      </w:r>
      <w:r>
        <w:rPr>
          <w:rFonts w:hint="eastAsia" w:ascii="仿宋" w:hAnsi="仿宋" w:eastAsia="仿宋" w:cs="仿宋"/>
          <w:sz w:val="18"/>
          <w:szCs w:val="18"/>
          <w:lang w:eastAsia="zh-Hans"/>
        </w:rPr>
        <w:t>、省份-出生年份</w:t>
      </w:r>
      <w:r>
        <w:rPr>
          <w:rFonts w:hint="eastAsia" w:ascii="仿宋" w:hAnsi="仿宋" w:eastAsia="仿宋" w:cs="仿宋"/>
          <w:sz w:val="18"/>
          <w:szCs w:val="18"/>
        </w:rPr>
        <w:t>固定效应、</w:t>
      </w:r>
      <w:r>
        <w:rPr>
          <w:rFonts w:hint="eastAsia" w:ascii="仿宋" w:hAnsi="仿宋" w:eastAsia="仿宋" w:cs="仿宋"/>
          <w:sz w:val="18"/>
          <w:szCs w:val="18"/>
          <w:lang w:eastAsia="zh-Hans"/>
        </w:rPr>
        <w:t>城市固定效应，以及城市前定特征</w:t>
      </w:r>
      <w:r>
        <w:rPr>
          <w:rFonts w:hint="eastAsia" w:ascii="仿宋" w:hAnsi="仿宋" w:eastAsia="仿宋" w:cs="仿宋"/>
          <w:sz w:val="18"/>
          <w:szCs w:val="18"/>
        </w:rPr>
        <w:t>与</w:t>
      </w:r>
      <w:r>
        <w:rPr>
          <w:rFonts w:hint="eastAsia" w:ascii="仿宋" w:hAnsi="仿宋" w:eastAsia="仿宋" w:cs="仿宋"/>
          <w:sz w:val="18"/>
          <w:szCs w:val="18"/>
          <w:lang w:eastAsia="zh-Hans"/>
        </w:rPr>
        <w:t>出生年份虚拟变量</w:t>
      </w:r>
      <w:r>
        <w:rPr>
          <w:rFonts w:hint="eastAsia" w:ascii="仿宋" w:hAnsi="仿宋" w:eastAsia="仿宋" w:cs="仿宋"/>
          <w:sz w:val="18"/>
          <w:szCs w:val="18"/>
        </w:rPr>
        <w:t>的交</w:t>
      </w:r>
      <w:r>
        <w:rPr>
          <w:rFonts w:hint="eastAsia" w:ascii="仿宋" w:hAnsi="仿宋" w:eastAsia="仿宋" w:cs="仿宋"/>
          <w:sz w:val="18"/>
          <w:szCs w:val="18"/>
          <w:lang w:eastAsia="zh-Hans"/>
        </w:rPr>
        <w:t>互</w:t>
      </w:r>
      <w:r>
        <w:rPr>
          <w:rFonts w:hint="eastAsia" w:ascii="仿宋" w:hAnsi="仿宋" w:eastAsia="仿宋" w:cs="仿宋"/>
          <w:sz w:val="18"/>
          <w:szCs w:val="18"/>
        </w:rPr>
        <w:t>项</w:t>
      </w:r>
      <w:r>
        <w:rPr>
          <w:rFonts w:hint="eastAsia" w:ascii="仿宋" w:hAnsi="仿宋" w:eastAsia="仿宋" w:cs="仿宋"/>
          <w:sz w:val="18"/>
          <w:szCs w:val="18"/>
          <w:lang w:eastAsia="zh-Hans"/>
        </w:rPr>
        <w:t>。括号中为城市层面聚类标准误</w:t>
      </w:r>
      <w:r>
        <w:rPr>
          <w:rFonts w:hint="eastAsia" w:ascii="仿宋" w:hAnsi="仿宋" w:eastAsia="仿宋" w:cs="仿宋"/>
          <w:sz w:val="18"/>
          <w:szCs w:val="18"/>
        </w:rPr>
        <w:t>。***、**和*分别表示1%、5%和10%的显著性水平。</w:t>
      </w:r>
    </w:p>
    <w:p>
      <w:pPr>
        <w:rPr>
          <w:rFonts w:hint="eastAsia" w:ascii="仿宋" w:hAnsi="仿宋" w:eastAsia="仿宋" w:cs="仿宋"/>
        </w:rPr>
      </w:pPr>
      <w:r>
        <w:rPr>
          <w:rFonts w:hint="eastAsia" w:ascii="仿宋" w:hAnsi="仿宋" w:eastAsia="仿宋" w:cs="仿宋"/>
        </w:rPr>
        <w:br w:type="page"/>
      </w:r>
    </w:p>
    <w:p>
      <w:pPr>
        <w:pStyle w:val="25"/>
        <w:numPr>
          <w:numId w:val="0"/>
        </w:numPr>
        <w:ind w:leftChars="0"/>
        <w:jc w:val="center"/>
        <w:rPr>
          <w:rFonts w:hint="eastAsia" w:ascii="楷体" w:hAnsi="楷体" w:eastAsia="楷体" w:cs="楷体"/>
          <w:sz w:val="28"/>
          <w:szCs w:val="36"/>
        </w:rPr>
      </w:pPr>
      <w:bookmarkStart w:id="3" w:name="_Toc145418277"/>
      <w:r>
        <w:rPr>
          <w:rFonts w:hint="eastAsia" w:ascii="楷体" w:hAnsi="楷体" w:eastAsia="楷体" w:cs="楷体"/>
          <w:sz w:val="28"/>
          <w:szCs w:val="36"/>
          <w:lang w:val="en-US" w:eastAsia="zh-CN"/>
        </w:rPr>
        <w:t xml:space="preserve">附录Ⅳ </w:t>
      </w:r>
      <w:r>
        <w:rPr>
          <w:rFonts w:hint="eastAsia" w:ascii="楷体" w:hAnsi="楷体" w:eastAsia="楷体" w:cs="楷体"/>
          <w:sz w:val="28"/>
          <w:szCs w:val="36"/>
        </w:rPr>
        <w:t>学前教育对儿童认知能力发展的异质性分析</w:t>
      </w:r>
      <w:bookmarkEnd w:id="3"/>
    </w:p>
    <w:p>
      <w:pPr>
        <w:snapToGrid w:val="0"/>
        <w:ind w:firstLine="447" w:firstLineChars="213"/>
        <w:rPr>
          <w:rFonts w:hint="eastAsia" w:ascii="仿宋" w:hAnsi="仿宋" w:eastAsia="仿宋" w:cs="仿宋"/>
          <w:szCs w:val="21"/>
        </w:rPr>
      </w:pPr>
      <w:r>
        <w:rPr>
          <w:rFonts w:hint="eastAsia" w:ascii="仿宋" w:hAnsi="仿宋" w:eastAsia="仿宋" w:cs="仿宋"/>
          <w:szCs w:val="21"/>
        </w:rPr>
        <w:t>学前教育普及项目</w:t>
      </w:r>
      <w:r>
        <w:rPr>
          <w:rFonts w:hint="eastAsia" w:ascii="仿宋" w:hAnsi="仿宋" w:eastAsia="仿宋" w:cs="仿宋"/>
          <w:szCs w:val="21"/>
          <w:lang w:eastAsia="zh-Hans"/>
        </w:rPr>
        <w:t>对儿童</w:t>
      </w:r>
      <w:r>
        <w:rPr>
          <w:rFonts w:hint="eastAsia" w:ascii="仿宋" w:hAnsi="仿宋" w:eastAsia="仿宋" w:cs="仿宋"/>
          <w:szCs w:val="21"/>
        </w:rPr>
        <w:t>认知能力</w:t>
      </w:r>
      <w:r>
        <w:rPr>
          <w:rFonts w:hint="eastAsia" w:ascii="仿宋" w:hAnsi="仿宋" w:eastAsia="仿宋" w:cs="仿宋"/>
          <w:szCs w:val="21"/>
          <w:lang w:eastAsia="zh-Hans"/>
        </w:rPr>
        <w:t>发展的影响可能依赖于儿童的性别、户口状况和家庭社会经济状况</w:t>
      </w:r>
      <w:r>
        <w:rPr>
          <w:rFonts w:hint="eastAsia" w:ascii="仿宋" w:hAnsi="仿宋" w:eastAsia="仿宋" w:cs="仿宋"/>
          <w:szCs w:val="21"/>
        </w:rPr>
        <w:t>。首先，不同性别儿童可能受</w:t>
      </w:r>
      <w:r>
        <w:rPr>
          <w:rFonts w:hint="eastAsia" w:ascii="仿宋" w:hAnsi="仿宋" w:eastAsia="仿宋" w:cs="仿宋"/>
          <w:szCs w:val="21"/>
        </w:rPr>
        <w:t>学前教育普及项目</w:t>
      </w:r>
      <w:r>
        <w:rPr>
          <w:rFonts w:hint="eastAsia" w:ascii="仿宋" w:hAnsi="仿宋" w:eastAsia="仿宋" w:cs="仿宋"/>
          <w:szCs w:val="21"/>
        </w:rPr>
        <w:t>的影响不同。</w:t>
      </w:r>
      <w:r>
        <w:rPr>
          <w:rFonts w:hint="eastAsia" w:ascii="仿宋" w:hAnsi="仿宋" w:eastAsia="仿宋" w:cs="仿宋"/>
          <w:szCs w:val="21"/>
        </w:rPr>
        <w:t>一方面，</w:t>
      </w:r>
      <w:r>
        <w:rPr>
          <w:rFonts w:hint="eastAsia" w:ascii="仿宋" w:hAnsi="仿宋" w:eastAsia="仿宋" w:cs="仿宋"/>
          <w:szCs w:val="21"/>
          <w:lang w:eastAsia="zh-Hans"/>
        </w:rPr>
        <w:t>由于中国传统文化</w:t>
      </w:r>
      <w:r>
        <w:rPr>
          <w:rFonts w:hint="eastAsia" w:ascii="仿宋" w:hAnsi="仿宋" w:eastAsia="仿宋" w:cs="仿宋"/>
          <w:szCs w:val="21"/>
        </w:rPr>
        <w:t>中对</w:t>
      </w:r>
      <w:r>
        <w:rPr>
          <w:rFonts w:hint="eastAsia" w:ascii="仿宋" w:hAnsi="仿宋" w:eastAsia="仿宋" w:cs="仿宋"/>
          <w:szCs w:val="21"/>
          <w:lang w:eastAsia="zh-Hans"/>
        </w:rPr>
        <w:t>男孩</w:t>
      </w:r>
      <w:r>
        <w:rPr>
          <w:rFonts w:hint="eastAsia" w:ascii="仿宋" w:hAnsi="仿宋" w:eastAsia="仿宋" w:cs="仿宋"/>
          <w:szCs w:val="21"/>
        </w:rPr>
        <w:t>的</w:t>
      </w:r>
      <w:r>
        <w:rPr>
          <w:rFonts w:hint="eastAsia" w:ascii="仿宋" w:hAnsi="仿宋" w:eastAsia="仿宋" w:cs="仿宋"/>
          <w:szCs w:val="21"/>
          <w:lang w:eastAsia="zh-Hans"/>
        </w:rPr>
        <w:t>偏好根深蒂固，</w:t>
      </w:r>
      <w:r>
        <w:rPr>
          <w:rFonts w:hint="eastAsia" w:ascii="仿宋" w:hAnsi="仿宋" w:eastAsia="仿宋" w:cs="仿宋"/>
          <w:szCs w:val="21"/>
        </w:rPr>
        <w:t>项目导致的幼儿园密度的提高</w:t>
      </w:r>
      <w:r>
        <w:rPr>
          <w:rFonts w:hint="eastAsia" w:ascii="仿宋" w:hAnsi="仿宋" w:eastAsia="仿宋" w:cs="仿宋"/>
          <w:szCs w:val="21"/>
          <w:lang w:eastAsia="zh-Hans"/>
        </w:rPr>
        <w:t>可能</w:t>
      </w:r>
      <w:r>
        <w:rPr>
          <w:rFonts w:hint="eastAsia" w:ascii="仿宋" w:hAnsi="仿宋" w:eastAsia="仿宋" w:cs="仿宋"/>
          <w:szCs w:val="21"/>
        </w:rPr>
        <w:t>使</w:t>
      </w:r>
      <w:r>
        <w:rPr>
          <w:rFonts w:hint="eastAsia" w:ascii="仿宋" w:hAnsi="仿宋" w:eastAsia="仿宋" w:cs="仿宋"/>
          <w:szCs w:val="21"/>
          <w:lang w:eastAsia="zh-Hans"/>
        </w:rPr>
        <w:t>男孩</w:t>
      </w:r>
      <w:r>
        <w:rPr>
          <w:rFonts w:hint="eastAsia" w:ascii="仿宋" w:hAnsi="仿宋" w:eastAsia="仿宋" w:cs="仿宋"/>
          <w:szCs w:val="21"/>
        </w:rPr>
        <w:t>优先获得入园机会，而另一方面，项目导致的幼儿园密度的提高可能使得原先没有入园机会的女孩得以接受学前教育。此外，男孩和女孩在项目启动前</w:t>
      </w:r>
      <w:r>
        <w:rPr>
          <w:rFonts w:hint="eastAsia" w:ascii="仿宋" w:hAnsi="仿宋" w:eastAsia="仿宋" w:cs="仿宋"/>
          <w:szCs w:val="21"/>
          <w:lang w:eastAsia="zh-Hans"/>
        </w:rPr>
        <w:t>接</w:t>
      </w:r>
      <w:r>
        <w:rPr>
          <w:rFonts w:hint="eastAsia" w:ascii="仿宋" w:hAnsi="仿宋" w:eastAsia="仿宋" w:cs="仿宋"/>
          <w:szCs w:val="21"/>
        </w:rPr>
        <w:t>受</w:t>
      </w:r>
      <w:r>
        <w:rPr>
          <w:rFonts w:hint="eastAsia" w:ascii="仿宋" w:hAnsi="仿宋" w:eastAsia="仿宋" w:cs="仿宋"/>
          <w:szCs w:val="21"/>
          <w:lang w:eastAsia="zh-Hans"/>
        </w:rPr>
        <w:t>的</w:t>
      </w:r>
      <w:r>
        <w:rPr>
          <w:rFonts w:hint="eastAsia" w:ascii="仿宋" w:hAnsi="仿宋" w:eastAsia="仿宋" w:cs="仿宋"/>
          <w:szCs w:val="21"/>
        </w:rPr>
        <w:t>非正式家庭教育的质量也可能不同。其次，学前教育普及项目可能会对弱势儿童产生更大的影响。在项目启动之前，弱势儿童（包括农村儿童和来自社会经济状况较差家庭的儿童）接受正式学前教育的比例较低，同时</w:t>
      </w:r>
      <w:r>
        <w:rPr>
          <w:rFonts w:hint="eastAsia" w:ascii="仿宋" w:hAnsi="仿宋" w:eastAsia="仿宋" w:cs="仿宋"/>
          <w:szCs w:val="21"/>
          <w:lang w:eastAsia="zh-Hans"/>
        </w:rPr>
        <w:t>接</w:t>
      </w:r>
      <w:r>
        <w:rPr>
          <w:rFonts w:hint="eastAsia" w:ascii="仿宋" w:hAnsi="仿宋" w:eastAsia="仿宋" w:cs="仿宋"/>
          <w:szCs w:val="21"/>
        </w:rPr>
        <w:t>受</w:t>
      </w:r>
      <w:r>
        <w:rPr>
          <w:rFonts w:hint="eastAsia" w:ascii="仿宋" w:hAnsi="仿宋" w:eastAsia="仿宋" w:cs="仿宋"/>
          <w:szCs w:val="21"/>
          <w:lang w:eastAsia="zh-Hans"/>
        </w:rPr>
        <w:t>的</w:t>
      </w:r>
      <w:r>
        <w:rPr>
          <w:rFonts w:hint="eastAsia" w:ascii="仿宋" w:hAnsi="仿宋" w:eastAsia="仿宋" w:cs="仿宋"/>
          <w:szCs w:val="21"/>
        </w:rPr>
        <w:t>非正式家庭教育的质量也</w:t>
      </w:r>
      <w:r>
        <w:rPr>
          <w:rFonts w:hint="eastAsia" w:ascii="仿宋" w:hAnsi="仿宋" w:eastAsia="仿宋" w:cs="仿宋"/>
          <w:szCs w:val="21"/>
          <w:lang w:eastAsia="zh-Hans"/>
        </w:rPr>
        <w:t>更差</w:t>
      </w:r>
      <w:r>
        <w:rPr>
          <w:rFonts w:hint="eastAsia" w:ascii="仿宋" w:hAnsi="仿宋" w:eastAsia="仿宋" w:cs="仿宋"/>
          <w:szCs w:val="21"/>
        </w:rPr>
        <w:t>。为考察学前教育影响的群体异质性，我们构造了三个指示变量：男孩、城镇儿童（儿童持有非农户口）、低社会经济</w:t>
      </w:r>
      <w:r>
        <w:rPr>
          <w:rFonts w:hint="eastAsia" w:ascii="仿宋" w:hAnsi="仿宋" w:eastAsia="仿宋" w:cs="仿宋"/>
          <w:szCs w:val="21"/>
          <w:lang w:eastAsia="zh-Hans"/>
        </w:rPr>
        <w:t>地位</w:t>
      </w:r>
      <w:r>
        <w:rPr>
          <w:rFonts w:hint="eastAsia" w:ascii="仿宋" w:hAnsi="仿宋" w:eastAsia="仿宋" w:cs="仿宋"/>
          <w:szCs w:val="21"/>
        </w:rPr>
        <w:t>家庭儿童</w:t>
      </w:r>
      <w:r>
        <w:rPr>
          <w:rFonts w:hint="eastAsia" w:ascii="仿宋" w:hAnsi="仿宋" w:eastAsia="仿宋" w:cs="仿宋"/>
          <w:szCs w:val="21"/>
        </w:rPr>
        <w:t>（</w:t>
      </w:r>
      <w:r>
        <w:rPr>
          <w:rFonts w:hint="eastAsia" w:ascii="仿宋" w:hAnsi="仿宋" w:eastAsia="仿宋" w:cs="仿宋"/>
          <w:szCs w:val="21"/>
          <w:lang w:eastAsia="zh-Hans"/>
        </w:rPr>
        <w:t>家庭人均收入低于中位数</w:t>
      </w:r>
      <w:r>
        <w:rPr>
          <w:rFonts w:hint="eastAsia" w:ascii="仿宋" w:hAnsi="仿宋" w:eastAsia="仿宋" w:cs="仿宋"/>
          <w:szCs w:val="21"/>
        </w:rPr>
        <w:t>）</w:t>
      </w:r>
      <w:r>
        <w:rPr>
          <w:rFonts w:hint="eastAsia" w:ascii="仿宋" w:hAnsi="仿宋" w:eastAsia="仿宋" w:cs="仿宋"/>
          <w:szCs w:val="21"/>
        </w:rPr>
        <w:t>，并在实证模型中加入了</w:t>
      </w:r>
      <w:r>
        <w:rPr>
          <w:rFonts w:hint="eastAsia" w:ascii="仿宋" w:hAnsi="仿宋" w:eastAsia="仿宋" w:cs="仿宋"/>
          <w:szCs w:val="21"/>
          <w:lang w:eastAsia="zh-Hans"/>
        </w:rPr>
        <w:t>儿童在</w:t>
      </w:r>
      <w:r>
        <w:rPr>
          <w:rFonts w:hint="eastAsia" w:ascii="仿宋" w:hAnsi="仿宋" w:eastAsia="仿宋" w:cs="仿宋"/>
          <w:szCs w:val="21"/>
        </w:rPr>
        <w:t>5</w:t>
      </w:r>
      <w:r>
        <w:rPr>
          <w:rFonts w:hint="eastAsia" w:ascii="仿宋" w:hAnsi="仿宋" w:eastAsia="仿宋" w:cs="仿宋"/>
          <w:szCs w:val="21"/>
        </w:rPr>
        <w:t>岁时所在地级市每千名适龄儿童幼儿园数量的对数和这些指示变量</w:t>
      </w:r>
      <w:r>
        <w:rPr>
          <w:rFonts w:hint="eastAsia" w:ascii="仿宋" w:hAnsi="仿宋" w:eastAsia="仿宋" w:cs="仿宋"/>
          <w:szCs w:val="21"/>
        </w:rPr>
        <w:t>的</w:t>
      </w:r>
      <w:r>
        <w:rPr>
          <w:rFonts w:hint="eastAsia" w:ascii="仿宋" w:hAnsi="仿宋" w:eastAsia="仿宋" w:cs="仿宋"/>
          <w:szCs w:val="21"/>
        </w:rPr>
        <w:t>交互项。</w:t>
      </w:r>
    </w:p>
    <w:p>
      <w:pPr>
        <w:snapToGrid w:val="0"/>
        <w:ind w:firstLine="447" w:firstLineChars="213"/>
        <w:rPr>
          <w:rFonts w:hint="eastAsia" w:ascii="仿宋" w:hAnsi="仿宋" w:eastAsia="仿宋" w:cs="仿宋"/>
          <w:szCs w:val="21"/>
        </w:rPr>
      </w:pPr>
      <w:r>
        <w:rPr>
          <w:rFonts w:hint="eastAsia" w:ascii="仿宋" w:hAnsi="仿宋" w:eastAsia="仿宋" w:cs="仿宋"/>
          <w:szCs w:val="21"/>
        </w:rPr>
        <w:t>表</w:t>
      </w:r>
      <w:r>
        <w:rPr>
          <w:rFonts w:hint="eastAsia" w:ascii="仿宋" w:hAnsi="仿宋" w:eastAsia="仿宋" w:cs="仿宋"/>
          <w:szCs w:val="21"/>
        </w:rPr>
        <w:t>IV1</w:t>
      </w:r>
      <w:r>
        <w:rPr>
          <w:rFonts w:hint="eastAsia" w:ascii="仿宋" w:hAnsi="仿宋" w:eastAsia="仿宋" w:cs="仿宋"/>
          <w:szCs w:val="21"/>
        </w:rPr>
        <w:t>报告了学前教育普及项目对儿童认知能力的异质性影响。Panel A显示，儿童5岁时所在地级市幼儿园密度的增长对儿童入园概率和认知能力发展的影响没有显著的性别差异。Panel B显示，儿童的入园概率和认知能力发展受学前教育普及项目的影响不存在显著的城乡差异。最后，Panel C的结果显示，相较于来自社会经济地位较高家庭的儿童，幼儿园密度的增长对来自社会经济地位较低家庭的儿童入园概率的影响稍大，对这些儿童的数列逻辑得分的影响也更大，提示该项目可能可以缩小不同家庭背景的儿童在认知能力上的差距。</w:t>
      </w:r>
    </w:p>
    <w:p>
      <w:pPr>
        <w:autoSpaceDE w:val="0"/>
        <w:autoSpaceDN w:val="0"/>
        <w:adjustRightInd w:val="0"/>
        <w:jc w:val="center"/>
        <w:rPr>
          <w:rFonts w:hint="eastAsia" w:ascii="仿宋" w:hAnsi="仿宋" w:eastAsia="仿宋" w:cs="仿宋"/>
          <w:color w:val="000000"/>
          <w:kern w:val="0"/>
          <w:szCs w:val="21"/>
        </w:rPr>
      </w:pPr>
    </w:p>
    <w:p>
      <w:pPr>
        <w:autoSpaceDE w:val="0"/>
        <w:autoSpaceDN w:val="0"/>
        <w:adjustRightInd w:val="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表IV1 幼儿园对认知能力的异质性影响</w:t>
      </w:r>
    </w:p>
    <w:tbl>
      <w:tblPr>
        <w:tblStyle w:val="16"/>
        <w:tblW w:w="8222" w:type="dxa"/>
        <w:jc w:val="center"/>
        <w:tblLayout w:type="fixed"/>
        <w:tblCellMar>
          <w:top w:w="0" w:type="dxa"/>
          <w:left w:w="75" w:type="dxa"/>
          <w:bottom w:w="0" w:type="dxa"/>
          <w:right w:w="75" w:type="dxa"/>
        </w:tblCellMar>
      </w:tblPr>
      <w:tblGrid>
        <w:gridCol w:w="4253"/>
        <w:gridCol w:w="1134"/>
        <w:gridCol w:w="992"/>
        <w:gridCol w:w="936"/>
        <w:gridCol w:w="907"/>
      </w:tblGrid>
      <w:tr>
        <w:tblPrEx>
          <w:tblCellMar>
            <w:top w:w="0" w:type="dxa"/>
            <w:left w:w="75" w:type="dxa"/>
            <w:bottom w:w="0" w:type="dxa"/>
            <w:right w:w="75" w:type="dxa"/>
          </w:tblCellMar>
        </w:tblPrEx>
        <w:trPr>
          <w:cantSplit/>
          <w:trHeight w:val="244" w:hRule="atLeast"/>
          <w:jc w:val="center"/>
        </w:trPr>
        <w:tc>
          <w:tcPr>
            <w:tcW w:w="4253" w:type="dxa"/>
            <w:tcBorders>
              <w:top w:val="single" w:color="auto" w:sz="6" w:space="0"/>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134"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(1)</w:t>
            </w:r>
          </w:p>
        </w:tc>
        <w:tc>
          <w:tcPr>
            <w:tcW w:w="992"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(2)</w:t>
            </w:r>
          </w:p>
        </w:tc>
        <w:tc>
          <w:tcPr>
            <w:tcW w:w="936"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(3)</w:t>
            </w:r>
          </w:p>
        </w:tc>
        <w:tc>
          <w:tcPr>
            <w:tcW w:w="907" w:type="dxa"/>
            <w:tcBorders>
              <w:top w:val="single" w:color="auto" w:sz="6" w:space="0"/>
              <w:left w:val="nil"/>
              <w:bottom w:val="nil"/>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(4)</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single" w:color="auto" w:sz="6" w:space="0"/>
              <w:right w:val="nil"/>
            </w:tcBorders>
          </w:tcPr>
          <w:p>
            <w:pPr>
              <w:autoSpaceDE w:val="0"/>
              <w:autoSpaceDN w:val="0"/>
              <w:adjustRightInd w:val="0"/>
              <w:jc w:val="left"/>
              <w:rPr>
                <w:rFonts w:hint="eastAsia" w:ascii="仿宋" w:hAnsi="仿宋" w:eastAsia="仿宋" w:cs="仿宋"/>
                <w:kern w:val="0"/>
                <w:sz w:val="18"/>
                <w:szCs w:val="18"/>
                <w:lang w:eastAsia="zh-Hans"/>
              </w:rPr>
            </w:pPr>
          </w:p>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lang w:eastAsia="zh-Hans"/>
              </w:rPr>
              <w:t>变量</w:t>
            </w:r>
          </w:p>
        </w:tc>
        <w:tc>
          <w:tcPr>
            <w:tcW w:w="1134"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幼儿园入学</w:t>
            </w:r>
          </w:p>
        </w:tc>
        <w:tc>
          <w:tcPr>
            <w:tcW w:w="992"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平均认知成绩</w:t>
            </w:r>
          </w:p>
        </w:tc>
        <w:tc>
          <w:tcPr>
            <w:tcW w:w="936"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记忆测试成绩</w:t>
            </w:r>
          </w:p>
        </w:tc>
        <w:tc>
          <w:tcPr>
            <w:tcW w:w="90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数列测试成绩</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ind w:hanging="79"/>
              <w:jc w:val="left"/>
              <w:rPr>
                <w:rFonts w:hint="eastAsia" w:ascii="仿宋" w:hAnsi="仿宋" w:eastAsia="仿宋" w:cs="仿宋"/>
                <w:bCs/>
                <w:kern w:val="0"/>
                <w:sz w:val="18"/>
                <w:szCs w:val="18"/>
              </w:rPr>
            </w:pPr>
            <w:r>
              <w:rPr>
                <w:rFonts w:hint="eastAsia" w:ascii="仿宋" w:hAnsi="仿宋" w:eastAsia="仿宋" w:cs="仿宋"/>
                <w:bCs/>
                <w:kern w:val="0"/>
                <w:sz w:val="18"/>
                <w:szCs w:val="18"/>
              </w:rPr>
              <w:t xml:space="preserve">Panel A. </w:t>
            </w:r>
            <w:r>
              <w:rPr>
                <w:rFonts w:hint="eastAsia" w:ascii="仿宋" w:hAnsi="仿宋" w:eastAsia="仿宋" w:cs="仿宋"/>
                <w:bCs/>
                <w:kern w:val="0"/>
                <w:sz w:val="18"/>
                <w:szCs w:val="18"/>
                <w:lang w:eastAsia="zh-Hans"/>
              </w:rPr>
              <w:t>性别</w:t>
            </w:r>
          </w:p>
        </w:tc>
        <w:tc>
          <w:tcPr>
            <w:tcW w:w="1134"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92"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36"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0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b/>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每千名适龄儿童幼儿园数量</w:t>
            </w:r>
            <w:r>
              <w:rPr>
                <w:rFonts w:hint="eastAsia" w:ascii="仿宋" w:hAnsi="仿宋" w:eastAsia="仿宋" w:cs="仿宋"/>
                <w:kern w:val="0"/>
                <w:sz w:val="18"/>
                <w:szCs w:val="18"/>
              </w:rPr>
              <w:t>）</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0.36***</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0.33*</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0.080</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0.35**</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b/>
                <w:kern w:val="0"/>
                <w:sz w:val="18"/>
                <w:szCs w:val="18"/>
              </w:rPr>
            </w:pP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(0.065)</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(0.17)</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(0.17)</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(0.16)</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b/>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每千名适龄儿童幼儿园数量</w:t>
            </w:r>
            <w:r>
              <w:rPr>
                <w:rFonts w:hint="eastAsia" w:ascii="仿宋" w:hAnsi="仿宋" w:eastAsia="仿宋" w:cs="仿宋"/>
                <w:kern w:val="0"/>
                <w:sz w:val="18"/>
                <w:szCs w:val="18"/>
              </w:rPr>
              <w:t>）</w:t>
            </w:r>
            <m:oMath>
              <m:r>
                <m:rPr/>
                <w:rPr>
                  <w:rFonts w:hint="eastAsia" w:ascii="Cambria Math" w:hAnsi="Cambria Math" w:eastAsia="仿宋" w:cs="仿宋"/>
                  <w:kern w:val="0"/>
                  <w:sz w:val="18"/>
                  <w:szCs w:val="18"/>
                </w:rPr>
                <m:t>×</m:t>
              </m:r>
            </m:oMath>
            <w:r>
              <w:rPr>
                <w:rFonts w:hint="eastAsia" w:ascii="仿宋" w:hAnsi="仿宋" w:eastAsia="仿宋" w:cs="仿宋"/>
                <w:kern w:val="0"/>
                <w:sz w:val="18"/>
                <w:szCs w:val="18"/>
              </w:rPr>
              <w:t>男孩</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-0.0058</w:t>
            </w:r>
          </w:p>
        </w:tc>
        <w:tc>
          <w:tcPr>
            <w:tcW w:w="992"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0.041</w:t>
            </w:r>
          </w:p>
        </w:tc>
        <w:tc>
          <w:tcPr>
            <w:tcW w:w="936"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0.023</w:t>
            </w:r>
          </w:p>
        </w:tc>
        <w:tc>
          <w:tcPr>
            <w:tcW w:w="90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0.043</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b/>
                <w:kern w:val="0"/>
                <w:sz w:val="18"/>
                <w:szCs w:val="18"/>
              </w:rPr>
            </w:pP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(0.020)</w:t>
            </w:r>
          </w:p>
        </w:tc>
        <w:tc>
          <w:tcPr>
            <w:tcW w:w="992"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(0.066)</w:t>
            </w:r>
          </w:p>
        </w:tc>
        <w:tc>
          <w:tcPr>
            <w:tcW w:w="936"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(0.068)</w:t>
            </w:r>
          </w:p>
        </w:tc>
        <w:tc>
          <w:tcPr>
            <w:tcW w:w="90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(0.073)</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b/>
                <w:kern w:val="0"/>
                <w:sz w:val="18"/>
                <w:szCs w:val="18"/>
              </w:rPr>
            </w:pPr>
            <w:r>
              <w:rPr>
                <w:rFonts w:hint="eastAsia" w:ascii="仿宋" w:hAnsi="仿宋" w:eastAsia="仿宋" w:cs="仿宋"/>
                <w:kern w:val="0"/>
                <w:sz w:val="18"/>
                <w:szCs w:val="18"/>
                <w:lang w:eastAsia="zh-Hans"/>
              </w:rPr>
              <w:t>观测值</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1,489</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1,339</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1,339</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1,344</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b/>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0.475</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0.311</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0.291</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0.273</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ind w:hanging="79"/>
              <w:jc w:val="left"/>
              <w:rPr>
                <w:rFonts w:hint="eastAsia" w:ascii="仿宋" w:hAnsi="仿宋" w:eastAsia="仿宋" w:cs="仿宋"/>
                <w:bCs/>
                <w:kern w:val="0"/>
                <w:sz w:val="18"/>
                <w:szCs w:val="18"/>
              </w:rPr>
            </w:pPr>
            <w:r>
              <w:rPr>
                <w:rFonts w:hint="eastAsia" w:ascii="仿宋" w:hAnsi="仿宋" w:eastAsia="仿宋" w:cs="仿宋"/>
                <w:bCs/>
                <w:kern w:val="0"/>
                <w:sz w:val="18"/>
                <w:szCs w:val="18"/>
              </w:rPr>
              <w:t xml:space="preserve">Panel </w:t>
            </w:r>
            <w:r>
              <w:rPr>
                <w:rFonts w:hint="eastAsia" w:ascii="仿宋" w:hAnsi="仿宋" w:eastAsia="仿宋" w:cs="仿宋"/>
                <w:bCs/>
                <w:kern w:val="0"/>
                <w:sz w:val="18"/>
                <w:szCs w:val="18"/>
                <w:lang w:eastAsia="zh-Hans"/>
              </w:rPr>
              <w:t>B</w:t>
            </w:r>
            <w:r>
              <w:rPr>
                <w:rFonts w:hint="eastAsia" w:ascii="仿宋" w:hAnsi="仿宋" w:eastAsia="仿宋" w:cs="仿宋"/>
                <w:bCs/>
                <w:kern w:val="0"/>
                <w:sz w:val="18"/>
                <w:szCs w:val="18"/>
              </w:rPr>
              <w:t xml:space="preserve">. </w:t>
            </w:r>
            <w:r>
              <w:rPr>
                <w:rFonts w:hint="eastAsia" w:ascii="仿宋" w:hAnsi="仿宋" w:eastAsia="仿宋" w:cs="仿宋"/>
                <w:bCs/>
                <w:kern w:val="0"/>
                <w:sz w:val="18"/>
                <w:szCs w:val="18"/>
                <w:lang w:eastAsia="zh-Hans"/>
              </w:rPr>
              <w:t>城镇</w:t>
            </w:r>
            <w:r>
              <w:rPr>
                <w:rFonts w:hint="eastAsia" w:ascii="仿宋" w:hAnsi="仿宋" w:eastAsia="仿宋" w:cs="仿宋"/>
                <w:bCs/>
                <w:kern w:val="0"/>
                <w:sz w:val="18"/>
                <w:szCs w:val="18"/>
              </w:rPr>
              <w:t>/</w:t>
            </w:r>
            <w:r>
              <w:rPr>
                <w:rFonts w:hint="eastAsia" w:ascii="仿宋" w:hAnsi="仿宋" w:eastAsia="仿宋" w:cs="仿宋"/>
                <w:bCs/>
                <w:kern w:val="0"/>
                <w:sz w:val="18"/>
                <w:szCs w:val="18"/>
                <w:lang w:eastAsia="zh-Hans"/>
              </w:rPr>
              <w:t>农村</w:t>
            </w:r>
            <w:r>
              <w:rPr>
                <w:rFonts w:hint="eastAsia" w:ascii="仿宋" w:hAnsi="仿宋" w:eastAsia="仿宋" w:cs="仿宋"/>
                <w:bCs/>
                <w:kern w:val="0"/>
                <w:sz w:val="18"/>
                <w:szCs w:val="18"/>
              </w:rPr>
              <w:t>户口</w:t>
            </w:r>
          </w:p>
        </w:tc>
        <w:tc>
          <w:tcPr>
            <w:tcW w:w="1134"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92"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36"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0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每千名适龄儿童幼儿园数量</w:t>
            </w:r>
            <w:r>
              <w:rPr>
                <w:rFonts w:hint="eastAsia" w:ascii="仿宋" w:hAnsi="仿宋" w:eastAsia="仿宋" w:cs="仿宋"/>
                <w:kern w:val="0"/>
                <w:sz w:val="18"/>
                <w:szCs w:val="18"/>
              </w:rPr>
              <w:t>）</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0.38***</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0.37**</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0.084</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0.39**</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(0.072)</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(0.17)</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(0.17)</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(0.16)</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每千名适龄儿童幼儿园数量</w:t>
            </w:r>
            <w:r>
              <w:rPr>
                <w:rFonts w:hint="eastAsia" w:ascii="仿宋" w:hAnsi="仿宋" w:eastAsia="仿宋" w:cs="仿宋"/>
                <w:kern w:val="0"/>
                <w:sz w:val="18"/>
                <w:szCs w:val="18"/>
              </w:rPr>
              <w:t>）</w:t>
            </w:r>
            <m:oMath>
              <m:r>
                <m:rPr/>
                <w:rPr>
                  <w:rFonts w:hint="eastAsia" w:ascii="Cambria Math" w:hAnsi="Cambria Math" w:eastAsia="仿宋" w:cs="仿宋"/>
                  <w:kern w:val="0"/>
                  <w:sz w:val="18"/>
                  <w:szCs w:val="18"/>
                </w:rPr>
                <m:t>×</m:t>
              </m:r>
            </m:oMath>
            <w:r>
              <w:rPr>
                <w:rFonts w:hint="eastAsia" w:ascii="仿宋" w:hAnsi="仿宋" w:eastAsia="仿宋" w:cs="仿宋"/>
                <w:kern w:val="0"/>
                <w:sz w:val="18"/>
                <w:szCs w:val="18"/>
              </w:rPr>
              <w:t>城镇</w:t>
            </w:r>
            <w:r>
              <w:rPr>
                <w:rFonts w:hint="eastAsia" w:ascii="仿宋" w:hAnsi="仿宋" w:eastAsia="仿宋" w:cs="仿宋"/>
                <w:kern w:val="0"/>
                <w:sz w:val="18"/>
                <w:szCs w:val="18"/>
              </w:rPr>
              <w:t>户口</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-0.065</w:t>
            </w:r>
          </w:p>
        </w:tc>
        <w:tc>
          <w:tcPr>
            <w:tcW w:w="992"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-0.041</w:t>
            </w:r>
          </w:p>
        </w:tc>
        <w:tc>
          <w:tcPr>
            <w:tcW w:w="936"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0.013</w:t>
            </w:r>
          </w:p>
        </w:tc>
        <w:tc>
          <w:tcPr>
            <w:tcW w:w="90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-0.056</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(0.045)</w:t>
            </w:r>
          </w:p>
        </w:tc>
        <w:tc>
          <w:tcPr>
            <w:tcW w:w="992"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(0.097)</w:t>
            </w:r>
          </w:p>
        </w:tc>
        <w:tc>
          <w:tcPr>
            <w:tcW w:w="936"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(0.080)</w:t>
            </w:r>
          </w:p>
        </w:tc>
        <w:tc>
          <w:tcPr>
            <w:tcW w:w="90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(0.098)</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lang w:eastAsia="zh-Hans"/>
              </w:rPr>
              <w:t>观测值</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1,489</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1,339</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1,339</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1,344</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0.477</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0.311</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0.291</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0.273</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ind w:hanging="79"/>
              <w:jc w:val="left"/>
              <w:rPr>
                <w:rFonts w:hint="eastAsia" w:ascii="仿宋" w:hAnsi="仿宋" w:eastAsia="仿宋" w:cs="仿宋"/>
                <w:bCs/>
                <w:kern w:val="0"/>
                <w:sz w:val="18"/>
                <w:szCs w:val="18"/>
              </w:rPr>
            </w:pPr>
            <w:r>
              <w:rPr>
                <w:rFonts w:hint="eastAsia" w:ascii="仿宋" w:hAnsi="仿宋" w:eastAsia="仿宋" w:cs="仿宋"/>
                <w:bCs/>
                <w:kern w:val="0"/>
                <w:sz w:val="18"/>
                <w:szCs w:val="18"/>
              </w:rPr>
              <w:t xml:space="preserve">Panel </w:t>
            </w:r>
            <w:r>
              <w:rPr>
                <w:rFonts w:hint="eastAsia" w:ascii="仿宋" w:hAnsi="仿宋" w:eastAsia="仿宋" w:cs="仿宋"/>
                <w:bCs/>
                <w:kern w:val="0"/>
                <w:sz w:val="18"/>
                <w:szCs w:val="18"/>
                <w:lang w:eastAsia="zh-Hans"/>
              </w:rPr>
              <w:t>C</w:t>
            </w:r>
            <w:r>
              <w:rPr>
                <w:rFonts w:hint="eastAsia" w:ascii="仿宋" w:hAnsi="仿宋" w:eastAsia="仿宋" w:cs="仿宋"/>
                <w:bCs/>
                <w:kern w:val="0"/>
                <w:sz w:val="18"/>
                <w:szCs w:val="18"/>
              </w:rPr>
              <w:t xml:space="preserve">. </w:t>
            </w:r>
            <w:r>
              <w:rPr>
                <w:rFonts w:hint="eastAsia" w:ascii="仿宋" w:hAnsi="仿宋" w:eastAsia="仿宋" w:cs="仿宋"/>
                <w:bCs/>
                <w:kern w:val="0"/>
                <w:sz w:val="18"/>
                <w:szCs w:val="18"/>
                <w:lang w:eastAsia="zh-Hans"/>
              </w:rPr>
              <w:t>家庭人均收入</w:t>
            </w:r>
          </w:p>
        </w:tc>
        <w:tc>
          <w:tcPr>
            <w:tcW w:w="1134"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92"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36"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90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每千名适龄儿童幼儿园数量</w:t>
            </w:r>
            <w:r>
              <w:rPr>
                <w:rFonts w:hint="eastAsia" w:ascii="仿宋" w:hAnsi="仿宋" w:eastAsia="仿宋" w:cs="仿宋"/>
                <w:kern w:val="0"/>
                <w:sz w:val="18"/>
                <w:szCs w:val="18"/>
              </w:rPr>
              <w:t>）</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0.35***</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0.31*</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0.11</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0.32*</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(0.065)</w:t>
            </w:r>
          </w:p>
        </w:tc>
        <w:tc>
          <w:tcPr>
            <w:tcW w:w="992"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(0.17)</w:t>
            </w:r>
          </w:p>
        </w:tc>
        <w:tc>
          <w:tcPr>
            <w:tcW w:w="936"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(0.17)</w:t>
            </w:r>
          </w:p>
        </w:tc>
        <w:tc>
          <w:tcPr>
            <w:tcW w:w="90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(0.16)</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每千名适龄儿童幼儿园数量</w:t>
            </w:r>
            <w:r>
              <w:rPr>
                <w:rFonts w:hint="eastAsia" w:ascii="仿宋" w:hAnsi="仿宋" w:eastAsia="仿宋" w:cs="仿宋"/>
                <w:kern w:val="0"/>
                <w:sz w:val="18"/>
                <w:szCs w:val="18"/>
              </w:rPr>
              <w:t>）</w:t>
            </w:r>
            <m:oMath>
              <m:r>
                <m:rPr/>
                <w:rPr>
                  <w:rFonts w:hint="eastAsia" w:ascii="Cambria Math" w:hAnsi="Cambria Math" w:eastAsia="仿宋" w:cs="仿宋"/>
                  <w:kern w:val="0"/>
                  <w:sz w:val="18"/>
                  <w:szCs w:val="18"/>
                </w:rPr>
                <m:t>×</m:t>
              </m:r>
            </m:oMath>
            <w:r>
              <w:rPr>
                <w:rFonts w:hint="eastAsia" w:ascii="仿宋" w:hAnsi="仿宋" w:eastAsia="仿宋" w:cs="仿宋"/>
                <w:kern w:val="0"/>
                <w:sz w:val="18"/>
                <w:szCs w:val="18"/>
              </w:rPr>
              <w:t>低收入</w:t>
            </w: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0.0063</w:t>
            </w:r>
          </w:p>
        </w:tc>
        <w:tc>
          <w:tcPr>
            <w:tcW w:w="992"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0.078</w:t>
            </w:r>
          </w:p>
        </w:tc>
        <w:tc>
          <w:tcPr>
            <w:tcW w:w="936"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-0.044</w:t>
            </w:r>
          </w:p>
        </w:tc>
        <w:tc>
          <w:tcPr>
            <w:tcW w:w="90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0.11*</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134"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(0.011)</w:t>
            </w:r>
          </w:p>
        </w:tc>
        <w:tc>
          <w:tcPr>
            <w:tcW w:w="992"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(0.060)</w:t>
            </w:r>
          </w:p>
        </w:tc>
        <w:tc>
          <w:tcPr>
            <w:tcW w:w="936"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(0.055)</w:t>
            </w:r>
          </w:p>
        </w:tc>
        <w:tc>
          <w:tcPr>
            <w:tcW w:w="90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(0.064)</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lang w:eastAsia="zh-Hans"/>
              </w:rPr>
              <w:t>观测值</w:t>
            </w:r>
          </w:p>
        </w:tc>
        <w:tc>
          <w:tcPr>
            <w:tcW w:w="1134" w:type="dxa"/>
            <w:tcBorders>
              <w:top w:val="nil"/>
              <w:left w:val="nil"/>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1,489</w:t>
            </w:r>
          </w:p>
        </w:tc>
        <w:tc>
          <w:tcPr>
            <w:tcW w:w="992" w:type="dxa"/>
            <w:tcBorders>
              <w:top w:val="nil"/>
              <w:left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1,339</w:t>
            </w:r>
          </w:p>
        </w:tc>
        <w:tc>
          <w:tcPr>
            <w:tcW w:w="936" w:type="dxa"/>
            <w:tcBorders>
              <w:top w:val="nil"/>
              <w:left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1,339</w:t>
            </w:r>
          </w:p>
        </w:tc>
        <w:tc>
          <w:tcPr>
            <w:tcW w:w="907" w:type="dxa"/>
            <w:tcBorders>
              <w:top w:val="nil"/>
              <w:left w:val="nil"/>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1,344</w:t>
            </w:r>
          </w:p>
        </w:tc>
      </w:tr>
      <w:tr>
        <w:tblPrEx>
          <w:tblCellMar>
            <w:top w:w="0" w:type="dxa"/>
            <w:left w:w="75" w:type="dxa"/>
            <w:bottom w:w="0" w:type="dxa"/>
            <w:right w:w="75" w:type="dxa"/>
          </w:tblCellMar>
        </w:tblPrEx>
        <w:trPr>
          <w:cantSplit/>
          <w:trHeight w:val="244" w:hRule="atLeast"/>
          <w:jc w:val="center"/>
        </w:trPr>
        <w:tc>
          <w:tcPr>
            <w:tcW w:w="4253" w:type="dxa"/>
            <w:tcBorders>
              <w:top w:val="nil"/>
              <w:left w:val="nil"/>
              <w:bottom w:val="single" w:color="auto" w:sz="4" w:space="0"/>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1134" w:type="dxa"/>
            <w:tcBorders>
              <w:top w:val="nil"/>
              <w:left w:val="nil"/>
              <w:bottom w:val="single" w:color="auto" w:sz="4" w:space="0"/>
              <w:right w:val="nil"/>
            </w:tcBorders>
          </w:tcPr>
          <w:p>
            <w:pPr>
              <w:jc w:val="center"/>
              <w:rPr>
                <w:rFonts w:hint="eastAsia" w:ascii="仿宋" w:hAnsi="仿宋" w:eastAsia="仿宋" w:cs="仿宋"/>
                <w:sz w:val="18"/>
                <w:szCs w:val="18"/>
              </w:rPr>
            </w:pPr>
            <w:r>
              <w:rPr>
                <w:rFonts w:hint="eastAsia" w:ascii="仿宋" w:hAnsi="仿宋" w:eastAsia="仿宋" w:cs="仿宋"/>
                <w:kern w:val="0"/>
                <w:sz w:val="18"/>
                <w:szCs w:val="18"/>
              </w:rPr>
              <w:t>0.475</w:t>
            </w:r>
          </w:p>
        </w:tc>
        <w:tc>
          <w:tcPr>
            <w:tcW w:w="992" w:type="dxa"/>
            <w:tcBorders>
              <w:top w:val="nil"/>
              <w:left w:val="nil"/>
              <w:bottom w:val="single" w:color="auto" w:sz="4" w:space="0"/>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0.312</w:t>
            </w:r>
          </w:p>
        </w:tc>
        <w:tc>
          <w:tcPr>
            <w:tcW w:w="936" w:type="dxa"/>
            <w:tcBorders>
              <w:top w:val="nil"/>
              <w:left w:val="nil"/>
              <w:bottom w:val="single" w:color="auto" w:sz="4" w:space="0"/>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0.291</w:t>
            </w:r>
          </w:p>
        </w:tc>
        <w:tc>
          <w:tcPr>
            <w:tcW w:w="907" w:type="dxa"/>
            <w:tcBorders>
              <w:top w:val="nil"/>
              <w:left w:val="nil"/>
              <w:bottom w:val="single" w:color="auto" w:sz="4" w:space="0"/>
              <w:right w:val="nil"/>
            </w:tcBorders>
          </w:tcPr>
          <w:p>
            <w:pPr>
              <w:jc w:val="center"/>
              <w:rPr>
                <w:rFonts w:hint="eastAsia" w:ascii="仿宋" w:hAnsi="仿宋" w:eastAsia="仿宋" w:cs="仿宋"/>
                <w:kern w:val="0"/>
                <w:sz w:val="18"/>
                <w:szCs w:val="18"/>
              </w:rPr>
            </w:pPr>
            <w:r>
              <w:rPr>
                <w:rFonts w:hint="eastAsia" w:ascii="仿宋" w:hAnsi="仿宋" w:eastAsia="仿宋" w:cs="仿宋"/>
                <w:kern w:val="0"/>
                <w:sz w:val="18"/>
                <w:szCs w:val="18"/>
              </w:rPr>
              <w:t>0.275</w:t>
            </w:r>
          </w:p>
        </w:tc>
      </w:tr>
    </w:tbl>
    <w:p>
      <w:pPr>
        <w:widowControl/>
        <w:ind w:firstLine="36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iCs/>
          <w:sz w:val="18"/>
          <w:szCs w:val="18"/>
          <w:lang w:eastAsia="zh-Hans"/>
        </w:rPr>
        <w:t>注</w:t>
      </w:r>
      <w:r>
        <w:rPr>
          <w:rFonts w:hint="eastAsia" w:ascii="仿宋" w:hAnsi="仿宋" w:eastAsia="仿宋" w:cs="仿宋"/>
          <w:sz w:val="18"/>
          <w:szCs w:val="18"/>
        </w:rPr>
        <w:t>：（1）</w:t>
      </w:r>
      <w:r>
        <w:rPr>
          <w:rFonts w:hint="eastAsia" w:ascii="仿宋" w:hAnsi="仿宋" w:eastAsia="仿宋" w:cs="仿宋"/>
          <w:sz w:val="18"/>
          <w:szCs w:val="18"/>
          <w:lang w:eastAsia="zh-Hans"/>
        </w:rPr>
        <w:t>列</w:t>
      </w:r>
      <w:r>
        <w:rPr>
          <w:rFonts w:hint="eastAsia" w:ascii="仿宋" w:hAnsi="仿宋" w:eastAsia="仿宋" w:cs="仿宋"/>
          <w:sz w:val="18"/>
          <w:szCs w:val="18"/>
        </w:rPr>
        <w:t>的</w:t>
      </w:r>
      <w:r>
        <w:rPr>
          <w:rFonts w:hint="eastAsia" w:ascii="仿宋" w:hAnsi="仿宋" w:eastAsia="仿宋" w:cs="仿宋"/>
          <w:sz w:val="18"/>
          <w:szCs w:val="18"/>
          <w:lang w:eastAsia="zh-Hans"/>
        </w:rPr>
        <w:t>设定与表2第（2）列一致</w:t>
      </w:r>
      <w:r>
        <w:rPr>
          <w:rFonts w:hint="eastAsia" w:ascii="仿宋" w:hAnsi="仿宋" w:eastAsia="仿宋" w:cs="仿宋"/>
          <w:sz w:val="18"/>
          <w:szCs w:val="18"/>
          <w:lang w:eastAsia="zh-Hans"/>
        </w:rPr>
        <w:t>，</w:t>
      </w:r>
      <w:r>
        <w:rPr>
          <w:rFonts w:hint="eastAsia" w:ascii="仿宋" w:hAnsi="仿宋" w:eastAsia="仿宋" w:cs="仿宋"/>
          <w:sz w:val="18"/>
          <w:szCs w:val="18"/>
        </w:rPr>
        <w:t>（2）–（4）</w:t>
      </w:r>
      <w:r>
        <w:rPr>
          <w:rFonts w:hint="eastAsia" w:ascii="仿宋" w:hAnsi="仿宋" w:eastAsia="仿宋" w:cs="仿宋"/>
          <w:sz w:val="18"/>
          <w:szCs w:val="18"/>
          <w:lang w:eastAsia="zh-Hans"/>
        </w:rPr>
        <w:t>列为</w:t>
      </w:r>
      <w:r>
        <w:rPr>
          <w:rFonts w:hint="eastAsia" w:ascii="仿宋" w:hAnsi="仿宋" w:eastAsia="仿宋" w:cs="仿宋"/>
          <w:sz w:val="18"/>
          <w:szCs w:val="18"/>
          <w:lang w:eastAsia="zh-Hans"/>
        </w:rPr>
        <w:t>简约式</w:t>
      </w:r>
      <w:r>
        <w:rPr>
          <w:rFonts w:hint="eastAsia" w:ascii="仿宋" w:hAnsi="仿宋" w:eastAsia="仿宋" w:cs="仿宋"/>
          <w:sz w:val="18"/>
          <w:szCs w:val="18"/>
          <w:lang w:eastAsia="zh-Hans"/>
        </w:rPr>
        <w:t>估计量</w:t>
      </w:r>
      <w:r>
        <w:rPr>
          <w:rFonts w:hint="eastAsia" w:ascii="仿宋" w:hAnsi="仿宋" w:eastAsia="仿宋" w:cs="仿宋"/>
          <w:sz w:val="18"/>
          <w:szCs w:val="18"/>
          <w:lang w:eastAsia="zh-Hans"/>
        </w:rPr>
        <w:t>。</w:t>
      </w:r>
      <w:r>
        <w:rPr>
          <w:rFonts w:hint="eastAsia" w:ascii="仿宋" w:hAnsi="仿宋" w:eastAsia="仿宋" w:cs="仿宋"/>
          <w:sz w:val="18"/>
          <w:szCs w:val="18"/>
          <w:lang w:eastAsia="zh-Hans"/>
        </w:rPr>
        <w:t>所有回归都控制了个体和家庭特征、出生年份</w:t>
      </w:r>
      <w:r>
        <w:rPr>
          <w:rFonts w:hint="eastAsia" w:ascii="仿宋" w:hAnsi="仿宋" w:eastAsia="仿宋" w:cs="仿宋"/>
          <w:sz w:val="18"/>
          <w:szCs w:val="18"/>
        </w:rPr>
        <w:t>固定效应</w:t>
      </w:r>
      <w:r>
        <w:rPr>
          <w:rFonts w:hint="eastAsia" w:ascii="仿宋" w:hAnsi="仿宋" w:eastAsia="仿宋" w:cs="仿宋"/>
          <w:sz w:val="18"/>
          <w:szCs w:val="18"/>
          <w:lang w:eastAsia="zh-Hans"/>
        </w:rPr>
        <w:t>、省份-出生年份</w:t>
      </w:r>
      <w:r>
        <w:rPr>
          <w:rFonts w:hint="eastAsia" w:ascii="仿宋" w:hAnsi="仿宋" w:eastAsia="仿宋" w:cs="仿宋"/>
          <w:sz w:val="18"/>
          <w:szCs w:val="18"/>
        </w:rPr>
        <w:t>固定效应、</w:t>
      </w:r>
      <w:r>
        <w:rPr>
          <w:rFonts w:hint="eastAsia" w:ascii="仿宋" w:hAnsi="仿宋" w:eastAsia="仿宋" w:cs="仿宋"/>
          <w:sz w:val="18"/>
          <w:szCs w:val="18"/>
          <w:lang w:eastAsia="zh-Hans"/>
        </w:rPr>
        <w:t>城市固定效应，以及城市前定特征</w:t>
      </w:r>
      <w:r>
        <w:rPr>
          <w:rFonts w:hint="eastAsia" w:ascii="仿宋" w:hAnsi="仿宋" w:eastAsia="仿宋" w:cs="仿宋"/>
          <w:sz w:val="18"/>
          <w:szCs w:val="18"/>
        </w:rPr>
        <w:t>与</w:t>
      </w:r>
      <w:r>
        <w:rPr>
          <w:rFonts w:hint="eastAsia" w:ascii="仿宋" w:hAnsi="仿宋" w:eastAsia="仿宋" w:cs="仿宋"/>
          <w:sz w:val="18"/>
          <w:szCs w:val="18"/>
          <w:lang w:eastAsia="zh-Hans"/>
        </w:rPr>
        <w:t>出生年份虚拟变量</w:t>
      </w:r>
      <w:r>
        <w:rPr>
          <w:rFonts w:hint="eastAsia" w:ascii="仿宋" w:hAnsi="仿宋" w:eastAsia="仿宋" w:cs="仿宋"/>
          <w:sz w:val="18"/>
          <w:szCs w:val="18"/>
        </w:rPr>
        <w:t>的交</w:t>
      </w:r>
      <w:r>
        <w:rPr>
          <w:rFonts w:hint="eastAsia" w:ascii="仿宋" w:hAnsi="仿宋" w:eastAsia="仿宋" w:cs="仿宋"/>
          <w:sz w:val="18"/>
          <w:szCs w:val="18"/>
          <w:lang w:eastAsia="zh-Hans"/>
        </w:rPr>
        <w:t>互</w:t>
      </w:r>
      <w:r>
        <w:rPr>
          <w:rFonts w:hint="eastAsia" w:ascii="仿宋" w:hAnsi="仿宋" w:eastAsia="仿宋" w:cs="仿宋"/>
          <w:sz w:val="18"/>
          <w:szCs w:val="18"/>
        </w:rPr>
        <w:t>项</w:t>
      </w:r>
      <w:r>
        <w:rPr>
          <w:rFonts w:hint="eastAsia" w:ascii="仿宋" w:hAnsi="仿宋" w:eastAsia="仿宋" w:cs="仿宋"/>
          <w:sz w:val="18"/>
          <w:szCs w:val="18"/>
          <w:lang w:eastAsia="zh-Hans"/>
        </w:rPr>
        <w:t>。括号中为城市层面聚类标准误</w:t>
      </w:r>
      <w:r>
        <w:rPr>
          <w:rFonts w:hint="eastAsia" w:ascii="仿宋" w:hAnsi="仿宋" w:eastAsia="仿宋" w:cs="仿宋"/>
          <w:sz w:val="18"/>
          <w:szCs w:val="18"/>
        </w:rPr>
        <w:t>。***、**和*分别表示1%、5%和10%的显著性水平。</w:t>
      </w:r>
    </w:p>
    <w:p>
      <w:pPr>
        <w:rPr>
          <w:rFonts w:hint="eastAsia" w:ascii="仿宋" w:hAnsi="仿宋" w:eastAsia="仿宋" w:cs="仿宋"/>
          <w:sz w:val="18"/>
          <w:szCs w:val="18"/>
        </w:rPr>
      </w:pPr>
    </w:p>
    <w:p>
      <w:pPr>
        <w:rPr>
          <w:rFonts w:hint="eastAsia" w:ascii="仿宋" w:hAnsi="仿宋" w:eastAsia="仿宋" w:cs="仿宋"/>
          <w:sz w:val="18"/>
          <w:szCs w:val="18"/>
        </w:rPr>
      </w:pPr>
    </w:p>
    <w:p>
      <w:pPr>
        <w:rPr>
          <w:rFonts w:hint="eastAsia" w:ascii="仿宋" w:hAnsi="仿宋" w:eastAsia="仿宋" w:cs="仿宋"/>
        </w:rPr>
      </w:pPr>
    </w:p>
    <w:p>
      <w:pPr>
        <w:rPr>
          <w:rFonts w:hint="eastAsia" w:ascii="仿宋" w:hAnsi="仿宋" w:eastAsia="仿宋" w:cs="仿宋"/>
        </w:rPr>
      </w:pPr>
    </w:p>
    <w:p>
      <w:pPr>
        <w:widowControl/>
        <w:jc w:val="left"/>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sz w:val="18"/>
          <w:szCs w:val="18"/>
        </w:rPr>
      </w:pPr>
      <w:r>
        <w:rPr>
          <w:rFonts w:hint="eastAsia" w:ascii="仿宋" w:hAnsi="仿宋" w:eastAsia="仿宋" w:cs="仿宋"/>
          <w:sz w:val="18"/>
          <w:szCs w:val="18"/>
        </w:rPr>
        <w:br w:type="page"/>
      </w:r>
    </w:p>
    <w:p>
      <w:pPr>
        <w:pStyle w:val="25"/>
        <w:numPr>
          <w:numId w:val="0"/>
        </w:numPr>
        <w:ind w:leftChars="0"/>
        <w:jc w:val="center"/>
        <w:rPr>
          <w:rFonts w:hint="eastAsia" w:ascii="楷体" w:hAnsi="楷体" w:eastAsia="楷体" w:cs="楷体"/>
          <w:sz w:val="28"/>
          <w:szCs w:val="36"/>
        </w:rPr>
      </w:pPr>
      <w:bookmarkStart w:id="4" w:name="_Toc145418278"/>
      <w:r>
        <w:rPr>
          <w:rFonts w:hint="eastAsia" w:ascii="楷体" w:hAnsi="楷体" w:eastAsia="楷体" w:cs="楷体"/>
          <w:sz w:val="28"/>
          <w:szCs w:val="36"/>
          <w:lang w:val="en-US" w:eastAsia="zh-CN"/>
        </w:rPr>
        <w:t xml:space="preserve">附录Ⅴ </w:t>
      </w:r>
      <w:r>
        <w:rPr>
          <w:rFonts w:hint="eastAsia" w:ascii="楷体" w:hAnsi="楷体" w:eastAsia="楷体" w:cs="楷体"/>
          <w:sz w:val="28"/>
          <w:szCs w:val="36"/>
        </w:rPr>
        <w:t>考虑其他干扰项目实施效果识别的因素</w:t>
      </w:r>
      <w:bookmarkEnd w:id="4"/>
    </w:p>
    <w:p>
      <w:pPr>
        <w:snapToGrid w:val="0"/>
        <w:ind w:firstLine="447" w:firstLineChars="213"/>
        <w:rPr>
          <w:rFonts w:hint="eastAsia" w:ascii="仿宋" w:hAnsi="仿宋" w:eastAsia="仿宋" w:cs="仿宋"/>
          <w:szCs w:val="21"/>
        </w:rPr>
      </w:pPr>
      <w:r>
        <w:rPr>
          <w:rFonts w:hint="eastAsia" w:ascii="仿宋" w:hAnsi="仿宋" w:eastAsia="仿宋" w:cs="仿宋"/>
          <w:color w:val="262626"/>
          <w:kern w:val="0"/>
          <w:szCs w:val="21"/>
        </w:rPr>
        <w:t>双重差分的识别策略假设</w:t>
      </w:r>
      <w:r>
        <w:rPr>
          <w:rFonts w:hint="eastAsia" w:ascii="仿宋" w:hAnsi="仿宋" w:eastAsia="仿宋" w:cs="仿宋"/>
          <w:szCs w:val="21"/>
        </w:rPr>
        <w:t>与</w:t>
      </w:r>
      <w:r>
        <w:rPr>
          <w:rFonts w:hint="eastAsia" w:ascii="仿宋" w:hAnsi="仿宋" w:eastAsia="仿宋" w:cs="仿宋"/>
          <w:szCs w:val="21"/>
        </w:rPr>
        <w:t>学前教育普及项目同步发生的其他政策改变不应干扰我们识别学前教育普及项目的实施效果。</w:t>
      </w:r>
      <w:r>
        <w:rPr>
          <w:rFonts w:hint="eastAsia" w:ascii="仿宋" w:hAnsi="仿宋" w:eastAsia="仿宋" w:cs="仿宋"/>
          <w:szCs w:val="21"/>
        </w:rPr>
        <w:t>下面，我们将</w:t>
      </w:r>
      <w:r>
        <w:rPr>
          <w:rFonts w:hint="eastAsia" w:ascii="仿宋" w:hAnsi="仿宋" w:eastAsia="仿宋" w:cs="仿宋"/>
          <w:szCs w:val="21"/>
          <w:lang w:eastAsia="zh-Hans"/>
        </w:rPr>
        <w:t>详细</w:t>
      </w:r>
      <w:r>
        <w:rPr>
          <w:rFonts w:hint="eastAsia" w:ascii="仿宋" w:hAnsi="仿宋" w:eastAsia="仿宋" w:cs="仿宋"/>
          <w:szCs w:val="21"/>
        </w:rPr>
        <w:t>讨论</w:t>
      </w:r>
      <w:r>
        <w:rPr>
          <w:rFonts w:hint="eastAsia" w:ascii="仿宋" w:hAnsi="仿宋" w:eastAsia="仿宋" w:cs="仿宋"/>
          <w:szCs w:val="21"/>
          <w:lang w:eastAsia="zh-Hans"/>
        </w:rPr>
        <w:t>与学前教育</w:t>
      </w:r>
      <w:r>
        <w:rPr>
          <w:rFonts w:hint="eastAsia" w:ascii="仿宋" w:hAnsi="仿宋" w:eastAsia="仿宋" w:cs="仿宋"/>
          <w:szCs w:val="21"/>
        </w:rPr>
        <w:t>普及</w:t>
      </w:r>
      <w:r>
        <w:rPr>
          <w:rFonts w:hint="eastAsia" w:ascii="仿宋" w:hAnsi="仿宋" w:eastAsia="仿宋" w:cs="仿宋"/>
          <w:szCs w:val="21"/>
          <w:lang w:eastAsia="zh-Hans"/>
        </w:rPr>
        <w:t>项目</w:t>
      </w:r>
      <w:r>
        <w:rPr>
          <w:rFonts w:hint="eastAsia" w:ascii="仿宋" w:hAnsi="仿宋" w:eastAsia="仿宋" w:cs="仿宋"/>
          <w:szCs w:val="21"/>
        </w:rPr>
        <w:t>实施时间相近的撤点并校</w:t>
      </w:r>
      <w:r>
        <w:rPr>
          <w:rFonts w:hint="eastAsia" w:ascii="仿宋" w:hAnsi="仿宋" w:eastAsia="仿宋" w:cs="仿宋"/>
          <w:szCs w:val="21"/>
        </w:rPr>
        <w:t>、二胎政策、免费义务教育改革和</w:t>
      </w:r>
      <w:r>
        <w:rPr>
          <w:rFonts w:hint="eastAsia" w:ascii="仿宋" w:hAnsi="仿宋" w:eastAsia="仿宋" w:cs="仿宋"/>
          <w:color w:val="000000" w:themeColor="text1"/>
          <w:szCs w:val="21"/>
          <w14:textFill>
            <w14:solidFill>
              <w14:schemeClr w14:val="tx1"/>
            </w14:solidFill>
          </w14:textFill>
        </w:rPr>
        <w:t>农村义务教育学生营养改善计划</w:t>
      </w:r>
      <w:r>
        <w:rPr>
          <w:rFonts w:hint="eastAsia" w:ascii="仿宋" w:hAnsi="仿宋" w:eastAsia="仿宋" w:cs="仿宋"/>
          <w:szCs w:val="21"/>
        </w:rPr>
        <w:t>对因果估计的可能影响。</w:t>
      </w:r>
    </w:p>
    <w:p>
      <w:pPr>
        <w:snapToGrid w:val="0"/>
        <w:ind w:firstLine="449" w:firstLineChars="213"/>
        <w:rPr>
          <w:rFonts w:hint="eastAsia" w:ascii="仿宋" w:hAnsi="仿宋" w:eastAsia="仿宋" w:cs="仿宋"/>
          <w:b/>
          <w:bCs/>
          <w:color w:val="C00000"/>
          <w:szCs w:val="21"/>
        </w:rPr>
      </w:pPr>
    </w:p>
    <w:p>
      <w:pPr>
        <w:autoSpaceDE w:val="0"/>
        <w:autoSpaceDN w:val="0"/>
        <w:adjustRightInd w:val="0"/>
        <w:snapToGrid w:val="0"/>
        <w:spacing w:after="156" w:afterLines="50"/>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（1）撤点并校</w:t>
      </w:r>
    </w:p>
    <w:p>
      <w:pPr>
        <w:widowControl/>
        <w:autoSpaceDE w:val="0"/>
        <w:autoSpaceDN w:val="0"/>
        <w:adjustRightInd w:val="0"/>
        <w:snapToGrid w:val="0"/>
        <w:ind w:firstLine="420" w:firstLineChars="200"/>
        <w:rPr>
          <w:rFonts w:hint="eastAsia" w:ascii="仿宋" w:hAnsi="仿宋" w:eastAsia="仿宋" w:cs="仿宋"/>
          <w:color w:val="262626"/>
          <w:kern w:val="0"/>
          <w:szCs w:val="21"/>
        </w:rPr>
      </w:pPr>
      <w:r>
        <w:rPr>
          <w:rFonts w:hint="eastAsia" w:ascii="仿宋" w:hAnsi="仿宋" w:eastAsia="仿宋" w:cs="仿宋"/>
          <w:szCs w:val="21"/>
        </w:rPr>
        <w:t>由于</w:t>
      </w:r>
      <w:r>
        <w:rPr>
          <w:rFonts w:hint="eastAsia" w:ascii="仿宋" w:hAnsi="仿宋" w:eastAsia="仿宋" w:cs="仿宋"/>
          <w:color w:val="262626"/>
          <w:kern w:val="0"/>
          <w:szCs w:val="21"/>
        </w:rPr>
        <w:t>计划生育政策</w:t>
      </w:r>
      <w:r>
        <w:rPr>
          <w:rFonts w:hint="eastAsia" w:ascii="仿宋" w:hAnsi="仿宋" w:eastAsia="仿宋" w:cs="仿宋"/>
          <w:color w:val="262626"/>
          <w:kern w:val="0"/>
          <w:szCs w:val="21"/>
          <w:lang w:eastAsia="zh-Hans"/>
        </w:rPr>
        <w:t>的</w:t>
      </w:r>
      <w:r>
        <w:rPr>
          <w:rFonts w:hint="eastAsia" w:ascii="仿宋" w:hAnsi="仿宋" w:eastAsia="仿宋" w:cs="仿宋"/>
          <w:color w:val="262626"/>
          <w:kern w:val="0"/>
          <w:szCs w:val="21"/>
        </w:rPr>
        <w:t>推行</w:t>
      </w:r>
      <w:r>
        <w:rPr>
          <w:rFonts w:hint="eastAsia" w:ascii="仿宋" w:hAnsi="仿宋" w:eastAsia="仿宋" w:cs="仿宋"/>
          <w:color w:val="262626"/>
          <w:kern w:val="0"/>
          <w:szCs w:val="21"/>
          <w:lang w:eastAsia="zh-Hans"/>
        </w:rPr>
        <w:t>以及</w:t>
      </w:r>
      <w:r>
        <w:rPr>
          <w:rFonts w:hint="eastAsia" w:ascii="仿宋" w:hAnsi="仿宋" w:eastAsia="仿宋" w:cs="仿宋"/>
          <w:color w:val="262626"/>
          <w:kern w:val="0"/>
          <w:szCs w:val="21"/>
        </w:rPr>
        <w:t>城镇化</w:t>
      </w:r>
      <w:r>
        <w:rPr>
          <w:rFonts w:hint="eastAsia" w:ascii="仿宋" w:hAnsi="仿宋" w:eastAsia="仿宋" w:cs="仿宋"/>
          <w:color w:val="262626"/>
          <w:kern w:val="0"/>
          <w:szCs w:val="21"/>
          <w:lang w:eastAsia="zh-Hans"/>
        </w:rPr>
        <w:t>进程的</w:t>
      </w:r>
      <w:r>
        <w:rPr>
          <w:rFonts w:hint="eastAsia" w:ascii="仿宋" w:hAnsi="仿宋" w:eastAsia="仿宋" w:cs="仿宋"/>
          <w:color w:val="262626"/>
          <w:kern w:val="0"/>
          <w:szCs w:val="21"/>
        </w:rPr>
        <w:t>深入，农村义务教育</w:t>
      </w:r>
      <w:r>
        <w:rPr>
          <w:rFonts w:hint="eastAsia" w:ascii="仿宋" w:hAnsi="仿宋" w:eastAsia="仿宋" w:cs="仿宋"/>
          <w:color w:val="262626"/>
          <w:kern w:val="0"/>
          <w:szCs w:val="21"/>
          <w:lang w:eastAsia="zh-Hans"/>
        </w:rPr>
        <w:t>阶段</w:t>
      </w:r>
      <w:r>
        <w:rPr>
          <w:rFonts w:hint="eastAsia" w:ascii="仿宋" w:hAnsi="仿宋" w:eastAsia="仿宋" w:cs="仿宋"/>
          <w:color w:val="262626"/>
          <w:kern w:val="0"/>
          <w:szCs w:val="21"/>
        </w:rPr>
        <w:t>的适龄人口逐渐减少。为了优化农村教育资源配置，全面提高中小学教育</w:t>
      </w:r>
      <w:r>
        <w:rPr>
          <w:rFonts w:hint="eastAsia" w:ascii="仿宋" w:hAnsi="仿宋" w:eastAsia="仿宋" w:cs="仿宋"/>
        </w:rPr>
        <w:fldChar w:fldCharType="begin"/>
      </w:r>
      <w:r>
        <w:rPr>
          <w:rFonts w:hint="eastAsia" w:ascii="仿宋" w:hAnsi="仿宋" w:eastAsia="仿宋" w:cs="仿宋"/>
        </w:rPr>
        <w:instrText xml:space="preserve">HYPERLINK "https://baike.baidu.com/item/%E6%8A%95%E8%B5%84%E6%95%88%E7%9B%8A/6062185"</w:instrText>
      </w:r>
      <w:r>
        <w:rPr>
          <w:rFonts w:hint="eastAsia" w:ascii="仿宋" w:hAnsi="仿宋" w:eastAsia="仿宋" w:cs="仿宋"/>
        </w:rPr>
        <w:fldChar w:fldCharType="separate"/>
      </w:r>
      <w:r>
        <w:rPr>
          <w:rFonts w:hint="eastAsia" w:ascii="仿宋" w:hAnsi="仿宋" w:eastAsia="仿宋" w:cs="仿宋"/>
          <w:color w:val="262626"/>
          <w:kern w:val="0"/>
          <w:szCs w:val="21"/>
        </w:rPr>
        <w:t>投资效益</w:t>
      </w:r>
      <w:r>
        <w:rPr>
          <w:rFonts w:hint="eastAsia" w:ascii="仿宋" w:hAnsi="仿宋" w:eastAsia="仿宋" w:cs="仿宋"/>
          <w:color w:val="262626"/>
          <w:kern w:val="0"/>
          <w:szCs w:val="21"/>
        </w:rPr>
        <w:fldChar w:fldCharType="end"/>
      </w:r>
      <w:r>
        <w:rPr>
          <w:rFonts w:hint="eastAsia" w:ascii="仿宋" w:hAnsi="仿宋" w:eastAsia="仿宋" w:cs="仿宋"/>
          <w:color w:val="262626"/>
          <w:kern w:val="0"/>
          <w:szCs w:val="21"/>
        </w:rPr>
        <w:t>和教育质量，2001年中国在</w:t>
      </w:r>
      <w:r>
        <w:rPr>
          <w:rFonts w:hint="eastAsia" w:ascii="仿宋" w:hAnsi="仿宋" w:eastAsia="仿宋" w:cs="仿宋"/>
          <w:color w:val="262626"/>
          <w:kern w:val="0"/>
          <w:szCs w:val="21"/>
        </w:rPr>
        <w:t>全国范围</w:t>
      </w:r>
      <w:r>
        <w:rPr>
          <w:rFonts w:hint="eastAsia" w:ascii="仿宋" w:hAnsi="仿宋" w:eastAsia="仿宋" w:cs="仿宋"/>
          <w:color w:val="262626"/>
          <w:kern w:val="0"/>
          <w:szCs w:val="21"/>
        </w:rPr>
        <w:t>正式启动农村中小学“撤点并校”运动，即大量撤销</w:t>
      </w:r>
      <w:r>
        <w:rPr>
          <w:rFonts w:hint="eastAsia" w:ascii="仿宋" w:hAnsi="仿宋" w:eastAsia="仿宋" w:cs="仿宋"/>
          <w:color w:val="262626"/>
          <w:kern w:val="0"/>
          <w:szCs w:val="21"/>
          <w:lang w:eastAsia="zh-Hans"/>
        </w:rPr>
        <w:t>人口</w:t>
      </w:r>
      <w:r>
        <w:rPr>
          <w:rFonts w:hint="eastAsia" w:ascii="仿宋" w:hAnsi="仿宋" w:eastAsia="仿宋" w:cs="仿宋"/>
          <w:color w:val="262626"/>
          <w:kern w:val="0"/>
          <w:szCs w:val="21"/>
        </w:rPr>
        <w:t>净</w:t>
      </w:r>
      <w:r>
        <w:rPr>
          <w:rFonts w:hint="eastAsia" w:ascii="仿宋" w:hAnsi="仿宋" w:eastAsia="仿宋" w:cs="仿宋"/>
          <w:color w:val="262626"/>
          <w:kern w:val="0"/>
          <w:szCs w:val="21"/>
          <w:lang w:eastAsia="zh-Hans"/>
        </w:rPr>
        <w:t>流出</w:t>
      </w:r>
      <w:r>
        <w:rPr>
          <w:rFonts w:hint="eastAsia" w:ascii="仿宋" w:hAnsi="仿宋" w:eastAsia="仿宋" w:cs="仿宋"/>
          <w:color w:val="262626"/>
          <w:kern w:val="0"/>
          <w:szCs w:val="21"/>
        </w:rPr>
        <w:t>的农村地区的中小学，使学生集中到小部分城镇学校。 “撤点并校”提高了教育成本，造成农村儿童的辍学率上升（Li and Liu，2014；</w:t>
      </w:r>
      <w:r>
        <w:rPr>
          <w:rFonts w:hint="eastAsia" w:ascii="仿宋" w:hAnsi="仿宋" w:eastAsia="仿宋" w:cs="仿宋"/>
          <w:color w:val="262626"/>
          <w:kern w:val="0"/>
          <w:szCs w:val="21"/>
          <w:lang w:eastAsia="zh-Hans"/>
        </w:rPr>
        <w:t>梁超和王素素，2020</w:t>
      </w:r>
      <w:r>
        <w:rPr>
          <w:rFonts w:hint="eastAsia" w:ascii="仿宋" w:hAnsi="仿宋" w:eastAsia="仿宋" w:cs="仿宋"/>
          <w:color w:val="262626"/>
          <w:kern w:val="0"/>
          <w:szCs w:val="21"/>
        </w:rPr>
        <w:t>）。2012年9月，国务院办公厅下发《关于规范农村义务教育学校布局调整的意见》，提出“坚决制止盲目撤并农村义务教育学校”，叫停“撤点并校”。如果</w:t>
      </w:r>
      <w:r>
        <w:rPr>
          <w:rFonts w:hint="eastAsia" w:ascii="仿宋" w:hAnsi="仿宋" w:eastAsia="仿宋" w:cs="仿宋"/>
          <w:color w:val="262626"/>
          <w:kern w:val="0"/>
          <w:szCs w:val="21"/>
          <w:lang w:eastAsia="zh-Hans"/>
        </w:rPr>
        <w:t>儿童</w:t>
      </w:r>
      <w:r>
        <w:rPr>
          <w:rFonts w:hint="eastAsia" w:ascii="仿宋" w:hAnsi="仿宋" w:eastAsia="仿宋" w:cs="仿宋"/>
          <w:color w:val="262626"/>
          <w:kern w:val="0"/>
          <w:szCs w:val="21"/>
        </w:rPr>
        <w:t>5岁时所在地级市的幼儿园密度与7岁时的小学数量存在相关性，那么我们</w:t>
      </w:r>
      <w:r>
        <w:rPr>
          <w:rFonts w:hint="eastAsia" w:ascii="仿宋" w:hAnsi="仿宋" w:eastAsia="仿宋" w:cs="仿宋"/>
          <w:color w:val="262626"/>
          <w:kern w:val="0"/>
          <w:szCs w:val="21"/>
          <w:lang w:eastAsia="zh-Hans"/>
        </w:rPr>
        <w:t>估计</w:t>
      </w:r>
      <w:r>
        <w:rPr>
          <w:rFonts w:hint="eastAsia" w:ascii="仿宋" w:hAnsi="仿宋" w:eastAsia="仿宋" w:cs="仿宋"/>
          <w:color w:val="262626"/>
          <w:kern w:val="0"/>
          <w:szCs w:val="21"/>
        </w:rPr>
        <w:t>的幼儿园密度对认知能力的影响可能存在偏误。</w:t>
      </w:r>
    </w:p>
    <w:p>
      <w:pPr>
        <w:snapToGrid w:val="0"/>
        <w:ind w:firstLine="420"/>
        <w:rPr>
          <w:rFonts w:hint="eastAsia" w:ascii="仿宋" w:hAnsi="仿宋" w:eastAsia="仿宋" w:cs="仿宋"/>
          <w:color w:val="262626"/>
          <w:kern w:val="0"/>
          <w:szCs w:val="21"/>
        </w:rPr>
      </w:pPr>
      <w:r>
        <w:rPr>
          <w:rFonts w:hint="eastAsia" w:ascii="仿宋" w:hAnsi="仿宋" w:eastAsia="仿宋" w:cs="仿宋"/>
          <w:color w:val="262626"/>
          <w:kern w:val="0"/>
          <w:szCs w:val="21"/>
        </w:rPr>
        <w:t>为了考虑“撤点并校”对估</w:t>
      </w:r>
      <w:r>
        <w:rPr>
          <w:rFonts w:hint="eastAsia" w:ascii="仿宋" w:hAnsi="仿宋" w:eastAsia="仿宋" w:cs="仿宋"/>
          <w:color w:val="262626"/>
          <w:kern w:val="0"/>
          <w:szCs w:val="21"/>
          <w:lang w:eastAsia="zh-Hans"/>
        </w:rPr>
        <w:t>计</w:t>
      </w:r>
      <w:r>
        <w:rPr>
          <w:rFonts w:hint="eastAsia" w:ascii="仿宋" w:hAnsi="仿宋" w:eastAsia="仿宋" w:cs="仿宋"/>
          <w:color w:val="262626"/>
          <w:kern w:val="0"/>
          <w:szCs w:val="21"/>
        </w:rPr>
        <w:t>结果的影响，我们在回归</w:t>
      </w:r>
      <w:r>
        <w:rPr>
          <w:rFonts w:hint="eastAsia" w:ascii="仿宋" w:hAnsi="仿宋" w:eastAsia="仿宋" w:cs="仿宋"/>
          <w:color w:val="262626"/>
          <w:kern w:val="0"/>
          <w:szCs w:val="21"/>
          <w:lang w:eastAsia="zh-Hans"/>
        </w:rPr>
        <w:t>方程</w:t>
      </w:r>
      <w:r>
        <w:rPr>
          <w:rFonts w:hint="eastAsia" w:ascii="仿宋" w:hAnsi="仿宋" w:eastAsia="仿宋" w:cs="仿宋"/>
          <w:color w:val="262626"/>
          <w:kern w:val="0"/>
          <w:szCs w:val="21"/>
        </w:rPr>
        <w:t>中控制了儿童7岁时所在地级市小学数量的对数，并将结果报告在表</w:t>
      </w:r>
      <w:r>
        <w:rPr>
          <w:rFonts w:hint="eastAsia" w:ascii="仿宋" w:hAnsi="仿宋" w:eastAsia="仿宋" w:cs="仿宋"/>
          <w:color w:val="000000" w:themeColor="text1"/>
          <w:szCs w:val="21"/>
          <w14:textFill>
            <w14:solidFill>
              <w14:schemeClr w14:val="tx1"/>
            </w14:solidFill>
          </w14:textFill>
        </w:rPr>
        <w:t>V</w:t>
      </w: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262626"/>
          <w:kern w:val="0"/>
          <w:szCs w:val="21"/>
        </w:rPr>
        <w:t>的Panel A。</w:t>
      </w:r>
      <w:r>
        <w:rPr>
          <w:rFonts w:hint="eastAsia" w:ascii="仿宋" w:hAnsi="仿宋" w:eastAsia="仿宋" w:cs="仿宋"/>
          <w:color w:val="262626"/>
          <w:kern w:val="0"/>
          <w:szCs w:val="21"/>
        </w:rPr>
        <w:t>结果</w:t>
      </w:r>
      <w:r>
        <w:rPr>
          <w:rFonts w:hint="eastAsia" w:ascii="仿宋" w:hAnsi="仿宋" w:eastAsia="仿宋" w:cs="仿宋"/>
          <w:color w:val="262626"/>
          <w:kern w:val="0"/>
          <w:szCs w:val="21"/>
        </w:rPr>
        <w:t>表明，控制了撤点并校的影响后，幼儿园密度对幼儿园入学概率</w:t>
      </w:r>
      <w:r>
        <w:rPr>
          <w:rFonts w:hint="eastAsia" w:ascii="仿宋" w:hAnsi="仿宋" w:eastAsia="仿宋" w:cs="仿宋"/>
          <w:color w:val="262626"/>
          <w:kern w:val="0"/>
          <w:szCs w:val="21"/>
        </w:rPr>
        <w:t>和认知能力</w:t>
      </w:r>
      <w:r>
        <w:rPr>
          <w:rFonts w:hint="eastAsia" w:ascii="仿宋" w:hAnsi="仿宋" w:eastAsia="仿宋" w:cs="仿宋"/>
          <w:color w:val="262626"/>
          <w:kern w:val="0"/>
          <w:szCs w:val="21"/>
        </w:rPr>
        <w:t>的影响</w:t>
      </w:r>
      <w:r>
        <w:rPr>
          <w:rFonts w:hint="eastAsia" w:ascii="仿宋" w:hAnsi="仿宋" w:eastAsia="仿宋" w:cs="仿宋"/>
          <w:color w:val="262626"/>
          <w:kern w:val="0"/>
          <w:szCs w:val="21"/>
        </w:rPr>
        <w:t>仍</w:t>
      </w:r>
      <w:r>
        <w:rPr>
          <w:rFonts w:hint="eastAsia" w:ascii="仿宋" w:hAnsi="仿宋" w:eastAsia="仿宋" w:cs="仿宋"/>
          <w:color w:val="262626"/>
          <w:kern w:val="0"/>
          <w:szCs w:val="21"/>
        </w:rPr>
        <w:t>显著，而且估计系数的大小与表2</w:t>
      </w:r>
      <w:r>
        <w:rPr>
          <w:rFonts w:hint="eastAsia" w:ascii="仿宋" w:hAnsi="仿宋" w:eastAsia="仿宋" w:cs="仿宋"/>
          <w:color w:val="262626"/>
          <w:kern w:val="0"/>
          <w:szCs w:val="21"/>
        </w:rPr>
        <w:t>和表3</w:t>
      </w:r>
      <w:r>
        <w:rPr>
          <w:rFonts w:hint="eastAsia" w:ascii="仿宋" w:hAnsi="仿宋" w:eastAsia="仿宋" w:cs="仿宋"/>
          <w:color w:val="262626"/>
          <w:kern w:val="0"/>
          <w:szCs w:val="21"/>
        </w:rPr>
        <w:t>中的估计值</w:t>
      </w:r>
      <w:r>
        <w:rPr>
          <w:rFonts w:hint="eastAsia" w:ascii="仿宋" w:hAnsi="仿宋" w:eastAsia="仿宋" w:cs="仿宋"/>
          <w:color w:val="262626"/>
          <w:kern w:val="0"/>
          <w:szCs w:val="21"/>
        </w:rPr>
        <w:t>基本</w:t>
      </w:r>
      <w:r>
        <w:rPr>
          <w:rFonts w:hint="eastAsia" w:ascii="仿宋" w:hAnsi="仿宋" w:eastAsia="仿宋" w:cs="仿宋"/>
          <w:color w:val="262626"/>
          <w:kern w:val="0"/>
          <w:szCs w:val="21"/>
        </w:rPr>
        <w:t>一致。</w:t>
      </w:r>
    </w:p>
    <w:p>
      <w:pPr>
        <w:snapToGrid w:val="0"/>
        <w:ind w:firstLine="420"/>
        <w:rPr>
          <w:rFonts w:hint="eastAsia" w:ascii="仿宋" w:hAnsi="仿宋" w:eastAsia="仿宋" w:cs="仿宋"/>
          <w:color w:val="262626"/>
          <w:kern w:val="0"/>
          <w:szCs w:val="21"/>
        </w:rPr>
      </w:pPr>
    </w:p>
    <w:p>
      <w:pPr>
        <w:autoSpaceDE w:val="0"/>
        <w:autoSpaceDN w:val="0"/>
        <w:adjustRightInd w:val="0"/>
        <w:snapToGrid w:val="0"/>
        <w:spacing w:after="156" w:afterLines="50"/>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（2）二胎政策</w:t>
      </w:r>
    </w:p>
    <w:p>
      <w:pPr>
        <w:widowControl/>
        <w:snapToGrid w:val="0"/>
        <w:ind w:firstLine="420" w:firstLineChars="200"/>
        <w:rPr>
          <w:rFonts w:hint="eastAsia" w:ascii="仿宋" w:hAnsi="仿宋" w:eastAsia="仿宋" w:cs="仿宋"/>
          <w:bCs/>
          <w:szCs w:val="21"/>
          <w:lang w:eastAsia="zh-Hans"/>
        </w:rPr>
      </w:pPr>
      <w:r>
        <w:rPr>
          <w:rFonts w:hint="eastAsia" w:ascii="仿宋" w:hAnsi="仿宋" w:eastAsia="仿宋" w:cs="仿宋"/>
          <w:szCs w:val="21"/>
          <w:lang w:eastAsia="zh-Hans"/>
        </w:rPr>
        <w:t>中国</w:t>
      </w:r>
      <w:r>
        <w:rPr>
          <w:rFonts w:hint="eastAsia" w:ascii="仿宋" w:hAnsi="仿宋" w:eastAsia="仿宋" w:cs="仿宋"/>
          <w:szCs w:val="21"/>
        </w:rPr>
        <w:t>的计划生育政策始于</w:t>
      </w:r>
      <w:r>
        <w:rPr>
          <w:rFonts w:hint="eastAsia" w:ascii="仿宋" w:hAnsi="仿宋" w:eastAsia="仿宋" w:cs="仿宋"/>
          <w:szCs w:val="21"/>
          <w:lang w:eastAsia="zh-Hans"/>
        </w:rPr>
        <w:t>1979年</w:t>
      </w:r>
      <w:r>
        <w:rPr>
          <w:rFonts w:hint="eastAsia" w:ascii="仿宋" w:hAnsi="仿宋" w:eastAsia="仿宋" w:cs="仿宋"/>
          <w:szCs w:val="21"/>
        </w:rPr>
        <w:t>。</w:t>
      </w:r>
      <w:r>
        <w:rPr>
          <w:rFonts w:hint="eastAsia" w:ascii="仿宋" w:hAnsi="仿宋" w:eastAsia="仿宋" w:cs="仿宋"/>
          <w:szCs w:val="21"/>
        </w:rPr>
        <w:t>刚开始施行的是</w:t>
      </w:r>
      <w:r>
        <w:rPr>
          <w:rFonts w:hint="eastAsia" w:ascii="仿宋" w:hAnsi="仿宋" w:eastAsia="仿宋" w:cs="仿宋"/>
          <w:szCs w:val="21"/>
          <w:lang w:eastAsia="zh-Hans"/>
        </w:rPr>
        <w:t>严格的</w:t>
      </w:r>
      <w:r>
        <w:rPr>
          <w:rFonts w:hint="eastAsia" w:ascii="仿宋" w:hAnsi="仿宋" w:eastAsia="仿宋" w:cs="仿宋"/>
          <w:szCs w:val="21"/>
        </w:rPr>
        <w:t>“</w:t>
      </w:r>
      <w:r>
        <w:rPr>
          <w:rFonts w:hint="eastAsia" w:ascii="仿宋" w:hAnsi="仿宋" w:eastAsia="仿宋" w:cs="仿宋"/>
          <w:szCs w:val="21"/>
          <w:lang w:eastAsia="zh-Hans"/>
        </w:rPr>
        <w:t>一胎</w:t>
      </w:r>
      <w:r>
        <w:rPr>
          <w:rFonts w:hint="eastAsia" w:ascii="仿宋" w:hAnsi="仿宋" w:eastAsia="仿宋" w:cs="仿宋"/>
          <w:szCs w:val="21"/>
        </w:rPr>
        <w:t>”</w:t>
      </w:r>
      <w:r>
        <w:rPr>
          <w:rFonts w:hint="eastAsia" w:ascii="仿宋" w:hAnsi="仿宋" w:eastAsia="仿宋" w:cs="仿宋"/>
          <w:szCs w:val="21"/>
          <w:lang w:eastAsia="zh-Hans"/>
        </w:rPr>
        <w:t>政策，随后逐渐放松</w:t>
      </w:r>
      <w:r>
        <w:rPr>
          <w:rFonts w:hint="eastAsia" w:ascii="仿宋" w:hAnsi="仿宋" w:eastAsia="仿宋" w:cs="仿宋"/>
          <w:szCs w:val="21"/>
        </w:rPr>
        <w:t>，先是</w:t>
      </w:r>
      <w:r>
        <w:rPr>
          <w:rFonts w:hint="eastAsia" w:ascii="仿宋" w:hAnsi="仿宋" w:eastAsia="仿宋" w:cs="仿宋"/>
          <w:szCs w:val="21"/>
          <w:lang w:eastAsia="zh-Hans"/>
        </w:rPr>
        <w:t>允许夫妻均为独生子女的家庭生育第二胎，即“双独二胎”政策，</w:t>
      </w:r>
      <w:r>
        <w:rPr>
          <w:rFonts w:hint="eastAsia" w:ascii="仿宋" w:hAnsi="仿宋" w:eastAsia="仿宋" w:cs="仿宋"/>
          <w:szCs w:val="21"/>
        </w:rPr>
        <w:t>后来又</w:t>
      </w:r>
      <w:r>
        <w:rPr>
          <w:rFonts w:hint="eastAsia" w:ascii="仿宋" w:hAnsi="仿宋" w:eastAsia="仿宋" w:cs="仿宋"/>
          <w:kern w:val="0"/>
          <w:szCs w:val="21"/>
          <w:shd w:val="clear" w:color="auto" w:fill="FFFFFF"/>
          <w:lang w:bidi="ar"/>
        </w:rPr>
        <w:t>允许一方是独生子女的夫妇生育两个子女，</w:t>
      </w:r>
      <w:r>
        <w:rPr>
          <w:rFonts w:hint="eastAsia" w:ascii="仿宋" w:hAnsi="仿宋" w:eastAsia="仿宋" w:cs="仿宋"/>
          <w:kern w:val="0"/>
          <w:szCs w:val="21"/>
          <w:shd w:val="clear" w:color="auto" w:fill="FFFFFF"/>
          <w:lang w:eastAsia="zh-Hans" w:bidi="ar"/>
        </w:rPr>
        <w:t>即“单独二胎”政策。如果各地“二胎”生育政策的放开和幼儿园</w:t>
      </w:r>
      <w:r>
        <w:rPr>
          <w:rFonts w:hint="eastAsia" w:ascii="仿宋" w:hAnsi="仿宋" w:eastAsia="仿宋" w:cs="仿宋"/>
          <w:kern w:val="0"/>
          <w:szCs w:val="21"/>
          <w:shd w:val="clear" w:color="auto" w:fill="FFFFFF"/>
          <w:lang w:bidi="ar"/>
        </w:rPr>
        <w:t>密度增长的</w:t>
      </w:r>
      <w:r>
        <w:rPr>
          <w:rFonts w:hint="eastAsia" w:ascii="仿宋" w:hAnsi="仿宋" w:eastAsia="仿宋" w:cs="仿宋"/>
          <w:kern w:val="0"/>
          <w:szCs w:val="21"/>
          <w:shd w:val="clear" w:color="auto" w:fill="FFFFFF"/>
          <w:lang w:eastAsia="zh-Hans" w:bidi="ar"/>
        </w:rPr>
        <w:t>速度相关，则式</w:t>
      </w:r>
      <w:r>
        <w:rPr>
          <w:rFonts w:hint="eastAsia" w:ascii="仿宋" w:hAnsi="仿宋" w:eastAsia="仿宋" w:cs="仿宋"/>
          <w:kern w:val="0"/>
          <w:szCs w:val="21"/>
          <w:shd w:val="clear" w:color="auto" w:fill="FFFFFF"/>
          <w:lang w:bidi="ar"/>
        </w:rPr>
        <w:t>（1）和（3）</w:t>
      </w:r>
      <w:r>
        <w:rPr>
          <w:rFonts w:hint="eastAsia" w:ascii="仿宋" w:hAnsi="仿宋" w:eastAsia="仿宋" w:cs="仿宋"/>
          <w:kern w:val="0"/>
          <w:szCs w:val="21"/>
          <w:shd w:val="clear" w:color="auto" w:fill="FFFFFF"/>
          <w:lang w:eastAsia="zh-Hans" w:bidi="ar"/>
        </w:rPr>
        <w:t>中幼儿园密度的</w:t>
      </w:r>
      <w:r>
        <w:rPr>
          <w:rFonts w:hint="eastAsia" w:ascii="仿宋" w:hAnsi="仿宋" w:eastAsia="仿宋" w:cs="仿宋"/>
          <w:kern w:val="0"/>
          <w:szCs w:val="21"/>
          <w:shd w:val="clear" w:color="auto" w:fill="FFFFFF"/>
          <w:lang w:bidi="ar"/>
        </w:rPr>
        <w:t>估计</w:t>
      </w:r>
      <w:r>
        <w:rPr>
          <w:rFonts w:hint="eastAsia" w:ascii="仿宋" w:hAnsi="仿宋" w:eastAsia="仿宋" w:cs="仿宋"/>
          <w:kern w:val="0"/>
          <w:szCs w:val="21"/>
          <w:shd w:val="clear" w:color="auto" w:fill="FFFFFF"/>
          <w:lang w:eastAsia="zh-Hans" w:bidi="ar"/>
        </w:rPr>
        <w:t>系数是不一致的。</w:t>
      </w:r>
      <w:r>
        <w:rPr>
          <w:rFonts w:hint="eastAsia" w:ascii="仿宋" w:hAnsi="仿宋" w:eastAsia="仿宋" w:cs="仿宋"/>
          <w:kern w:val="0"/>
          <w:szCs w:val="21"/>
          <w:shd w:val="clear" w:color="auto" w:fill="FFFFFF"/>
          <w:lang w:bidi="ar"/>
        </w:rPr>
        <w:t>由于</w:t>
      </w:r>
      <w:r>
        <w:rPr>
          <w:rFonts w:hint="eastAsia" w:ascii="仿宋" w:hAnsi="仿宋" w:eastAsia="仿宋" w:cs="仿宋"/>
          <w:szCs w:val="21"/>
        </w:rPr>
        <w:t>各地</w:t>
      </w:r>
      <w:r>
        <w:rPr>
          <w:rFonts w:hint="eastAsia" w:ascii="仿宋" w:hAnsi="仿宋" w:eastAsia="仿宋" w:cs="仿宋"/>
          <w:szCs w:val="21"/>
          <w:lang w:eastAsia="zh-Hans"/>
        </w:rPr>
        <w:t>“双独二胎”和</w:t>
      </w:r>
      <w:r>
        <w:rPr>
          <w:rFonts w:hint="eastAsia" w:ascii="仿宋" w:hAnsi="仿宋" w:eastAsia="仿宋" w:cs="仿宋"/>
          <w:kern w:val="0"/>
          <w:szCs w:val="21"/>
          <w:shd w:val="clear" w:color="auto" w:fill="FFFFFF"/>
          <w:lang w:eastAsia="zh-Hans" w:bidi="ar"/>
        </w:rPr>
        <w:t>“单独二胎”政策实施时间</w:t>
      </w:r>
      <w:r>
        <w:rPr>
          <w:rFonts w:hint="eastAsia" w:ascii="仿宋" w:hAnsi="仿宋" w:eastAsia="仿宋" w:cs="仿宋"/>
          <w:kern w:val="0"/>
          <w:szCs w:val="21"/>
          <w:shd w:val="clear" w:color="auto" w:fill="FFFFFF"/>
          <w:lang w:bidi="ar"/>
        </w:rPr>
        <w:t>上的变异仅限于省层面</w:t>
      </w:r>
      <w:r>
        <w:rPr>
          <w:rFonts w:hint="eastAsia" w:ascii="仿宋" w:hAnsi="仿宋" w:eastAsia="仿宋" w:cs="仿宋"/>
          <w:szCs w:val="21"/>
        </w:rPr>
        <w:t>，</w:t>
      </w:r>
      <w:r>
        <w:rPr>
          <w:rFonts w:hint="eastAsia" w:ascii="仿宋" w:hAnsi="仿宋" w:eastAsia="仿宋" w:cs="仿宋"/>
          <w:kern w:val="0"/>
          <w:szCs w:val="21"/>
          <w:shd w:val="clear" w:color="auto" w:fill="FFFFFF"/>
          <w:lang w:bidi="ar"/>
        </w:rPr>
        <w:t>而</w:t>
      </w:r>
      <w:r>
        <w:rPr>
          <w:rFonts w:hint="eastAsia" w:ascii="仿宋" w:hAnsi="仿宋" w:eastAsia="仿宋" w:cs="仿宋"/>
          <w:szCs w:val="21"/>
        </w:rPr>
        <w:t>在回归中</w:t>
      </w:r>
      <w:r>
        <w:rPr>
          <w:rFonts w:hint="eastAsia" w:ascii="仿宋" w:hAnsi="仿宋" w:eastAsia="仿宋" w:cs="仿宋"/>
          <w:szCs w:val="21"/>
          <w:lang w:eastAsia="zh-Hans"/>
        </w:rPr>
        <w:t>我们</w:t>
      </w:r>
      <w:r>
        <w:rPr>
          <w:rFonts w:hint="eastAsia" w:ascii="仿宋" w:hAnsi="仿宋" w:eastAsia="仿宋" w:cs="仿宋"/>
          <w:szCs w:val="21"/>
        </w:rPr>
        <w:t>已经</w:t>
      </w:r>
      <w:r>
        <w:rPr>
          <w:rFonts w:hint="eastAsia" w:ascii="仿宋" w:hAnsi="仿宋" w:eastAsia="仿宋" w:cs="仿宋"/>
          <w:szCs w:val="21"/>
          <w:lang w:eastAsia="zh-Hans"/>
        </w:rPr>
        <w:t>控制了</w:t>
      </w:r>
      <w:r>
        <w:rPr>
          <w:rFonts w:hint="eastAsia" w:ascii="仿宋" w:hAnsi="仿宋" w:eastAsia="仿宋" w:cs="仿宋"/>
          <w:szCs w:val="21"/>
        </w:rPr>
        <w:t>省份–出生年份固定效应，因而</w:t>
      </w:r>
      <w:r>
        <w:rPr>
          <w:rFonts w:hint="eastAsia" w:ascii="仿宋" w:hAnsi="仿宋" w:eastAsia="仿宋" w:cs="仿宋"/>
          <w:color w:val="333333"/>
          <w:kern w:val="0"/>
          <w:szCs w:val="21"/>
          <w:shd w:val="clear" w:color="auto" w:fill="FFFFFF"/>
          <w:lang w:bidi="ar"/>
        </w:rPr>
        <w:t>我们实际上已经在基准回归中</w:t>
      </w:r>
      <w:r>
        <w:rPr>
          <w:rFonts w:hint="eastAsia" w:ascii="仿宋" w:hAnsi="仿宋" w:eastAsia="仿宋" w:cs="仿宋"/>
          <w:szCs w:val="21"/>
          <w:lang w:eastAsia="zh-Hans"/>
        </w:rPr>
        <w:t>考虑了</w:t>
      </w:r>
      <w:r>
        <w:rPr>
          <w:rFonts w:hint="eastAsia" w:ascii="仿宋" w:hAnsi="仿宋" w:eastAsia="仿宋" w:cs="仿宋"/>
          <w:szCs w:val="21"/>
        </w:rPr>
        <w:t>二胎</w:t>
      </w:r>
      <w:r>
        <w:rPr>
          <w:rFonts w:hint="eastAsia" w:ascii="仿宋" w:hAnsi="仿宋" w:eastAsia="仿宋" w:cs="仿宋"/>
          <w:szCs w:val="21"/>
          <w:lang w:eastAsia="zh-Hans"/>
        </w:rPr>
        <w:t>政策对不同出生年份儿童的可能影响。</w:t>
      </w:r>
    </w:p>
    <w:p>
      <w:pPr>
        <w:autoSpaceDE w:val="0"/>
        <w:autoSpaceDN w:val="0"/>
        <w:adjustRightInd w:val="0"/>
        <w:snapToGrid w:val="0"/>
        <w:rPr>
          <w:rFonts w:hint="eastAsia" w:ascii="仿宋" w:hAnsi="仿宋" w:eastAsia="仿宋" w:cs="仿宋"/>
          <w:b/>
          <w:bCs/>
          <w:sz w:val="24"/>
          <w:lang w:eastAsia="zh-Hans"/>
        </w:rPr>
      </w:pPr>
    </w:p>
    <w:p>
      <w:pPr>
        <w:autoSpaceDE w:val="0"/>
        <w:autoSpaceDN w:val="0"/>
        <w:adjustRightInd w:val="0"/>
        <w:snapToGrid w:val="0"/>
        <w:spacing w:after="156" w:afterLines="50"/>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（3）免费义务教育改革</w:t>
      </w:r>
    </w:p>
    <w:p>
      <w:pPr>
        <w:autoSpaceDE w:val="0"/>
        <w:autoSpaceDN w:val="0"/>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中国</w:t>
      </w:r>
      <w:r>
        <w:rPr>
          <w:rFonts w:hint="eastAsia" w:ascii="仿宋" w:hAnsi="仿宋" w:eastAsia="仿宋" w:cs="仿宋"/>
          <w:szCs w:val="21"/>
          <w:lang w:eastAsia="zh-Hans"/>
        </w:rPr>
        <w:t>农村地区</w:t>
      </w:r>
      <w:r>
        <w:rPr>
          <w:rFonts w:hint="eastAsia" w:ascii="仿宋" w:hAnsi="仿宋" w:eastAsia="仿宋" w:cs="仿宋"/>
          <w:szCs w:val="21"/>
        </w:rPr>
        <w:t>从</w:t>
      </w:r>
      <w:r>
        <w:rPr>
          <w:rFonts w:hint="eastAsia" w:ascii="仿宋" w:hAnsi="仿宋" w:eastAsia="仿宋" w:cs="仿宋"/>
          <w:szCs w:val="21"/>
          <w:lang w:eastAsia="zh-Hans"/>
        </w:rPr>
        <w:t>2006年3月开始陆续</w:t>
      </w:r>
      <w:r>
        <w:rPr>
          <w:rFonts w:hint="eastAsia" w:ascii="仿宋" w:hAnsi="仿宋" w:eastAsia="仿宋" w:cs="仿宋"/>
          <w:szCs w:val="21"/>
        </w:rPr>
        <w:t>开展</w:t>
      </w:r>
      <w:r>
        <w:rPr>
          <w:rFonts w:hint="eastAsia" w:ascii="仿宋" w:hAnsi="仿宋" w:eastAsia="仿宋" w:cs="仿宋"/>
          <w:szCs w:val="21"/>
          <w:lang w:eastAsia="zh-Hans"/>
        </w:rPr>
        <w:t>免费义务教育改革，并于2007年3月全面实施免费义务教育</w:t>
      </w:r>
      <w:r>
        <w:rPr>
          <w:rFonts w:hint="eastAsia" w:ascii="仿宋" w:hAnsi="仿宋" w:eastAsia="仿宋" w:cs="仿宋"/>
          <w:szCs w:val="21"/>
        </w:rPr>
        <w:t>。城镇地区则于2008年9月开始全面实施免费义务教育。如果免费义务教育改革的实施时间和幼儿园密度增长的速度相关，我们估计得到的幼儿园密度对儿童幼儿园入学和认知能力的影响将存在偏误。由于实施</w:t>
      </w:r>
      <w:r>
        <w:rPr>
          <w:rFonts w:hint="eastAsia" w:ascii="仿宋" w:hAnsi="仿宋" w:eastAsia="仿宋" w:cs="仿宋"/>
          <w:szCs w:val="21"/>
          <w:lang w:eastAsia="zh-Hans"/>
        </w:rPr>
        <w:t>免费义务教育改革</w:t>
      </w:r>
      <w:r>
        <w:rPr>
          <w:rFonts w:hint="eastAsia" w:ascii="仿宋" w:hAnsi="仿宋" w:eastAsia="仿宋" w:cs="仿宋"/>
          <w:szCs w:val="21"/>
        </w:rPr>
        <w:t>的时间因省和城乡而不同，</w:t>
      </w:r>
      <w:r>
        <w:rPr>
          <w:rFonts w:hint="eastAsia" w:ascii="仿宋" w:hAnsi="仿宋" w:eastAsia="仿宋" w:cs="仿宋"/>
          <w:szCs w:val="21"/>
          <w:lang w:eastAsia="zh-Hans"/>
        </w:rPr>
        <w:t>我们在</w:t>
      </w:r>
      <w:r>
        <w:rPr>
          <w:rFonts w:hint="eastAsia" w:ascii="仿宋" w:hAnsi="仿宋" w:eastAsia="仿宋" w:cs="仿宋"/>
          <w:szCs w:val="21"/>
        </w:rPr>
        <w:t>回归</w:t>
      </w:r>
      <w:r>
        <w:rPr>
          <w:rFonts w:hint="eastAsia" w:ascii="仿宋" w:hAnsi="仿宋" w:eastAsia="仿宋" w:cs="仿宋"/>
          <w:szCs w:val="21"/>
          <w:lang w:eastAsia="zh-Hans"/>
        </w:rPr>
        <w:t>中加入</w:t>
      </w:r>
      <w:r>
        <w:rPr>
          <w:rFonts w:hint="eastAsia" w:ascii="仿宋" w:hAnsi="仿宋" w:eastAsia="仿宋" w:cs="仿宋"/>
          <w:szCs w:val="21"/>
        </w:rPr>
        <w:t>了省份-</w:t>
      </w:r>
      <w:r>
        <w:rPr>
          <w:rFonts w:hint="eastAsia" w:ascii="仿宋" w:hAnsi="仿宋" w:eastAsia="仿宋" w:cs="仿宋"/>
          <w:szCs w:val="21"/>
          <w:lang w:eastAsia="zh-Hans"/>
        </w:rPr>
        <w:t>城镇</w:t>
      </w:r>
      <w:r>
        <w:rPr>
          <w:rFonts w:hint="eastAsia" w:ascii="仿宋" w:hAnsi="仿宋" w:eastAsia="仿宋" w:cs="仿宋"/>
          <w:szCs w:val="21"/>
        </w:rPr>
        <w:t>-出生年份固定效应，</w:t>
      </w:r>
      <w:r>
        <w:rPr>
          <w:rFonts w:hint="eastAsia" w:ascii="仿宋" w:hAnsi="仿宋" w:eastAsia="仿宋" w:cs="仿宋"/>
          <w:color w:val="000000" w:themeColor="text1"/>
          <w:szCs w:val="21"/>
          <w14:textFill>
            <w14:solidFill>
              <w14:schemeClr w14:val="tx1"/>
            </w14:solidFill>
          </w14:textFill>
        </w:rPr>
        <w:t>并在表V</w:t>
      </w: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的</w:t>
      </w:r>
      <w:r>
        <w:rPr>
          <w:rFonts w:hint="eastAsia" w:ascii="仿宋" w:hAnsi="仿宋" w:eastAsia="仿宋" w:cs="仿宋"/>
          <w:color w:val="000000" w:themeColor="text1"/>
          <w:szCs w:val="21"/>
          <w14:textFill>
            <w14:solidFill>
              <w14:schemeClr w14:val="tx1"/>
            </w14:solidFill>
          </w14:textFill>
        </w:rPr>
        <w:t>Panel B</w:t>
      </w:r>
      <w:r>
        <w:rPr>
          <w:rFonts w:hint="eastAsia" w:ascii="仿宋" w:hAnsi="仿宋" w:eastAsia="仿宋" w:cs="仿宋"/>
          <w:szCs w:val="21"/>
        </w:rPr>
        <w:t>中报告了回归结果。控制了省份</w:t>
      </w:r>
      <w:r>
        <w:rPr>
          <w:rFonts w:hint="eastAsia" w:ascii="仿宋" w:hAnsi="仿宋" w:eastAsia="仿宋" w:cs="仿宋"/>
          <w:color w:val="000000"/>
          <w:kern w:val="0"/>
          <w:szCs w:val="21"/>
        </w:rPr>
        <w:t>-</w:t>
      </w:r>
      <w:r>
        <w:rPr>
          <w:rFonts w:hint="eastAsia" w:ascii="仿宋" w:hAnsi="仿宋" w:eastAsia="仿宋" w:cs="仿宋"/>
          <w:szCs w:val="21"/>
          <w:lang w:eastAsia="zh-Hans"/>
        </w:rPr>
        <w:t>城镇</w:t>
      </w:r>
      <w:r>
        <w:rPr>
          <w:rFonts w:hint="eastAsia" w:ascii="仿宋" w:hAnsi="仿宋" w:eastAsia="仿宋" w:cs="仿宋"/>
          <w:color w:val="000000"/>
          <w:kern w:val="0"/>
          <w:szCs w:val="21"/>
        </w:rPr>
        <w:t>-</w:t>
      </w:r>
      <w:r>
        <w:rPr>
          <w:rFonts w:hint="eastAsia" w:ascii="仿宋" w:hAnsi="仿宋" w:eastAsia="仿宋" w:cs="仿宋"/>
          <w:szCs w:val="21"/>
        </w:rPr>
        <w:t>出生年份固定效应后，</w:t>
      </w:r>
      <w:r>
        <w:rPr>
          <w:rFonts w:hint="eastAsia" w:ascii="仿宋" w:hAnsi="仿宋" w:eastAsia="仿宋" w:cs="仿宋"/>
          <w:szCs w:val="21"/>
          <w:lang w:eastAsia="zh-Hans"/>
        </w:rPr>
        <w:t>结果和表</w:t>
      </w:r>
      <w:r>
        <w:rPr>
          <w:rFonts w:hint="eastAsia" w:ascii="仿宋" w:hAnsi="仿宋" w:eastAsia="仿宋" w:cs="仿宋"/>
          <w:szCs w:val="21"/>
        </w:rPr>
        <w:t>2、表3</w:t>
      </w:r>
      <w:r>
        <w:rPr>
          <w:rFonts w:hint="eastAsia" w:ascii="仿宋" w:hAnsi="仿宋" w:eastAsia="仿宋" w:cs="仿宋"/>
          <w:szCs w:val="21"/>
          <w:lang w:eastAsia="zh-Hans"/>
        </w:rPr>
        <w:t>基本</w:t>
      </w:r>
      <w:r>
        <w:rPr>
          <w:rFonts w:hint="eastAsia" w:ascii="仿宋" w:hAnsi="仿宋" w:eastAsia="仿宋" w:cs="仿宋"/>
          <w:szCs w:val="21"/>
        </w:rPr>
        <w:t>一致</w:t>
      </w:r>
      <w:r>
        <w:rPr>
          <w:rFonts w:hint="eastAsia" w:ascii="仿宋" w:hAnsi="仿宋" w:eastAsia="仿宋" w:cs="仿宋"/>
          <w:szCs w:val="21"/>
          <w:lang w:eastAsia="zh-Hans"/>
        </w:rPr>
        <w:t>。</w:t>
      </w:r>
      <w:r>
        <w:rPr>
          <w:rFonts w:hint="eastAsia" w:ascii="仿宋" w:hAnsi="仿宋" w:eastAsia="仿宋" w:cs="仿宋"/>
          <w:szCs w:val="21"/>
        </w:rPr>
        <w:t>因此，我们的估计结果不受免费义务教育改革的干扰。</w:t>
      </w:r>
    </w:p>
    <w:p>
      <w:pPr>
        <w:autoSpaceDE w:val="0"/>
        <w:autoSpaceDN w:val="0"/>
        <w:adjustRightInd w:val="0"/>
        <w:snapToGrid w:val="0"/>
        <w:rPr>
          <w:rFonts w:hint="eastAsia" w:ascii="仿宋" w:hAnsi="仿宋" w:eastAsia="仿宋" w:cs="仿宋"/>
          <w:color w:val="000000" w:themeColor="text1"/>
          <w:szCs w:val="21"/>
          <w14:textFill>
            <w14:solidFill>
              <w14:schemeClr w14:val="tx1"/>
            </w14:solidFill>
          </w14:textFill>
        </w:rPr>
      </w:pPr>
    </w:p>
    <w:p>
      <w:pPr>
        <w:autoSpaceDE w:val="0"/>
        <w:autoSpaceDN w:val="0"/>
        <w:adjustRightInd w:val="0"/>
        <w:snapToGrid w:val="0"/>
        <w:spacing w:after="156" w:afterLines="50"/>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（4）农村义务教育学生营养改善计划</w:t>
      </w:r>
    </w:p>
    <w:p>
      <w:pPr>
        <w:widowControl/>
        <w:snapToGrid w:val="0"/>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从2011年秋季学期起，国家在集中连片特殊困难地区启动农村 (不含县城，下同）义务教育学生营养改善计划试点工作。试点工作由省级人民政府统筹，市、县级人民政府组织具体实施。如果实施营养改善计划的县更可能经历学前教育机构的快速扩张，</w:t>
      </w:r>
      <w:r>
        <w:rPr>
          <w:rFonts w:hint="eastAsia" w:ascii="仿宋" w:hAnsi="仿宋" w:eastAsia="仿宋" w:cs="仿宋"/>
          <w:color w:val="000000" w:themeColor="text1"/>
          <w:szCs w:val="21"/>
          <w14:textFill>
            <w14:solidFill>
              <w14:schemeClr w14:val="tx1"/>
            </w14:solidFill>
          </w14:textFill>
        </w:rPr>
        <w:t>我们估计得到的幼儿园密度对儿童认知能力的影响</w:t>
      </w:r>
      <w:r>
        <w:rPr>
          <w:rFonts w:hint="eastAsia" w:ascii="仿宋" w:hAnsi="仿宋" w:eastAsia="仿宋" w:cs="仿宋"/>
          <w:color w:val="000000" w:themeColor="text1"/>
          <w:szCs w:val="21"/>
          <w14:textFill>
            <w14:solidFill>
              <w14:schemeClr w14:val="tx1"/>
            </w14:solidFill>
          </w14:textFill>
        </w:rPr>
        <w:t>可能包含了营养改善计划的效应。我们从</w:t>
      </w:r>
      <w:r>
        <w:rPr>
          <w:rFonts w:hint="eastAsia" w:ascii="仿宋" w:hAnsi="仿宋" w:eastAsia="仿宋" w:cs="仿宋"/>
        </w:rPr>
        <w:t>中华人民共和国教育部网站获取了各县试点</w:t>
      </w:r>
      <w:r>
        <w:rPr>
          <w:rFonts w:hint="eastAsia" w:ascii="仿宋" w:hAnsi="仿宋" w:eastAsia="仿宋" w:cs="仿宋"/>
        </w:rPr>
        <w:t>农村义务教育学生营养改善计划</w:t>
      </w:r>
      <w:r>
        <w:rPr>
          <w:rFonts w:hint="eastAsia" w:ascii="仿宋" w:hAnsi="仿宋" w:eastAsia="仿宋" w:cs="仿宋"/>
        </w:rPr>
        <w:t>的时间，并在回归方程中</w:t>
      </w:r>
      <w:r>
        <w:rPr>
          <w:rFonts w:hint="eastAsia" w:ascii="仿宋" w:hAnsi="仿宋" w:eastAsia="仿宋" w:cs="仿宋"/>
          <w:color w:val="000000" w:themeColor="text1"/>
          <w:szCs w:val="21"/>
          <w14:textFill>
            <w14:solidFill>
              <w14:schemeClr w14:val="tx1"/>
            </w14:solidFill>
          </w14:textFill>
        </w:rPr>
        <w:t>控制了儿童在调查时点被农村营养改善计划影响的时长</w:t>
      </w:r>
      <w:r>
        <w:rPr>
          <w:rFonts w:hint="eastAsia" w:ascii="仿宋" w:hAnsi="仿宋" w:eastAsia="仿宋" w:cs="仿宋"/>
        </w:rPr>
        <w:t>。</w:t>
      </w:r>
      <w:r>
        <w:rPr>
          <w:rFonts w:hint="eastAsia" w:ascii="仿宋" w:hAnsi="仿宋" w:eastAsia="仿宋" w:cs="仿宋"/>
          <w:color w:val="000000" w:themeColor="text1"/>
          <w:szCs w:val="21"/>
          <w14:textFill>
            <w14:solidFill>
              <w14:schemeClr w14:val="tx1"/>
            </w14:solidFill>
          </w14:textFill>
        </w:rPr>
        <w:t>表</w:t>
      </w:r>
      <w:r>
        <w:rPr>
          <w:rFonts w:hint="eastAsia" w:ascii="仿宋" w:hAnsi="仿宋" w:eastAsia="仿宋" w:cs="仿宋"/>
          <w:color w:val="000000" w:themeColor="text1"/>
          <w:szCs w:val="21"/>
          <w14:textFill>
            <w14:solidFill>
              <w14:schemeClr w14:val="tx1"/>
            </w14:solidFill>
          </w14:textFill>
        </w:rPr>
        <w:t>V</w:t>
      </w:r>
      <w:r>
        <w:rPr>
          <w:rFonts w:hint="eastAsia" w:ascii="仿宋" w:hAnsi="仿宋" w:eastAsia="仿宋" w:cs="仿宋"/>
          <w:color w:val="000000" w:themeColor="text1"/>
          <w:szCs w:val="21"/>
          <w14:textFill>
            <w14:solidFill>
              <w14:schemeClr w14:val="tx1"/>
            </w14:solidFill>
          </w14:textFill>
        </w:rPr>
        <w:t xml:space="preserve">1的Panel </w:t>
      </w:r>
      <w:r>
        <w:rPr>
          <w:rFonts w:hint="eastAsia" w:ascii="仿宋" w:hAnsi="仿宋" w:eastAsia="仿宋" w:cs="仿宋"/>
          <w:color w:val="000000" w:themeColor="text1"/>
          <w:szCs w:val="21"/>
          <w14:textFill>
            <w14:solidFill>
              <w14:schemeClr w14:val="tx1"/>
            </w14:solidFill>
          </w14:textFill>
        </w:rPr>
        <w:t>C显示主要结果没有太大的变化。</w:t>
      </w:r>
    </w:p>
    <w:p>
      <w:pPr>
        <w:autoSpaceDE w:val="0"/>
        <w:autoSpaceDN w:val="0"/>
        <w:adjustRightInd w:val="0"/>
        <w:jc w:val="center"/>
        <w:rPr>
          <w:rFonts w:hint="eastAsia" w:ascii="仿宋" w:hAnsi="仿宋" w:eastAsia="仿宋" w:cs="仿宋"/>
          <w:color w:val="000000"/>
          <w:kern w:val="0"/>
          <w:szCs w:val="21"/>
        </w:rPr>
      </w:pPr>
    </w:p>
    <w:p>
      <w:pPr>
        <w:autoSpaceDE w:val="0"/>
        <w:autoSpaceDN w:val="0"/>
        <w:adjustRightInd w:val="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表V1  稳健性检验: 干扰因素的影响</w:t>
      </w:r>
    </w:p>
    <w:tbl>
      <w:tblPr>
        <w:tblStyle w:val="16"/>
        <w:tblW w:w="0" w:type="auto"/>
        <w:jc w:val="center"/>
        <w:tblLayout w:type="fixed"/>
        <w:tblCellMar>
          <w:top w:w="0" w:type="dxa"/>
          <w:left w:w="75" w:type="dxa"/>
          <w:bottom w:w="0" w:type="dxa"/>
          <w:right w:w="75" w:type="dxa"/>
        </w:tblCellMar>
      </w:tblPr>
      <w:tblGrid>
        <w:gridCol w:w="3828"/>
        <w:gridCol w:w="1257"/>
        <w:gridCol w:w="1257"/>
        <w:gridCol w:w="1257"/>
        <w:gridCol w:w="1257"/>
      </w:tblGrid>
      <w:tr>
        <w:tblPrEx>
          <w:tblCellMar>
            <w:top w:w="0" w:type="dxa"/>
            <w:left w:w="75" w:type="dxa"/>
            <w:bottom w:w="0" w:type="dxa"/>
            <w:right w:w="75" w:type="dxa"/>
          </w:tblCellMar>
        </w:tblPrEx>
        <w:trPr>
          <w:jc w:val="center"/>
        </w:trPr>
        <w:tc>
          <w:tcPr>
            <w:tcW w:w="3828" w:type="dxa"/>
            <w:tcBorders>
              <w:top w:val="single" w:color="auto" w:sz="4" w:space="0"/>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257" w:type="dxa"/>
            <w:tcBorders>
              <w:top w:val="single" w:color="auto" w:sz="4" w:space="0"/>
              <w:left w:val="nil"/>
              <w:bottom w:val="nil"/>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(1)</w:t>
            </w:r>
          </w:p>
        </w:tc>
        <w:tc>
          <w:tcPr>
            <w:tcW w:w="1257" w:type="dxa"/>
            <w:tcBorders>
              <w:top w:val="single" w:color="auto" w:sz="4"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(2)</w:t>
            </w:r>
          </w:p>
        </w:tc>
        <w:tc>
          <w:tcPr>
            <w:tcW w:w="1257" w:type="dxa"/>
            <w:tcBorders>
              <w:top w:val="single" w:color="auto" w:sz="4"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(3)</w:t>
            </w:r>
          </w:p>
        </w:tc>
        <w:tc>
          <w:tcPr>
            <w:tcW w:w="1257" w:type="dxa"/>
            <w:tcBorders>
              <w:top w:val="single" w:color="auto" w:sz="4" w:space="0"/>
              <w:left w:val="nil"/>
              <w:bottom w:val="nil"/>
              <w:right w:val="nil"/>
            </w:tcBorders>
          </w:tcPr>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lang w:eastAsia="zh-Hans"/>
              </w:rPr>
              <w:t>(4)</w:t>
            </w:r>
          </w:p>
        </w:tc>
      </w:tr>
      <w:tr>
        <w:tblPrEx>
          <w:tblCellMar>
            <w:top w:w="0" w:type="dxa"/>
            <w:left w:w="75" w:type="dxa"/>
            <w:bottom w:w="0" w:type="dxa"/>
            <w:right w:w="75" w:type="dxa"/>
          </w:tblCellMar>
        </w:tblPrEx>
        <w:trPr>
          <w:jc w:val="center"/>
        </w:trPr>
        <w:tc>
          <w:tcPr>
            <w:tcW w:w="3828" w:type="dxa"/>
            <w:tcBorders>
              <w:top w:val="nil"/>
              <w:left w:val="nil"/>
              <w:bottom w:val="single" w:color="auto" w:sz="6" w:space="0"/>
              <w:right w:val="nil"/>
            </w:tcBorders>
          </w:tcPr>
          <w:p>
            <w:pPr>
              <w:autoSpaceDE w:val="0"/>
              <w:autoSpaceDN w:val="0"/>
              <w:adjustRightInd w:val="0"/>
              <w:jc w:val="left"/>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变量</w:t>
            </w:r>
          </w:p>
        </w:tc>
        <w:tc>
          <w:tcPr>
            <w:tcW w:w="125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幼儿园入学</w:t>
            </w:r>
          </w:p>
        </w:tc>
        <w:tc>
          <w:tcPr>
            <w:tcW w:w="125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平均认知成绩</w:t>
            </w:r>
          </w:p>
        </w:tc>
        <w:tc>
          <w:tcPr>
            <w:tcW w:w="125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记忆测试成绩</w:t>
            </w:r>
          </w:p>
        </w:tc>
        <w:tc>
          <w:tcPr>
            <w:tcW w:w="1257" w:type="dxa"/>
            <w:tcBorders>
              <w:top w:val="nil"/>
              <w:left w:val="nil"/>
              <w:bottom w:val="single" w:color="auto" w:sz="6" w:space="0"/>
              <w:right w:val="nil"/>
            </w:tcBorders>
          </w:tcPr>
          <w:p>
            <w:pPr>
              <w:autoSpaceDE w:val="0"/>
              <w:autoSpaceDN w:val="0"/>
              <w:adjustRightInd w:val="0"/>
              <w:jc w:val="center"/>
              <w:rPr>
                <w:rFonts w:hint="eastAsia" w:ascii="仿宋" w:hAnsi="仿宋" w:eastAsia="仿宋" w:cs="仿宋"/>
                <w:kern w:val="0"/>
                <w:sz w:val="18"/>
                <w:szCs w:val="18"/>
                <w:lang w:eastAsia="zh-Hans"/>
              </w:rPr>
            </w:pPr>
            <w:r>
              <w:rPr>
                <w:rFonts w:hint="eastAsia" w:ascii="仿宋" w:hAnsi="仿宋" w:eastAsia="仿宋" w:cs="仿宋"/>
                <w:kern w:val="0"/>
                <w:sz w:val="18"/>
                <w:szCs w:val="18"/>
                <w:lang w:eastAsia="zh-Hans"/>
              </w:rPr>
              <w:t>数列测试成绩</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ind w:hanging="79"/>
              <w:jc w:val="left"/>
              <w:rPr>
                <w:rFonts w:hint="eastAsia" w:ascii="仿宋" w:hAnsi="仿宋" w:eastAsia="仿宋" w:cs="仿宋"/>
                <w:bCs/>
                <w:kern w:val="0"/>
                <w:sz w:val="18"/>
                <w:szCs w:val="18"/>
                <w:lang w:eastAsia="zh-Hans"/>
              </w:rPr>
            </w:pPr>
            <w:r>
              <w:rPr>
                <w:rFonts w:hint="eastAsia" w:ascii="仿宋" w:hAnsi="仿宋" w:eastAsia="仿宋" w:cs="仿宋"/>
                <w:bCs/>
                <w:kern w:val="0"/>
                <w:sz w:val="18"/>
                <w:szCs w:val="18"/>
                <w:lang w:eastAsia="zh-Hans"/>
              </w:rPr>
              <w:t xml:space="preserve">Panel A. </w:t>
            </w:r>
            <w:r>
              <w:rPr>
                <w:rFonts w:hint="eastAsia" w:ascii="仿宋" w:hAnsi="仿宋" w:eastAsia="仿宋" w:cs="仿宋"/>
                <w:bCs/>
                <w:kern w:val="0"/>
                <w:sz w:val="18"/>
                <w:szCs w:val="18"/>
              </w:rPr>
              <w:t>控制</w:t>
            </w:r>
            <w:r>
              <w:rPr>
                <w:rFonts w:hint="eastAsia" w:ascii="仿宋" w:hAnsi="仿宋" w:eastAsia="仿宋" w:cs="仿宋"/>
                <w:bCs/>
                <w:kern w:val="0"/>
                <w:sz w:val="18"/>
                <w:szCs w:val="18"/>
                <w:lang w:eastAsia="zh-Hans"/>
              </w:rPr>
              <w:t>撤点并校的影响</w:t>
            </w: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w:t>
            </w:r>
            <w:r>
              <w:rPr>
                <w:rFonts w:hint="eastAsia" w:ascii="仿宋" w:hAnsi="仿宋" w:eastAsia="仿宋" w:cs="仿宋"/>
                <w:kern w:val="0"/>
                <w:sz w:val="18"/>
                <w:szCs w:val="18"/>
                <w:lang w:eastAsia="zh-Hans"/>
              </w:rPr>
              <w:t>每千名适龄儿童幼儿园数量</w:t>
            </w:r>
            <w:r>
              <w:rPr>
                <w:rFonts w:hint="eastAsia" w:ascii="仿宋" w:hAnsi="仿宋" w:eastAsia="仿宋" w:cs="仿宋"/>
                <w:kern w:val="0"/>
                <w:sz w:val="18"/>
                <w:szCs w:val="18"/>
              </w:rPr>
              <w:t>）</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0.36***</w:t>
            </w: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(0.063)</w:t>
            </w: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c>
          <w:tcPr>
            <w:tcW w:w="1257" w:type="dxa"/>
            <w:tcBorders>
              <w:top w:val="nil"/>
              <w:left w:val="nil"/>
              <w:bottom w:val="nil"/>
              <w:right w:val="nil"/>
            </w:tcBorders>
          </w:tcPr>
          <w:p>
            <w:pPr>
              <w:autoSpaceDE w:val="0"/>
              <w:autoSpaceDN w:val="0"/>
              <w:adjustRightInd w:val="0"/>
              <w:jc w:val="center"/>
              <w:rPr>
                <w:rFonts w:hint="eastAsia" w:ascii="仿宋" w:hAnsi="仿宋" w:eastAsia="仿宋" w:cs="仿宋"/>
                <w:kern w:val="0"/>
                <w:sz w:val="18"/>
                <w:szCs w:val="18"/>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lang w:eastAsia="zh-Hans"/>
              </w:rPr>
              <w:t>幼儿园入学</w:t>
            </w: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1.00**</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0.21</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1.06**</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(0.50)</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(0.46)</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(0.48)</w:t>
            </w:r>
          </w:p>
        </w:tc>
      </w:tr>
      <w:tr>
        <w:tblPrEx>
          <w:tblCellMar>
            <w:top w:w="0" w:type="dxa"/>
            <w:left w:w="75" w:type="dxa"/>
            <w:bottom w:w="0" w:type="dxa"/>
            <w:right w:w="75" w:type="dxa"/>
          </w:tblCellMar>
        </w:tblPrEx>
        <w:trPr>
          <w:trHeight w:val="265" w:hRule="atLeast"/>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rPr>
              <w:t>l</w:t>
            </w:r>
            <w:r>
              <w:rPr>
                <w:rFonts w:hint="eastAsia" w:ascii="仿宋" w:hAnsi="仿宋" w:eastAsia="仿宋" w:cs="仿宋"/>
                <w:kern w:val="0"/>
                <w:sz w:val="18"/>
                <w:szCs w:val="18"/>
              </w:rPr>
              <w:t>og（7</w:t>
            </w:r>
            <w:r>
              <w:rPr>
                <w:rFonts w:hint="eastAsia" w:ascii="仿宋" w:hAnsi="仿宋" w:eastAsia="仿宋" w:cs="仿宋"/>
                <w:kern w:val="0"/>
                <w:sz w:val="18"/>
                <w:szCs w:val="18"/>
                <w:lang w:eastAsia="zh-Hans"/>
              </w:rPr>
              <w:t>岁时小学数量）</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-0.33***</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0.49*</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0.23</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0.43</w:t>
            </w:r>
          </w:p>
        </w:tc>
      </w:tr>
      <w:tr>
        <w:tblPrEx>
          <w:tblCellMar>
            <w:top w:w="0" w:type="dxa"/>
            <w:left w:w="75" w:type="dxa"/>
            <w:bottom w:w="0" w:type="dxa"/>
            <w:right w:w="75" w:type="dxa"/>
          </w:tblCellMar>
        </w:tblPrEx>
        <w:trPr>
          <w:trHeight w:val="90" w:hRule="atLeast"/>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(0.073)</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(0.28)</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(0.28)</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(0.27)</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kern w:val="0"/>
                <w:sz w:val="18"/>
                <w:szCs w:val="18"/>
                <w:lang w:eastAsia="zh-Hans"/>
              </w:rPr>
              <w:t>观测值</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1,478</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1,330</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1,330</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1,335</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0.483</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0.234</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0.290</w:t>
            </w:r>
          </w:p>
        </w:tc>
        <w:tc>
          <w:tcPr>
            <w:tcW w:w="1257" w:type="dxa"/>
            <w:tcBorders>
              <w:top w:val="nil"/>
              <w:left w:val="nil"/>
              <w:bottom w:val="nil"/>
              <w:right w:val="nil"/>
            </w:tcBorders>
          </w:tcPr>
          <w:p>
            <w:pPr>
              <w:jc w:val="center"/>
              <w:rPr>
                <w:rFonts w:hint="eastAsia" w:ascii="仿宋" w:hAnsi="仿宋" w:eastAsia="仿宋" w:cs="仿宋"/>
                <w:kern w:val="0"/>
                <w:sz w:val="18"/>
                <w:szCs w:val="18"/>
              </w:rPr>
            </w:pPr>
            <w:r>
              <w:rPr>
                <w:rFonts w:hint="eastAsia" w:ascii="仿宋" w:hAnsi="仿宋" w:eastAsia="仿宋" w:cs="仿宋"/>
                <w:sz w:val="18"/>
                <w:szCs w:val="18"/>
              </w:rPr>
              <w:t>0.185</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ind w:hanging="79"/>
              <w:jc w:val="left"/>
              <w:rPr>
                <w:rFonts w:hint="eastAsia" w:ascii="仿宋" w:hAnsi="仿宋" w:eastAsia="仿宋" w:cs="仿宋"/>
                <w:bCs/>
                <w:kern w:val="0"/>
                <w:sz w:val="18"/>
                <w:szCs w:val="18"/>
              </w:rPr>
            </w:pPr>
            <w:r>
              <w:rPr>
                <w:rFonts w:hint="eastAsia" w:ascii="仿宋" w:hAnsi="仿宋" w:eastAsia="仿宋" w:cs="仿宋"/>
                <w:bCs/>
                <w:kern w:val="0"/>
                <w:sz w:val="18"/>
                <w:szCs w:val="18"/>
              </w:rPr>
              <w:t>Panel B. 控制免费义务教育改革的影响</w:t>
            </w: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jc w:val="left"/>
              <w:rPr>
                <w:rFonts w:hint="eastAsia" w:ascii="仿宋" w:hAnsi="仿宋" w:eastAsia="仿宋" w:cs="仿宋"/>
                <w:kern w:val="0"/>
                <w:sz w:val="18"/>
                <w:szCs w:val="18"/>
              </w:rPr>
            </w:pPr>
            <w:r>
              <w:rPr>
                <w:rFonts w:hint="eastAsia" w:ascii="仿宋" w:hAnsi="仿宋" w:eastAsia="仿宋" w:cs="仿宋"/>
                <w:sz w:val="18"/>
                <w:szCs w:val="18"/>
              </w:rPr>
              <w:t>l</w:t>
            </w:r>
            <w:r>
              <w:rPr>
                <w:rFonts w:hint="eastAsia" w:ascii="仿宋" w:hAnsi="仿宋" w:eastAsia="仿宋" w:cs="仿宋"/>
                <w:sz w:val="18"/>
                <w:szCs w:val="18"/>
              </w:rPr>
              <w:t>og（</w:t>
            </w:r>
            <w:r>
              <w:rPr>
                <w:rFonts w:hint="eastAsia" w:ascii="仿宋" w:hAnsi="仿宋" w:eastAsia="仿宋" w:cs="仿宋"/>
                <w:kern w:val="0"/>
                <w:sz w:val="18"/>
                <w:szCs w:val="18"/>
                <w:lang w:eastAsia="zh-Hans"/>
              </w:rPr>
              <w:t>每千名适龄儿童</w:t>
            </w:r>
            <w:r>
              <w:rPr>
                <w:rFonts w:hint="eastAsia" w:ascii="仿宋" w:hAnsi="仿宋" w:eastAsia="仿宋" w:cs="仿宋"/>
                <w:sz w:val="18"/>
                <w:szCs w:val="18"/>
                <w:lang w:eastAsia="zh-Hans"/>
              </w:rPr>
              <w:t>幼儿园数量</w:t>
            </w:r>
            <w:r>
              <w:rPr>
                <w:rFonts w:hint="eastAsia" w:ascii="仿宋" w:hAnsi="仿宋" w:eastAsia="仿宋" w:cs="仿宋"/>
                <w:sz w:val="18"/>
                <w:szCs w:val="18"/>
              </w:rPr>
              <w:t>）</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0.38***</w:t>
            </w: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jc w:val="left"/>
              <w:rPr>
                <w:rFonts w:hint="eastAsia" w:ascii="仿宋" w:hAnsi="仿宋" w:eastAsia="仿宋" w:cs="仿宋"/>
                <w:kern w:val="0"/>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(0.063)</w:t>
            </w: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jc w:val="left"/>
              <w:rPr>
                <w:rFonts w:hint="eastAsia" w:ascii="仿宋" w:hAnsi="仿宋" w:eastAsia="仿宋" w:cs="仿宋"/>
                <w:kern w:val="0"/>
                <w:sz w:val="18"/>
                <w:szCs w:val="18"/>
              </w:rPr>
            </w:pPr>
            <w:r>
              <w:rPr>
                <w:rFonts w:hint="eastAsia" w:ascii="仿宋" w:hAnsi="仿宋" w:eastAsia="仿宋" w:cs="仿宋"/>
                <w:sz w:val="18"/>
                <w:szCs w:val="18"/>
                <w:lang w:eastAsia="zh-Hans"/>
              </w:rPr>
              <w:t>幼儿园入学</w:t>
            </w: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1.00**</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0.42</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0.96**</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jc w:val="left"/>
              <w:rPr>
                <w:rFonts w:hint="eastAsia" w:ascii="仿宋" w:hAnsi="仿宋" w:eastAsia="仿宋" w:cs="仿宋"/>
                <w:kern w:val="0"/>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(0.50)</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(0.41)</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(0.48)</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jc w:val="left"/>
              <w:rPr>
                <w:rFonts w:hint="eastAsia" w:ascii="仿宋" w:hAnsi="仿宋" w:eastAsia="仿宋" w:cs="仿宋"/>
                <w:kern w:val="0"/>
                <w:sz w:val="18"/>
                <w:szCs w:val="18"/>
              </w:rPr>
            </w:pPr>
            <w:r>
              <w:rPr>
                <w:rFonts w:hint="eastAsia" w:ascii="仿宋" w:hAnsi="仿宋" w:eastAsia="仿宋" w:cs="仿宋"/>
                <w:sz w:val="18"/>
                <w:szCs w:val="18"/>
                <w:lang w:eastAsia="zh-Hans"/>
              </w:rPr>
              <w:t>观测值</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1,489</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1,339</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1,339</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1,344</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kern w:val="0"/>
                <w:sz w:val="18"/>
                <w:szCs w:val="18"/>
              </w:rPr>
            </w:pPr>
            <w:r>
              <w:rPr>
                <w:rFonts w:hint="eastAsia" w:ascii="仿宋" w:hAnsi="仿宋" w:eastAsia="仿宋" w:cs="仿宋"/>
                <w:i/>
                <w:iCs/>
                <w:kern w:val="0"/>
                <w:sz w:val="18"/>
                <w:szCs w:val="18"/>
              </w:rPr>
              <w:t>R</w:t>
            </w:r>
            <w:r>
              <w:rPr>
                <w:rFonts w:hint="eastAsia" w:ascii="仿宋" w:hAnsi="仿宋" w:eastAsia="仿宋" w:cs="仿宋"/>
                <w:kern w:val="0"/>
                <w:sz w:val="18"/>
                <w:szCs w:val="18"/>
                <w:vertAlign w:val="superscript"/>
              </w:rPr>
              <w:t>2</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0.512</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0.308</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0.331</w:t>
            </w:r>
          </w:p>
        </w:tc>
        <w:tc>
          <w:tcPr>
            <w:tcW w:w="1257" w:type="dxa"/>
            <w:tcBorders>
              <w:top w:val="nil"/>
              <w:left w:val="nil"/>
              <w:bottom w:val="nil"/>
              <w:right w:val="nil"/>
            </w:tcBorders>
          </w:tcPr>
          <w:p>
            <w:pPr>
              <w:jc w:val="center"/>
              <w:rPr>
                <w:rFonts w:hint="eastAsia" w:ascii="仿宋" w:hAnsi="仿宋" w:eastAsia="仿宋" w:cs="仿宋"/>
                <w:sz w:val="18"/>
                <w:szCs w:val="18"/>
              </w:rPr>
            </w:pPr>
            <w:r>
              <w:rPr>
                <w:rFonts w:hint="eastAsia" w:ascii="仿宋" w:hAnsi="仿宋" w:eastAsia="仿宋" w:cs="仿宋"/>
                <w:sz w:val="18"/>
                <w:szCs w:val="18"/>
              </w:rPr>
              <w:t>0.283</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ind w:hanging="79"/>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Panel C. 控制农村义务教育学生营养改善计划</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l</w:t>
            </w:r>
            <w:r>
              <w:rPr>
                <w:rFonts w:hint="eastAsia" w:ascii="仿宋" w:hAnsi="仿宋" w:eastAsia="仿宋" w:cs="仿宋"/>
                <w:color w:val="000000" w:themeColor="text1"/>
                <w:sz w:val="18"/>
                <w:szCs w:val="18"/>
                <w14:textFill>
                  <w14:solidFill>
                    <w14:schemeClr w14:val="tx1"/>
                  </w14:solidFill>
                </w14:textFill>
              </w:rPr>
              <w:t>og（</w:t>
            </w:r>
            <w:r>
              <w:rPr>
                <w:rFonts w:hint="eastAsia" w:ascii="仿宋" w:hAnsi="仿宋" w:eastAsia="仿宋" w:cs="仿宋"/>
                <w:color w:val="000000" w:themeColor="text1"/>
                <w:kern w:val="0"/>
                <w:sz w:val="18"/>
                <w:szCs w:val="18"/>
                <w:lang w:eastAsia="zh-Hans"/>
                <w14:textFill>
                  <w14:solidFill>
                    <w14:schemeClr w14:val="tx1"/>
                  </w14:solidFill>
                </w14:textFill>
              </w:rPr>
              <w:t>每千名适龄儿童</w:t>
            </w:r>
            <w:r>
              <w:rPr>
                <w:rFonts w:hint="eastAsia" w:ascii="仿宋" w:hAnsi="仿宋" w:eastAsia="仿宋" w:cs="仿宋"/>
                <w:color w:val="000000" w:themeColor="text1"/>
                <w:sz w:val="18"/>
                <w:szCs w:val="18"/>
                <w:lang w:eastAsia="zh-Hans"/>
                <w14:textFill>
                  <w14:solidFill>
                    <w14:schemeClr w14:val="tx1"/>
                  </w14:solidFill>
                </w14:textFill>
              </w:rPr>
              <w:t>幼儿园数量</w:t>
            </w:r>
            <w:r>
              <w:rPr>
                <w:rFonts w:hint="eastAsia" w:ascii="仿宋" w:hAnsi="仿宋" w:eastAsia="仿宋" w:cs="仿宋"/>
                <w:color w:val="000000" w:themeColor="text1"/>
                <w:sz w:val="18"/>
                <w:szCs w:val="18"/>
                <w14:textFill>
                  <w14:solidFill>
                    <w14:schemeClr w14:val="tx1"/>
                  </w14:solidFill>
                </w14:textFill>
              </w:rPr>
              <w:t>）</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0.35***</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(0.067)</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lang w:eastAsia="zh-Hans"/>
                <w14:textFill>
                  <w14:solidFill>
                    <w14:schemeClr w14:val="tx1"/>
                  </w14:solidFill>
                </w14:textFill>
              </w:rPr>
              <w:t>幼儿园入学</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1.10**</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0.29</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1.13**</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color w:val="000000" w:themeColor="text1"/>
                <w:sz w:val="18"/>
                <w:szCs w:val="18"/>
                <w:lang w:eastAsia="zh-Hans"/>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(0.53)</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(0.45)</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(0.51)</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营养改善计划覆盖的年数</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-0.037***</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0.086**</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0.088***</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0.058</w:t>
            </w:r>
          </w:p>
        </w:tc>
      </w:tr>
      <w:tr>
        <w:tblPrEx>
          <w:tblCellMar>
            <w:top w:w="0" w:type="dxa"/>
            <w:left w:w="75" w:type="dxa"/>
            <w:bottom w:w="0" w:type="dxa"/>
            <w:right w:w="75" w:type="dxa"/>
          </w:tblCellMar>
        </w:tblPrEx>
        <w:trPr>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color w:val="000000" w:themeColor="text1"/>
                <w:sz w:val="18"/>
                <w:szCs w:val="18"/>
                <w:lang w:eastAsia="zh-Hans"/>
                <w14:textFill>
                  <w14:solidFill>
                    <w14:schemeClr w14:val="tx1"/>
                  </w14:solidFill>
                </w14:textFill>
              </w:rPr>
            </w:pP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(0.013)</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(0.043)</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(0.033)</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(0.044)</w:t>
            </w:r>
          </w:p>
        </w:tc>
      </w:tr>
      <w:tr>
        <w:tblPrEx>
          <w:tblCellMar>
            <w:top w:w="0" w:type="dxa"/>
            <w:left w:w="75" w:type="dxa"/>
            <w:bottom w:w="0" w:type="dxa"/>
            <w:right w:w="75" w:type="dxa"/>
          </w:tblCellMar>
        </w:tblPrEx>
        <w:trPr>
          <w:trHeight w:val="80" w:hRule="atLeast"/>
          <w:jc w:val="center"/>
        </w:trPr>
        <w:tc>
          <w:tcPr>
            <w:tcW w:w="3828" w:type="dxa"/>
            <w:tcBorders>
              <w:top w:val="nil"/>
              <w:left w:val="nil"/>
              <w:bottom w:val="nil"/>
              <w:right w:val="nil"/>
            </w:tcBorders>
          </w:tcPr>
          <w:p>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lang w:eastAsia="zh-Hans"/>
                <w14:textFill>
                  <w14:solidFill>
                    <w14:schemeClr w14:val="tx1"/>
                  </w14:solidFill>
                </w14:textFill>
              </w:rPr>
              <w:t>观测值</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1,489</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1,339</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1,339</w:t>
            </w:r>
          </w:p>
        </w:tc>
        <w:tc>
          <w:tcPr>
            <w:tcW w:w="1257" w:type="dxa"/>
            <w:tcBorders>
              <w:top w:val="nil"/>
              <w:left w:val="nil"/>
              <w:bottom w:val="nil"/>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1,344</w:t>
            </w:r>
          </w:p>
        </w:tc>
      </w:tr>
      <w:tr>
        <w:tblPrEx>
          <w:tblCellMar>
            <w:top w:w="0" w:type="dxa"/>
            <w:left w:w="75" w:type="dxa"/>
            <w:bottom w:w="0" w:type="dxa"/>
            <w:right w:w="75" w:type="dxa"/>
          </w:tblCellMar>
        </w:tblPrEx>
        <w:trPr>
          <w:jc w:val="center"/>
        </w:trPr>
        <w:tc>
          <w:tcPr>
            <w:tcW w:w="3828" w:type="dxa"/>
            <w:tcBorders>
              <w:top w:val="nil"/>
              <w:left w:val="nil"/>
              <w:bottom w:val="single" w:color="auto" w:sz="4" w:space="0"/>
              <w:right w:val="nil"/>
            </w:tcBorders>
          </w:tcPr>
          <w:p>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i/>
                <w:iCs/>
                <w:color w:val="000000" w:themeColor="text1"/>
                <w:kern w:val="0"/>
                <w:sz w:val="18"/>
                <w:szCs w:val="18"/>
                <w14:textFill>
                  <w14:solidFill>
                    <w14:schemeClr w14:val="tx1"/>
                  </w14:solidFill>
                </w14:textFill>
              </w:rPr>
              <w:t>R</w:t>
            </w:r>
            <w:r>
              <w:rPr>
                <w:rFonts w:hint="eastAsia" w:ascii="仿宋" w:hAnsi="仿宋" w:eastAsia="仿宋" w:cs="仿宋"/>
                <w:color w:val="000000" w:themeColor="text1"/>
                <w:kern w:val="0"/>
                <w:sz w:val="18"/>
                <w:szCs w:val="18"/>
                <w:vertAlign w:val="superscript"/>
                <w14:textFill>
                  <w14:solidFill>
                    <w14:schemeClr w14:val="tx1"/>
                  </w14:solidFill>
                </w14:textFill>
              </w:rPr>
              <w:t>2</w:t>
            </w:r>
          </w:p>
        </w:tc>
        <w:tc>
          <w:tcPr>
            <w:tcW w:w="1257" w:type="dxa"/>
            <w:tcBorders>
              <w:top w:val="nil"/>
              <w:left w:val="nil"/>
              <w:bottom w:val="single" w:color="auto" w:sz="4" w:space="0"/>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0.477</w:t>
            </w:r>
          </w:p>
        </w:tc>
        <w:tc>
          <w:tcPr>
            <w:tcW w:w="1257" w:type="dxa"/>
            <w:tcBorders>
              <w:top w:val="nil"/>
              <w:left w:val="nil"/>
              <w:bottom w:val="single" w:color="auto" w:sz="4" w:space="0"/>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0.219</w:t>
            </w:r>
          </w:p>
        </w:tc>
        <w:tc>
          <w:tcPr>
            <w:tcW w:w="1257" w:type="dxa"/>
            <w:tcBorders>
              <w:top w:val="nil"/>
              <w:left w:val="nil"/>
              <w:bottom w:val="single" w:color="auto" w:sz="4" w:space="0"/>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0.288</w:t>
            </w:r>
          </w:p>
        </w:tc>
        <w:tc>
          <w:tcPr>
            <w:tcW w:w="1257" w:type="dxa"/>
            <w:tcBorders>
              <w:top w:val="nil"/>
              <w:left w:val="nil"/>
              <w:bottom w:val="single" w:color="auto" w:sz="4" w:space="0"/>
              <w:right w:val="nil"/>
            </w:tcBorders>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0.173</w:t>
            </w:r>
          </w:p>
        </w:tc>
      </w:tr>
    </w:tbl>
    <w:p>
      <w:pPr>
        <w:autoSpaceDE w:val="0"/>
        <w:autoSpaceDN w:val="0"/>
        <w:adjustRightInd w:val="0"/>
        <w:spacing w:after="156" w:afterLines="50"/>
        <w:rPr>
          <w:rFonts w:hint="eastAsia" w:ascii="仿宋" w:hAnsi="仿宋" w:eastAsia="仿宋" w:cs="仿宋"/>
          <w:sz w:val="18"/>
          <w:szCs w:val="18"/>
        </w:rPr>
      </w:pPr>
      <w:r>
        <w:rPr>
          <w:rFonts w:hint="eastAsia" w:ascii="仿宋" w:hAnsi="仿宋" w:eastAsia="仿宋" w:cs="仿宋"/>
          <w:iCs/>
          <w:sz w:val="18"/>
          <w:szCs w:val="18"/>
          <w:lang w:eastAsia="zh-Hans"/>
        </w:rPr>
        <w:t>注</w:t>
      </w:r>
      <w:r>
        <w:rPr>
          <w:rFonts w:hint="eastAsia" w:ascii="仿宋" w:hAnsi="仿宋" w:eastAsia="仿宋" w:cs="仿宋"/>
          <w:sz w:val="18"/>
          <w:szCs w:val="18"/>
        </w:rPr>
        <w:t>：</w:t>
      </w:r>
      <w:r>
        <w:rPr>
          <w:rFonts w:hint="eastAsia" w:ascii="仿宋" w:hAnsi="仿宋" w:eastAsia="仿宋" w:cs="仿宋"/>
          <w:sz w:val="18"/>
          <w:szCs w:val="18"/>
          <w:lang w:eastAsia="zh-Hans"/>
        </w:rPr>
        <w:t>列</w:t>
      </w:r>
      <w:r>
        <w:rPr>
          <w:rFonts w:hint="eastAsia" w:ascii="仿宋" w:hAnsi="仿宋" w:eastAsia="仿宋" w:cs="仿宋"/>
          <w:sz w:val="18"/>
          <w:szCs w:val="18"/>
        </w:rPr>
        <w:t>（1）</w:t>
      </w:r>
      <w:r>
        <w:rPr>
          <w:rFonts w:hint="eastAsia" w:ascii="仿宋" w:hAnsi="仿宋" w:eastAsia="仿宋" w:cs="仿宋"/>
          <w:sz w:val="18"/>
          <w:szCs w:val="18"/>
          <w:lang w:eastAsia="zh-Hans"/>
        </w:rPr>
        <w:t>为第一阶段结果。列</w:t>
      </w:r>
      <w:r>
        <w:rPr>
          <w:rFonts w:hint="eastAsia" w:ascii="仿宋" w:hAnsi="仿宋" w:eastAsia="仿宋" w:cs="仿宋"/>
          <w:sz w:val="18"/>
          <w:szCs w:val="18"/>
        </w:rPr>
        <w:t>（2）</w:t>
      </w:r>
      <w:r>
        <w:rPr>
          <w:rFonts w:hint="eastAsia" w:ascii="仿宋" w:hAnsi="仿宋" w:eastAsia="仿宋" w:cs="仿宋"/>
          <w:color w:val="000000"/>
          <w:kern w:val="0"/>
          <w:szCs w:val="21"/>
        </w:rPr>
        <w:t>–</w:t>
      </w:r>
      <w:r>
        <w:rPr>
          <w:rFonts w:hint="eastAsia" w:ascii="仿宋" w:hAnsi="仿宋" w:eastAsia="仿宋" w:cs="仿宋"/>
          <w:sz w:val="18"/>
          <w:szCs w:val="18"/>
        </w:rPr>
        <w:t>（4）</w:t>
      </w:r>
      <w:r>
        <w:rPr>
          <w:rFonts w:hint="eastAsia" w:ascii="仿宋" w:hAnsi="仿宋" w:eastAsia="仿宋" w:cs="仿宋"/>
          <w:sz w:val="18"/>
          <w:szCs w:val="18"/>
          <w:lang w:eastAsia="zh-Hans"/>
        </w:rPr>
        <w:t>为2SLS估计结果，个体5岁时所在地级市的幼儿园数量对数为个体是否上过幼儿园的工具变量。Panel B额外加入了省份-城镇-出生年份固定效应。括号中为城市层面聚类标准误</w:t>
      </w:r>
      <w:r>
        <w:rPr>
          <w:rFonts w:hint="eastAsia" w:ascii="仿宋" w:hAnsi="仿宋" w:eastAsia="仿宋" w:cs="仿宋"/>
          <w:sz w:val="18"/>
          <w:szCs w:val="18"/>
        </w:rPr>
        <w:t>。</w:t>
      </w:r>
      <w:r>
        <w:rPr>
          <w:rFonts w:hint="eastAsia" w:ascii="仿宋" w:hAnsi="仿宋" w:eastAsia="仿宋" w:cs="仿宋"/>
          <w:color w:val="000000" w:themeColor="text1"/>
          <w:sz w:val="18"/>
          <w:szCs w:val="18"/>
          <w14:textFill>
            <w14:solidFill>
              <w14:schemeClr w14:val="tx1"/>
            </w14:solidFill>
          </w14:textFill>
        </w:rPr>
        <w:t>Panel</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color w:val="000000" w:themeColor="text1"/>
          <w:sz w:val="18"/>
          <w:szCs w:val="18"/>
          <w14:textFill>
            <w14:solidFill>
              <w14:schemeClr w14:val="tx1"/>
            </w14:solidFill>
          </w14:textFill>
        </w:rPr>
        <w:t>C额外控制儿童在调查时被农村营养改善计划影响的时长（年）。</w:t>
      </w:r>
      <w:r>
        <w:rPr>
          <w:rFonts w:hint="eastAsia" w:ascii="仿宋" w:hAnsi="仿宋" w:eastAsia="仿宋" w:cs="仿宋"/>
          <w:sz w:val="18"/>
          <w:szCs w:val="18"/>
        </w:rPr>
        <w:t>***、**和*分别表示1%、5%和10%的显著性水平。</w:t>
      </w:r>
    </w:p>
    <w:p>
      <w:pPr>
        <w:autoSpaceDE w:val="0"/>
        <w:autoSpaceDN w:val="0"/>
        <w:adjustRightInd w:val="0"/>
        <w:spacing w:after="156" w:afterLines="50"/>
        <w:rPr>
          <w:rFonts w:hint="eastAsia" w:ascii="仿宋" w:hAnsi="仿宋" w:eastAsia="仿宋" w:cs="仿宋"/>
          <w:sz w:val="18"/>
          <w:szCs w:val="18"/>
          <w:lang w:eastAsia="zh-Hans"/>
        </w:rPr>
      </w:pPr>
    </w:p>
    <w:p>
      <w:pPr>
        <w:widowControl/>
        <w:jc w:val="center"/>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参考文献</w:t>
      </w:r>
    </w:p>
    <w:p>
      <w:pPr>
        <w:widowControl/>
        <w:autoSpaceDE w:val="0"/>
        <w:autoSpaceDN w:val="0"/>
        <w:adjustRightInd w:val="0"/>
        <w:snapToGrid w:val="0"/>
        <w:spacing w:after="156" w:afterLines="50"/>
        <w:ind w:left="420" w:hanging="420" w:hangingChars="200"/>
        <w:rPr>
          <w:rFonts w:hint="eastAsia" w:ascii="仿宋" w:hAnsi="仿宋" w:eastAsia="仿宋" w:cs="仿宋"/>
          <w:kern w:val="0"/>
          <w:szCs w:val="21"/>
        </w:rPr>
      </w:pPr>
      <w:r>
        <w:rPr>
          <w:rFonts w:hint="eastAsia" w:ascii="仿宋" w:hAnsi="仿宋" w:eastAsia="仿宋" w:cs="仿宋"/>
          <w:kern w:val="0"/>
          <w:szCs w:val="21"/>
        </w:rPr>
        <w:t xml:space="preserve">Li, L. and H. Liu, “Primary School Availability and Middle School Education in Rural China”, </w:t>
      </w:r>
      <w:r>
        <w:rPr>
          <w:rFonts w:hint="eastAsia" w:ascii="仿宋" w:hAnsi="仿宋" w:eastAsia="仿宋" w:cs="仿宋"/>
          <w:i/>
          <w:kern w:val="0"/>
          <w:szCs w:val="21"/>
        </w:rPr>
        <w:t>Labour Economics</w:t>
      </w:r>
      <w:r>
        <w:rPr>
          <w:rFonts w:hint="eastAsia" w:ascii="仿宋" w:hAnsi="仿宋" w:eastAsia="仿宋" w:cs="仿宋"/>
          <w:kern w:val="0"/>
          <w:szCs w:val="21"/>
        </w:rPr>
        <w:t>, 2014, 28, 24–40.</w:t>
      </w:r>
    </w:p>
    <w:p>
      <w:pPr>
        <w:widowControl/>
        <w:autoSpaceDE w:val="0"/>
        <w:autoSpaceDN w:val="0"/>
        <w:adjustRightInd w:val="0"/>
        <w:snapToGrid w:val="0"/>
        <w:spacing w:after="156" w:afterLines="50"/>
        <w:ind w:left="420" w:hanging="420" w:hangingChars="200"/>
        <w:rPr>
          <w:rFonts w:hint="eastAsia" w:ascii="仿宋" w:hAnsi="仿宋" w:eastAsia="仿宋" w:cs="仿宋"/>
          <w:kern w:val="0"/>
          <w:szCs w:val="21"/>
          <w:lang w:eastAsia="zh-Hans"/>
        </w:rPr>
      </w:pPr>
      <w:r>
        <w:rPr>
          <w:rFonts w:hint="eastAsia" w:ascii="仿宋" w:hAnsi="仿宋" w:eastAsia="仿宋" w:cs="仿宋"/>
          <w:kern w:val="0"/>
          <w:szCs w:val="21"/>
          <w:lang w:eastAsia="zh-Hans"/>
        </w:rPr>
        <w:t>梁超、王素素</w:t>
      </w:r>
      <w:r>
        <w:rPr>
          <w:rFonts w:hint="eastAsia" w:ascii="仿宋" w:hAnsi="仿宋" w:eastAsia="仿宋" w:cs="仿宋"/>
          <w:kern w:val="0"/>
          <w:szCs w:val="21"/>
          <w:lang w:eastAsia="zh-Hans"/>
        </w:rPr>
        <w:t>，“</w:t>
      </w:r>
      <w:r>
        <w:rPr>
          <w:rFonts w:hint="eastAsia" w:ascii="仿宋" w:hAnsi="仿宋" w:eastAsia="仿宋" w:cs="仿宋"/>
          <w:kern w:val="0"/>
          <w:szCs w:val="21"/>
          <w:lang w:eastAsia="zh-Hans"/>
        </w:rPr>
        <w:t>教育公共品配置调整对人力资本的影响—基于撤点并校的研究</w:t>
      </w:r>
      <w:r>
        <w:rPr>
          <w:rFonts w:hint="eastAsia" w:ascii="仿宋" w:hAnsi="仿宋" w:eastAsia="仿宋" w:cs="仿宋"/>
          <w:kern w:val="0"/>
          <w:szCs w:val="21"/>
          <w:lang w:eastAsia="zh-Hans"/>
        </w:rPr>
        <w:t>”</w:t>
      </w:r>
      <w:r>
        <w:rPr>
          <w:rFonts w:hint="eastAsia" w:ascii="仿宋" w:hAnsi="仿宋" w:eastAsia="仿宋" w:cs="仿宋"/>
          <w:kern w:val="0"/>
          <w:szCs w:val="21"/>
          <w:lang w:eastAsia="zh-Hans"/>
        </w:rPr>
        <w:t>，《经济研究》，2020年</w:t>
      </w:r>
      <w:r>
        <w:rPr>
          <w:rFonts w:hint="eastAsia" w:ascii="仿宋" w:hAnsi="仿宋" w:eastAsia="仿宋" w:cs="仿宋"/>
          <w:kern w:val="0"/>
          <w:szCs w:val="21"/>
        </w:rPr>
        <w:t>第</w:t>
      </w:r>
      <w:r>
        <w:rPr>
          <w:rFonts w:hint="eastAsia" w:ascii="仿宋" w:hAnsi="仿宋" w:eastAsia="仿宋" w:cs="仿宋"/>
          <w:kern w:val="0"/>
          <w:szCs w:val="21"/>
          <w:lang w:eastAsia="zh-Hans"/>
        </w:rPr>
        <w:t>9期，第138</w:t>
      </w:r>
      <w:r>
        <w:rPr>
          <w:rFonts w:hint="eastAsia" w:ascii="仿宋" w:hAnsi="仿宋" w:eastAsia="仿宋" w:cs="仿宋"/>
          <w:kern w:val="0"/>
          <w:szCs w:val="21"/>
        </w:rPr>
        <w:t>–</w:t>
      </w:r>
      <w:r>
        <w:rPr>
          <w:rFonts w:hint="eastAsia" w:ascii="仿宋" w:hAnsi="仿宋" w:eastAsia="仿宋" w:cs="仿宋"/>
          <w:kern w:val="0"/>
          <w:szCs w:val="21"/>
          <w:lang w:eastAsia="zh-Hans"/>
        </w:rPr>
        <w:t>154页。</w:t>
      </w:r>
    </w:p>
    <w:p>
      <w:pPr>
        <w:widowControl/>
        <w:autoSpaceDE w:val="0"/>
        <w:autoSpaceDN w:val="0"/>
        <w:adjustRightInd w:val="0"/>
        <w:snapToGrid w:val="0"/>
        <w:spacing w:after="156" w:afterLines="50"/>
        <w:ind w:left="420" w:hanging="420" w:hangingChars="200"/>
        <w:rPr>
          <w:rFonts w:hint="eastAsia" w:ascii="仿宋" w:hAnsi="仿宋" w:eastAsia="仿宋" w:cs="仿宋"/>
          <w:kern w:val="0"/>
          <w:szCs w:val="21"/>
          <w:lang w:eastAsia="zh-Hans"/>
        </w:rPr>
      </w:pPr>
    </w:p>
    <w:p>
      <w:pPr>
        <w:rPr>
          <w:rFonts w:hint="eastAsia" w:ascii="宋体" w:hAnsi="宋体" w:eastAsia="宋体" w:cs="宋体"/>
          <w:szCs w:val="21"/>
        </w:rPr>
      </w:pPr>
      <w:r>
        <w:rPr>
          <w:rFonts w:hint="eastAsia" w:ascii="宋体" w:hAnsi="宋体" w:eastAsia="宋体" w:cs="宋体"/>
          <w:b/>
          <w:szCs w:val="22"/>
        </w:rPr>
        <w:t>注：该附录是期刊所发表论文的组成部分，同样视为作者公开发表的内容。如研究中使用该附录中的内容，</w:t>
      </w:r>
      <w:r>
        <w:rPr>
          <w:rFonts w:hint="eastAsia" w:ascii="宋体" w:hAnsi="宋体" w:eastAsia="宋体" w:cs="宋体"/>
          <w:b/>
          <w:kern w:val="0"/>
          <w:szCs w:val="21"/>
        </w:rPr>
        <w:t>请务必在研究成果上注明附录下载出处。</w:t>
      </w:r>
    </w:p>
    <w:sectPr>
      <w:footerReference r:id="rId4" w:type="default"/>
      <w:footerReference r:id="rId5" w:type="even"/>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Äª¶Wˇ">
    <w:altName w:val="Segoe Print"/>
    <w:panose1 w:val="00000000000000000000"/>
    <w:charset w:val="4D"/>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Œ¶Wˇ">
    <w:altName w:val="Segoe Print"/>
    <w:panose1 w:val="00000000000000000000"/>
    <w:charset w:val="4D"/>
    <w:family w:val="auto"/>
    <w:pitch w:val="default"/>
    <w:sig w:usb0="00000000" w:usb1="00000000" w:usb2="00000000" w:usb3="00000000" w:csb0="0000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imes New Roman Bold">
    <w:altName w:val="Times New Roman"/>
    <w:panose1 w:val="0202080307050502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925536717"/>
    </w:sdtPr>
    <w:sdtEndPr>
      <w:rPr>
        <w:rStyle w:val="18"/>
      </w:rPr>
    </w:sdtEndPr>
    <w:sdtContent>
      <w:p>
        <w:pPr>
          <w:pStyle w:val="8"/>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8"/>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rPr>
        <w:rFonts w:ascii="仿宋" w:hAnsi="仿宋" w:eastAsia="仿宋" w:cs="仿宋"/>
        <w:sz w:val="18"/>
        <w:szCs w:val="18"/>
        <w:highlight w:val="none"/>
      </w:rPr>
    </w:pPr>
    <w:r>
      <w:rPr>
        <w:rFonts w:hint="eastAsia" w:ascii="仿宋" w:hAnsi="仿宋" w:eastAsia="仿宋" w:cs="仿宋"/>
        <w:sz w:val="18"/>
        <w:szCs w:val="18"/>
        <w:highlight w:val="none"/>
      </w:rPr>
      <w:t>《经济学》（季刊）                                                               2024年第3期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6123F"/>
    <w:multiLevelType w:val="multilevel"/>
    <w:tmpl w:val="62C6123F"/>
    <w:lvl w:ilvl="0" w:tentative="0">
      <w:start w:val="1"/>
      <w:numFmt w:val="upperRoman"/>
      <w:pStyle w:val="25"/>
      <w:lvlText w:val="附录%1."/>
      <w:lvlJc w:val="left"/>
      <w:pPr>
        <w:ind w:left="624" w:hanging="624"/>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267E48"/>
    <w:rsid w:val="000A0A6D"/>
    <w:rsid w:val="000C7C03"/>
    <w:rsid w:val="00144C63"/>
    <w:rsid w:val="001A62F9"/>
    <w:rsid w:val="001C4C50"/>
    <w:rsid w:val="0021501B"/>
    <w:rsid w:val="00223860"/>
    <w:rsid w:val="00254C2F"/>
    <w:rsid w:val="00267E48"/>
    <w:rsid w:val="003025FB"/>
    <w:rsid w:val="0033272E"/>
    <w:rsid w:val="00490018"/>
    <w:rsid w:val="005347E0"/>
    <w:rsid w:val="00585EE5"/>
    <w:rsid w:val="00594BA4"/>
    <w:rsid w:val="005D05F9"/>
    <w:rsid w:val="00607247"/>
    <w:rsid w:val="006305B9"/>
    <w:rsid w:val="006417A2"/>
    <w:rsid w:val="0068766A"/>
    <w:rsid w:val="006D0014"/>
    <w:rsid w:val="006D6F9F"/>
    <w:rsid w:val="00735005"/>
    <w:rsid w:val="008804D7"/>
    <w:rsid w:val="008D6C94"/>
    <w:rsid w:val="00A3326B"/>
    <w:rsid w:val="00A61DDF"/>
    <w:rsid w:val="00AF4C71"/>
    <w:rsid w:val="00B261B2"/>
    <w:rsid w:val="00B47FB2"/>
    <w:rsid w:val="00B539AD"/>
    <w:rsid w:val="00B7754F"/>
    <w:rsid w:val="00BA0808"/>
    <w:rsid w:val="00BB1370"/>
    <w:rsid w:val="00BB1648"/>
    <w:rsid w:val="00BB75AB"/>
    <w:rsid w:val="00C12AFB"/>
    <w:rsid w:val="00C2546F"/>
    <w:rsid w:val="00D703B6"/>
    <w:rsid w:val="00E74EC8"/>
    <w:rsid w:val="00EA0693"/>
    <w:rsid w:val="00F77A6A"/>
    <w:rsid w:val="00FC4BDF"/>
    <w:rsid w:val="00FD0A3F"/>
    <w:rsid w:val="00FD556A"/>
    <w:rsid w:val="00FF2E46"/>
    <w:rsid w:val="02C31095"/>
    <w:rsid w:val="03F14891"/>
    <w:rsid w:val="0FC97B1B"/>
    <w:rsid w:val="10A623BB"/>
    <w:rsid w:val="19CE6A7A"/>
    <w:rsid w:val="228D6B72"/>
    <w:rsid w:val="2EE47B19"/>
    <w:rsid w:val="33AD5168"/>
    <w:rsid w:val="3DE42BCD"/>
    <w:rsid w:val="487877F8"/>
    <w:rsid w:val="4968161B"/>
    <w:rsid w:val="4A396B13"/>
    <w:rsid w:val="52C927B5"/>
    <w:rsid w:val="58311572"/>
    <w:rsid w:val="5D816BB4"/>
    <w:rsid w:val="5E29439A"/>
    <w:rsid w:val="5FF84E86"/>
    <w:rsid w:val="65CB2E66"/>
    <w:rsid w:val="66AC2781"/>
    <w:rsid w:val="671B08B7"/>
    <w:rsid w:val="6A86594D"/>
    <w:rsid w:val="6AFF4CB1"/>
    <w:rsid w:val="79083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name="toc 2"/>
    <w:lsdException w:uiPriority="39" w:name="toc 3"/>
    <w:lsdException w:uiPriority="39" w:name="toc 4"/>
    <w:lsdException w:qFormat="1" w:uiPriority="39" w:name="toc 5"/>
    <w:lsdException w:qFormat="1" w:uiPriority="39" w:name="toc 6"/>
    <w:lsdException w:qFormat="1" w:uiPriority="39" w:name="toc 7"/>
    <w:lsdException w:uiPriority="39" w:name="toc 8"/>
    <w:lsdException w:qFormat="1"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autoRedefine/>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semiHidden/>
    <w:unhideWhenUsed/>
    <w:qFormat/>
    <w:uiPriority w:val="39"/>
    <w:pPr>
      <w:ind w:left="1260"/>
      <w:jc w:val="left"/>
    </w:pPr>
    <w:rPr>
      <w:rFonts w:eastAsiaTheme="minorHAnsi"/>
      <w:sz w:val="20"/>
      <w:szCs w:val="20"/>
    </w:rPr>
  </w:style>
  <w:style w:type="paragraph" w:styleId="4">
    <w:name w:val="toc 5"/>
    <w:basedOn w:val="1"/>
    <w:next w:val="1"/>
    <w:autoRedefine/>
    <w:semiHidden/>
    <w:unhideWhenUsed/>
    <w:qFormat/>
    <w:uiPriority w:val="39"/>
    <w:pPr>
      <w:ind w:left="840"/>
      <w:jc w:val="left"/>
    </w:pPr>
    <w:rPr>
      <w:rFonts w:eastAsiaTheme="minorHAnsi"/>
      <w:sz w:val="20"/>
      <w:szCs w:val="20"/>
    </w:rPr>
  </w:style>
  <w:style w:type="paragraph" w:styleId="5">
    <w:name w:val="toc 3"/>
    <w:basedOn w:val="1"/>
    <w:next w:val="1"/>
    <w:autoRedefine/>
    <w:semiHidden/>
    <w:unhideWhenUsed/>
    <w:uiPriority w:val="39"/>
    <w:pPr>
      <w:ind w:left="420"/>
      <w:jc w:val="left"/>
    </w:pPr>
    <w:rPr>
      <w:rFonts w:eastAsiaTheme="minorHAnsi"/>
      <w:sz w:val="20"/>
      <w:szCs w:val="20"/>
    </w:rPr>
  </w:style>
  <w:style w:type="paragraph" w:styleId="6">
    <w:name w:val="toc 8"/>
    <w:basedOn w:val="1"/>
    <w:next w:val="1"/>
    <w:autoRedefine/>
    <w:semiHidden/>
    <w:unhideWhenUsed/>
    <w:uiPriority w:val="39"/>
    <w:pPr>
      <w:ind w:left="1470"/>
      <w:jc w:val="left"/>
    </w:pPr>
    <w:rPr>
      <w:rFonts w:eastAsiaTheme="minorHAnsi"/>
      <w:sz w:val="20"/>
      <w:szCs w:val="20"/>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6"/>
    <w:autoRedefine/>
    <w:unhideWhenUsed/>
    <w:qFormat/>
    <w:uiPriority w:val="99"/>
    <w:pPr>
      <w:tabs>
        <w:tab w:val="center" w:pos="4513"/>
        <w:tab w:val="right" w:pos="9026"/>
      </w:tabs>
    </w:pPr>
  </w:style>
  <w:style w:type="paragraph" w:styleId="9">
    <w:name w:val="header"/>
    <w:basedOn w:val="1"/>
    <w:link w:val="27"/>
    <w:autoRedefine/>
    <w:unhideWhenUsed/>
    <w:qFormat/>
    <w:uiPriority w:val="99"/>
    <w:pPr>
      <w:tabs>
        <w:tab w:val="center" w:pos="4513"/>
        <w:tab w:val="right" w:pos="9026"/>
      </w:tabs>
    </w:pPr>
  </w:style>
  <w:style w:type="paragraph" w:styleId="10">
    <w:name w:val="toc 1"/>
    <w:basedOn w:val="1"/>
    <w:next w:val="1"/>
    <w:autoRedefine/>
    <w:unhideWhenUsed/>
    <w:uiPriority w:val="39"/>
    <w:pPr>
      <w:tabs>
        <w:tab w:val="left" w:pos="1050"/>
        <w:tab w:val="right" w:leader="dot" w:pos="8290"/>
      </w:tabs>
      <w:spacing w:before="120"/>
      <w:jc w:val="left"/>
    </w:pPr>
    <w:rPr>
      <w:rFonts w:eastAsiaTheme="minorHAnsi"/>
      <w:bCs/>
      <w:iCs/>
      <w:sz w:val="24"/>
    </w:rPr>
  </w:style>
  <w:style w:type="paragraph" w:styleId="11">
    <w:name w:val="toc 4"/>
    <w:basedOn w:val="1"/>
    <w:next w:val="1"/>
    <w:autoRedefine/>
    <w:semiHidden/>
    <w:unhideWhenUsed/>
    <w:uiPriority w:val="39"/>
    <w:pPr>
      <w:ind w:left="630"/>
      <w:jc w:val="left"/>
    </w:pPr>
    <w:rPr>
      <w:rFonts w:eastAsiaTheme="minorHAnsi"/>
      <w:sz w:val="20"/>
      <w:szCs w:val="20"/>
    </w:rPr>
  </w:style>
  <w:style w:type="paragraph" w:styleId="12">
    <w:name w:val="footnote text"/>
    <w:basedOn w:val="1"/>
    <w:link w:val="21"/>
    <w:autoRedefine/>
    <w:unhideWhenUsed/>
    <w:qFormat/>
    <w:uiPriority w:val="99"/>
    <w:pPr>
      <w:snapToGrid w:val="0"/>
      <w:jc w:val="left"/>
    </w:pPr>
    <w:rPr>
      <w:rFonts w:ascii="Times New Roman" w:hAnsi="Times New Roman" w:eastAsia="宋体" w:cs="Times New Roman"/>
      <w:sz w:val="18"/>
      <w:szCs w:val="18"/>
    </w:rPr>
  </w:style>
  <w:style w:type="paragraph" w:styleId="13">
    <w:name w:val="toc 6"/>
    <w:basedOn w:val="1"/>
    <w:next w:val="1"/>
    <w:autoRedefine/>
    <w:semiHidden/>
    <w:unhideWhenUsed/>
    <w:qFormat/>
    <w:uiPriority w:val="39"/>
    <w:pPr>
      <w:ind w:left="1050"/>
      <w:jc w:val="left"/>
    </w:pPr>
    <w:rPr>
      <w:rFonts w:eastAsiaTheme="minorHAnsi"/>
      <w:sz w:val="20"/>
      <w:szCs w:val="20"/>
    </w:rPr>
  </w:style>
  <w:style w:type="paragraph" w:styleId="14">
    <w:name w:val="toc 2"/>
    <w:basedOn w:val="1"/>
    <w:next w:val="1"/>
    <w:autoRedefine/>
    <w:semiHidden/>
    <w:unhideWhenUsed/>
    <w:qFormat/>
    <w:uiPriority w:val="39"/>
    <w:pPr>
      <w:spacing w:before="120"/>
      <w:ind w:left="210"/>
      <w:jc w:val="left"/>
    </w:pPr>
    <w:rPr>
      <w:rFonts w:eastAsiaTheme="minorHAnsi"/>
      <w:b/>
      <w:bCs/>
      <w:sz w:val="22"/>
      <w:szCs w:val="22"/>
    </w:rPr>
  </w:style>
  <w:style w:type="paragraph" w:styleId="15">
    <w:name w:val="toc 9"/>
    <w:basedOn w:val="1"/>
    <w:next w:val="1"/>
    <w:autoRedefine/>
    <w:semiHidden/>
    <w:unhideWhenUsed/>
    <w:qFormat/>
    <w:uiPriority w:val="39"/>
    <w:pPr>
      <w:ind w:left="1680"/>
      <w:jc w:val="left"/>
    </w:pPr>
    <w:rPr>
      <w:rFonts w:eastAsiaTheme="minorHAnsi"/>
      <w:sz w:val="20"/>
      <w:szCs w:val="20"/>
    </w:rPr>
  </w:style>
  <w:style w:type="character" w:styleId="18">
    <w:name w:val="page number"/>
    <w:basedOn w:val="17"/>
    <w:autoRedefine/>
    <w:semiHidden/>
    <w:unhideWhenUsed/>
    <w:qFormat/>
    <w:uiPriority w:val="99"/>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footnote reference"/>
    <w:basedOn w:val="17"/>
    <w:autoRedefine/>
    <w:unhideWhenUsed/>
    <w:qFormat/>
    <w:uiPriority w:val="99"/>
    <w:rPr>
      <w:vertAlign w:val="superscript"/>
    </w:rPr>
  </w:style>
  <w:style w:type="character" w:customStyle="1" w:styleId="21">
    <w:name w:val="脚注文本 字符"/>
    <w:basedOn w:val="17"/>
    <w:link w:val="12"/>
    <w:autoRedefine/>
    <w:qFormat/>
    <w:uiPriority w:val="99"/>
    <w:rPr>
      <w:rFonts w:ascii="Times New Roman" w:hAnsi="Times New Roman" w:eastAsia="宋体" w:cs="Times New Roman"/>
      <w:sz w:val="18"/>
      <w:szCs w:val="18"/>
    </w:rPr>
  </w:style>
  <w:style w:type="paragraph" w:styleId="22">
    <w:name w:val="List Paragraph"/>
    <w:basedOn w:val="1"/>
    <w:autoRedefine/>
    <w:qFormat/>
    <w:uiPriority w:val="34"/>
    <w:pPr>
      <w:ind w:left="720"/>
      <w:contextualSpacing/>
    </w:pPr>
  </w:style>
  <w:style w:type="character" w:customStyle="1" w:styleId="23">
    <w:name w:val="标题 1 字符"/>
    <w:basedOn w:val="17"/>
    <w:link w:val="2"/>
    <w:autoRedefine/>
    <w:qFormat/>
    <w:uiPriority w:val="9"/>
    <w:rPr>
      <w:rFonts w:asciiTheme="majorHAnsi" w:hAnsiTheme="majorHAnsi" w:eastAsiaTheme="majorEastAsia" w:cstheme="majorBidi"/>
      <w:color w:val="2F5597" w:themeColor="accent1" w:themeShade="BF"/>
      <w:sz w:val="32"/>
      <w:szCs w:val="32"/>
    </w:rPr>
  </w:style>
  <w:style w:type="paragraph" w:customStyle="1" w:styleId="24">
    <w:name w:val="TOC 标题1"/>
    <w:basedOn w:val="2"/>
    <w:next w:val="1"/>
    <w:autoRedefine/>
    <w:unhideWhenUsed/>
    <w:qFormat/>
    <w:uiPriority w:val="39"/>
    <w:pPr>
      <w:widowControl/>
      <w:spacing w:before="480" w:line="276" w:lineRule="auto"/>
      <w:jc w:val="left"/>
      <w:outlineLvl w:val="9"/>
    </w:pPr>
    <w:rPr>
      <w:b/>
      <w:bCs/>
      <w:kern w:val="0"/>
      <w:sz w:val="28"/>
      <w:szCs w:val="28"/>
      <w:lang w:eastAsia="en-US"/>
    </w:rPr>
  </w:style>
  <w:style w:type="paragraph" w:customStyle="1" w:styleId="25">
    <w:name w:val="Style1"/>
    <w:basedOn w:val="2"/>
    <w:autoRedefine/>
    <w:qFormat/>
    <w:uiPriority w:val="0"/>
    <w:pPr>
      <w:numPr>
        <w:ilvl w:val="0"/>
        <w:numId w:val="1"/>
      </w:numPr>
    </w:pPr>
    <w:rPr>
      <w:rFonts w:ascii="华文楷体" w:hAnsi="华文楷体"/>
      <w:color w:val="000000" w:themeColor="text1"/>
      <w:sz w:val="24"/>
      <w14:textFill>
        <w14:solidFill>
          <w14:schemeClr w14:val="tx1"/>
        </w14:solidFill>
      </w14:textFill>
    </w:rPr>
  </w:style>
  <w:style w:type="character" w:customStyle="1" w:styleId="26">
    <w:name w:val="页脚 字符"/>
    <w:basedOn w:val="17"/>
    <w:link w:val="8"/>
    <w:autoRedefine/>
    <w:qFormat/>
    <w:uiPriority w:val="99"/>
  </w:style>
  <w:style w:type="character" w:customStyle="1" w:styleId="27">
    <w:name w:val="页眉 字符"/>
    <w:basedOn w:val="17"/>
    <w:link w:val="9"/>
    <w:autoRedefine/>
    <w:qFormat/>
    <w:uiPriority w:val="99"/>
  </w:style>
  <w:style w:type="character" w:customStyle="1" w:styleId="28">
    <w:name w:val="批注框文本 字符"/>
    <w:basedOn w:val="17"/>
    <w:link w:val="7"/>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C7BCF-A8F8-4103-B18C-E4E0D6370412}">
  <ds:schemaRefs/>
</ds:datastoreItem>
</file>

<file path=docProps/app.xml><?xml version="1.0" encoding="utf-8"?>
<Properties xmlns="http://schemas.openxmlformats.org/officeDocument/2006/extended-properties" xmlns:vt="http://schemas.openxmlformats.org/officeDocument/2006/docPropsVTypes">
  <Template>Normal</Template>
  <Pages>8</Pages>
  <Words>956</Words>
  <Characters>5453</Characters>
  <Lines>45</Lines>
  <Paragraphs>12</Paragraphs>
  <TotalTime>73</TotalTime>
  <ScaleCrop>false</ScaleCrop>
  <LinksUpToDate>false</LinksUpToDate>
  <CharactersWithSpaces>6397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2023-09-08T09:28:00Z</dcterms:created>
  <dc:creator>Liqiu Zhao</dc:creator>
  <cp:lastModifiedBy>刘京</cp:lastModifiedBy>
  <dcterms:modified xsi:type="dcterms:W3CDTF">2024-05-22T06:05:55Z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A60E074468FA440B94BD98DB8D276D54_12</vt:lpwstr>
  </property>
</Properties>
</file>