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对外直接投资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能否改善母国环境质量？</w:t>
      </w:r>
    </w:p>
    <w:p>
      <w:pPr>
        <w:jc w:val="center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仿宋" w:cs="Times New Roman"/>
          <w:b w:val="0"/>
          <w:bCs w:val="0"/>
          <w:sz w:val="28"/>
          <w:szCs w:val="28"/>
        </w:rPr>
        <w:t>——来自中国企业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水污染排放视角</w:t>
      </w:r>
      <w:r>
        <w:rPr>
          <w:rFonts w:ascii="Times New Roman" w:hAnsi="Times New Roman" w:eastAsia="仿宋" w:cs="Times New Roman"/>
          <w:b w:val="0"/>
          <w:bCs w:val="0"/>
          <w:sz w:val="28"/>
          <w:szCs w:val="28"/>
        </w:rPr>
        <w:t>的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检验</w:t>
      </w:r>
    </w:p>
    <w:p>
      <w:pPr>
        <w:jc w:val="center"/>
        <w:rPr>
          <w:rFonts w:ascii="Times New Roman" w:hAnsi="Times New Roman" w:eastAsia="仿宋" w:cs="Times New Roman"/>
          <w:sz w:val="28"/>
          <w:szCs w:val="28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田素华  熊  琴</w:t>
      </w:r>
    </w:p>
    <w:p>
      <w:pPr>
        <w:spacing w:line="276" w:lineRule="auto"/>
        <w:jc w:val="center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spacing w:line="276" w:lineRule="auto"/>
        <w:rPr>
          <w:rFonts w:ascii="宋体" w:hAnsi="宋体" w:eastAsia="宋体"/>
          <w:bCs/>
          <w:sz w:val="22"/>
        </w:rPr>
      </w:pPr>
    </w:p>
    <w:p>
      <w:pPr>
        <w:pStyle w:val="15"/>
        <w:spacing w:before="312" w:after="312"/>
        <w:rPr>
          <w:rFonts w:hint="eastAsia" w:ascii="楷体" w:hAnsi="楷体"/>
          <w:bCs w:val="0"/>
          <w:szCs w:val="28"/>
        </w:rPr>
      </w:pPr>
      <w:bookmarkStart w:id="0" w:name="_Toc164976818"/>
    </w:p>
    <w:p>
      <w:pPr>
        <w:pStyle w:val="15"/>
        <w:spacing w:before="312" w:after="312"/>
        <w:rPr>
          <w:rFonts w:ascii="楷体" w:hAnsi="楷体"/>
          <w:bCs w:val="0"/>
          <w:szCs w:val="28"/>
        </w:rPr>
      </w:pPr>
      <w:r>
        <w:rPr>
          <w:rFonts w:hint="eastAsia" w:ascii="楷体" w:hAnsi="楷体"/>
          <w:bCs w:val="0"/>
          <w:szCs w:val="28"/>
        </w:rPr>
        <w:t>附 录</w:t>
      </w:r>
      <w:r>
        <w:rPr>
          <w:rFonts w:ascii="楷体" w:hAnsi="楷体"/>
          <w:bCs w:val="0"/>
          <w:szCs w:val="28"/>
        </w:rPr>
        <w:t xml:space="preserve">  </w:t>
      </w:r>
      <w:bookmarkEnd w:id="0"/>
    </w:p>
    <w:p>
      <w:pPr>
        <w:ind w:firstLine="402" w:firstLineChars="200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 xml:space="preserve">                               表A1  变量的描述性统计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46"/>
        <w:gridCol w:w="1147"/>
        <w:gridCol w:w="1149"/>
        <w:gridCol w:w="1149"/>
        <w:gridCol w:w="1149"/>
        <w:gridCol w:w="11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变量</w:t>
            </w:r>
          </w:p>
        </w:tc>
        <w:tc>
          <w:tcPr>
            <w:tcW w:w="6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观测值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标准差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最小值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中位数</w:t>
            </w:r>
          </w:p>
        </w:tc>
        <w:tc>
          <w:tcPr>
            <w:tcW w:w="695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最大值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37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</w:tc>
        <w:tc>
          <w:tcPr>
            <w:tcW w:w="672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9.413 </w:t>
            </w:r>
          </w:p>
        </w:tc>
        <w:tc>
          <w:tcPr>
            <w:tcW w:w="674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2.240 </w:t>
            </w:r>
          </w:p>
        </w:tc>
        <w:tc>
          <w:tcPr>
            <w:tcW w:w="674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-2.303 </w:t>
            </w:r>
          </w:p>
        </w:tc>
        <w:tc>
          <w:tcPr>
            <w:tcW w:w="674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9.421 </w:t>
            </w:r>
          </w:p>
        </w:tc>
        <w:tc>
          <w:tcPr>
            <w:tcW w:w="69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16.327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reatment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0.505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0.500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1.000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1.000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ost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.231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.422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1.000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2.316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0.851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0.693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2.197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4.913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Export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0.333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0.373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0.139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1.000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Capital/Labor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4.667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1.221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-3.420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4.631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11.532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COD/Output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-3.615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2.278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-14.784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-3.582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4.196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Output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13.028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1.611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6.210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12.945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18.860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仿宋"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FDI_</w:t>
            </w:r>
            <w:r>
              <w:rPr>
                <w:rFonts w:hint="eastAsia" w:ascii="Times New Roman" w:hAnsi="Times New Roman" w:eastAsia="仿宋"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strict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0 245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.183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.386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.000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.000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OFDI_lax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0 245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.047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.212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.000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.000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0.400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0.875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7.149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Green Invention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0.052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0.298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4.277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Lnexport1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10.578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8.987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15.587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25.344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Lnexport2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6 108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17.879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2.438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4.017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18.195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25.344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Export_dummy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0.592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0.492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1.000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Variety_HS8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10 324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1.202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1.245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1.099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5.799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Liquidity_ratio</w:t>
            </w:r>
          </w:p>
        </w:tc>
        <w:tc>
          <w:tcPr>
            <w:tcW w:w="672" w:type="pct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10 197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0.039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0.270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-0.813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0.045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0.993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Leverage_ratio</w:t>
            </w:r>
          </w:p>
        </w:tc>
        <w:tc>
          <w:tcPr>
            <w:tcW w:w="672" w:type="pct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10 143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0.354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2.159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-2.561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-0.077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15.714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Interest1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8 701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2.984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3.475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0.000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2.466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77.125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Interest2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8 170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6.455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6.167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5.435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99.633 </w:t>
            </w:r>
          </w:p>
        </w:tc>
      </w:tr>
    </w:tbl>
    <w:p>
      <w:pPr>
        <w:ind w:firstLine="360" w:firstLineChars="200"/>
        <w:rPr>
          <w:rFonts w:ascii="Times New Roman" w:hAnsi="Times New Roman" w:eastAsia="仿宋" w:cs="Times New Roman"/>
          <w:sz w:val="18"/>
          <w:szCs w:val="18"/>
        </w:rPr>
      </w:pPr>
      <w:r>
        <w:rPr>
          <w:rFonts w:hint="eastAsia" w:ascii="Times New Roman" w:hAnsi="Times New Roman" w:eastAsia="仿宋" w:cs="Times New Roman"/>
          <w:sz w:val="18"/>
          <w:szCs w:val="18"/>
        </w:rPr>
        <w:t>注</w:t>
      </w:r>
      <w:r>
        <w:rPr>
          <w:rFonts w:ascii="Times New Roman" w:hAnsi="Times New Roman" w:eastAsia="仿宋" w:cs="Times New Roman"/>
          <w:sz w:val="18"/>
          <w:szCs w:val="18"/>
        </w:rPr>
        <w:t>：所有</w:t>
      </w:r>
      <w:r>
        <w:rPr>
          <w:rFonts w:hint="eastAsia" w:ascii="Times New Roman" w:hAnsi="Times New Roman" w:eastAsia="仿宋" w:cs="Times New Roman"/>
          <w:sz w:val="18"/>
          <w:szCs w:val="18"/>
        </w:rPr>
        <w:t>变量的定义参见表1。表中汇报的</w:t>
      </w:r>
      <w:r>
        <w:rPr>
          <w:rFonts w:hint="eastAsia" w:ascii="Times New Roman" w:hAnsi="Times New Roman" w:eastAsia="仿宋" w:cs="Times New Roman"/>
          <w:i/>
          <w:iCs/>
          <w:sz w:val="18"/>
          <w:szCs w:val="18"/>
        </w:rPr>
        <w:t>O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FDI_strict</w:t>
      </w:r>
      <w:r>
        <w:rPr>
          <w:rFonts w:ascii="Times New Roman" w:hAnsi="Times New Roman" w:eastAsia="仿宋" w:cs="Times New Roman"/>
          <w:sz w:val="18"/>
          <w:szCs w:val="18"/>
        </w:rPr>
        <w:t>和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OFDI_lax</w:t>
      </w:r>
      <w:r>
        <w:rPr>
          <w:rFonts w:hint="eastAsia" w:ascii="Times New Roman" w:hAnsi="Times New Roman" w:eastAsia="仿宋" w:cs="Times New Roman"/>
          <w:sz w:val="18"/>
          <w:szCs w:val="18"/>
        </w:rPr>
        <w:t>是根据</w:t>
      </w:r>
      <w:r>
        <w:rPr>
          <w:rFonts w:ascii="Times New Roman" w:hAnsi="Times New Roman" w:eastAsia="仿宋" w:cs="Times New Roman"/>
          <w:sz w:val="18"/>
          <w:szCs w:val="18"/>
        </w:rPr>
        <w:t>1999年EPI指数</w:t>
      </w:r>
      <w:r>
        <w:rPr>
          <w:rFonts w:hint="eastAsia" w:ascii="Times New Roman" w:hAnsi="Times New Roman" w:eastAsia="仿宋" w:cs="Times New Roman"/>
          <w:sz w:val="18"/>
          <w:szCs w:val="18"/>
        </w:rPr>
        <w:t>的W</w:t>
      </w:r>
      <w:r>
        <w:rPr>
          <w:rFonts w:ascii="Times New Roman" w:hAnsi="Times New Roman" w:eastAsia="仿宋" w:cs="Times New Roman"/>
          <w:sz w:val="18"/>
          <w:szCs w:val="18"/>
        </w:rPr>
        <w:t>WT评分对</w:t>
      </w:r>
      <w:r>
        <w:rPr>
          <w:rFonts w:hint="eastAsia" w:ascii="Times New Roman" w:hAnsi="Times New Roman" w:eastAsia="仿宋" w:cs="Times New Roman"/>
          <w:sz w:val="18"/>
          <w:szCs w:val="18"/>
        </w:rPr>
        <w:t>O</w:t>
      </w:r>
      <w:r>
        <w:rPr>
          <w:rFonts w:ascii="Times New Roman" w:hAnsi="Times New Roman" w:eastAsia="仿宋" w:cs="Times New Roman"/>
          <w:sz w:val="18"/>
          <w:szCs w:val="18"/>
        </w:rPr>
        <w:t>FDI</w:t>
      </w:r>
      <w:r>
        <w:rPr>
          <w:rFonts w:hint="eastAsia" w:ascii="Times New Roman" w:hAnsi="Times New Roman" w:eastAsia="仿宋" w:cs="Times New Roman"/>
          <w:sz w:val="18"/>
          <w:szCs w:val="18"/>
        </w:rPr>
        <w:t>东道国</w:t>
      </w:r>
      <w:r>
        <w:rPr>
          <w:rFonts w:ascii="Times New Roman" w:hAnsi="Times New Roman" w:eastAsia="仿宋" w:cs="Times New Roman"/>
          <w:sz w:val="18"/>
          <w:szCs w:val="18"/>
        </w:rPr>
        <w:t>环境规制相对强度分组</w:t>
      </w:r>
      <w:r>
        <w:rPr>
          <w:rFonts w:hint="eastAsia" w:ascii="Times New Roman" w:hAnsi="Times New Roman" w:eastAsia="仿宋" w:cs="Times New Roman"/>
          <w:sz w:val="18"/>
          <w:szCs w:val="18"/>
        </w:rPr>
        <w:t>定义的变量</w:t>
      </w:r>
      <w:r>
        <w:rPr>
          <w:rFonts w:ascii="Times New Roman" w:hAnsi="Times New Roman" w:eastAsia="仿宋" w:cs="Times New Roman"/>
          <w:sz w:val="18"/>
          <w:szCs w:val="18"/>
        </w:rPr>
        <w:t>，</w:t>
      </w:r>
      <w:r>
        <w:rPr>
          <w:rFonts w:hint="eastAsia" w:ascii="Times New Roman" w:hAnsi="Times New Roman" w:eastAsia="仿宋" w:cs="Times New Roman"/>
          <w:sz w:val="18"/>
          <w:szCs w:val="18"/>
        </w:rPr>
        <w:t>与使用</w:t>
      </w:r>
      <w:r>
        <w:rPr>
          <w:rFonts w:ascii="Times New Roman" w:hAnsi="Times New Roman" w:eastAsia="仿宋" w:cs="Times New Roman"/>
          <w:sz w:val="18"/>
          <w:szCs w:val="18"/>
        </w:rPr>
        <w:t>EPI指数</w:t>
      </w:r>
      <w:r>
        <w:rPr>
          <w:rFonts w:hint="eastAsia" w:ascii="Times New Roman" w:hAnsi="Times New Roman" w:eastAsia="仿宋" w:cs="Times New Roman"/>
          <w:sz w:val="18"/>
          <w:szCs w:val="18"/>
        </w:rPr>
        <w:t>的U</w:t>
      </w:r>
      <w:r>
        <w:rPr>
          <w:rFonts w:ascii="Times New Roman" w:hAnsi="Times New Roman" w:eastAsia="仿宋" w:cs="Times New Roman"/>
          <w:sz w:val="18"/>
          <w:szCs w:val="18"/>
        </w:rPr>
        <w:t>DW评分</w:t>
      </w:r>
      <w:r>
        <w:rPr>
          <w:rFonts w:hint="eastAsia" w:ascii="Times New Roman" w:hAnsi="Times New Roman" w:eastAsia="仿宋" w:cs="Times New Roman"/>
          <w:sz w:val="18"/>
          <w:szCs w:val="18"/>
        </w:rPr>
        <w:t>分组来定义的变量的描述性统计结果相差较小，本文没有汇报相应结果，作者留存备索。</w:t>
      </w: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spacing w:line="276" w:lineRule="auto"/>
        <w:rPr>
          <w:rFonts w:ascii="宋体" w:hAnsi="宋体" w:eastAsia="宋体"/>
          <w:b/>
          <w:szCs w:val="21"/>
        </w:rPr>
      </w:pPr>
    </w:p>
    <w:p>
      <w:pPr>
        <w:ind w:firstLine="361" w:firstLineChars="200"/>
        <w:jc w:val="center"/>
        <w:rPr>
          <w:rFonts w:hint="eastAsia" w:ascii="Times New Roman" w:hAnsi="Times New Roman" w:eastAsia="仿宋" w:cs="Times New Roman"/>
          <w:b/>
          <w:bCs/>
          <w:sz w:val="18"/>
          <w:szCs w:val="18"/>
        </w:rPr>
      </w:pPr>
    </w:p>
    <w:p>
      <w:pPr>
        <w:ind w:firstLine="402" w:firstLineChars="200"/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表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A2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 xml:space="preserve">  稳健性检验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079"/>
        <w:gridCol w:w="1079"/>
        <w:gridCol w:w="1081"/>
        <w:gridCol w:w="1081"/>
        <w:gridCol w:w="1157"/>
        <w:gridCol w:w="100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Borders>
              <w:top w:val="single" w:color="auto" w:sz="4" w:space="0"/>
              <w:bottom w:val="nil"/>
            </w:tcBorders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COD</w:t>
            </w:r>
          </w:p>
        </w:tc>
        <w:tc>
          <w:tcPr>
            <w:tcW w:w="633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COD</w:t>
            </w:r>
          </w:p>
        </w:tc>
        <w:tc>
          <w:tcPr>
            <w:tcW w:w="634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COD</w:t>
            </w:r>
          </w:p>
        </w:tc>
        <w:tc>
          <w:tcPr>
            <w:tcW w:w="634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COD</w:t>
            </w:r>
          </w:p>
        </w:tc>
        <w:tc>
          <w:tcPr>
            <w:tcW w:w="679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Waste Water</w:t>
            </w:r>
          </w:p>
        </w:tc>
        <w:tc>
          <w:tcPr>
            <w:tcW w:w="591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i/>
                <w:iCs/>
                <w:sz w:val="18"/>
                <w:szCs w:val="18"/>
              </w:rPr>
              <w:t>NH</w:t>
            </w: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3-</w:t>
            </w:r>
            <w:r>
              <w:rPr>
                <w:rFonts w:hint="eastAsia" w:ascii="Times New Roman" w:hAnsi="Times New Roman" w:eastAsia="仿宋" w:cs="Times New Roman"/>
                <w:i/>
                <w:iCs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Borders>
              <w:top w:val="nil"/>
              <w:bottom w:val="single" w:color="auto" w:sz="4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（1）</w:t>
            </w:r>
          </w:p>
        </w:tc>
        <w:tc>
          <w:tcPr>
            <w:tcW w:w="633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（2）</w:t>
            </w:r>
          </w:p>
        </w:tc>
        <w:tc>
          <w:tcPr>
            <w:tcW w:w="634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（3）</w:t>
            </w:r>
          </w:p>
        </w:tc>
        <w:tc>
          <w:tcPr>
            <w:tcW w:w="634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（4）</w:t>
            </w:r>
          </w:p>
        </w:tc>
        <w:tc>
          <w:tcPr>
            <w:tcW w:w="679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（5）</w:t>
            </w:r>
          </w:p>
        </w:tc>
        <w:tc>
          <w:tcPr>
            <w:tcW w:w="591" w:type="pct"/>
            <w:tcBorders>
              <w:top w:val="nil"/>
              <w:bottom w:val="single" w:color="auto" w:sz="4" w:space="0"/>
            </w:tcBorders>
          </w:tcPr>
          <w:p>
            <w:pPr>
              <w:ind w:firstLine="180" w:firstLineChars="100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（6）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196" w:type="pct"/>
            <w:tcBorders>
              <w:top w:val="single" w:color="auto" w:sz="4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i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reatment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×Post</w:t>
            </w:r>
          </w:p>
        </w:tc>
        <w:tc>
          <w:tcPr>
            <w:tcW w:w="633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-0.164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33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4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-0.163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4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-0.160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79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-0.132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0.061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0.078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0.065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0.059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0.050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0.071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  <w:t>企业固定效应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  <w:t>城市-年份固定效应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行业-年份固定效应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企业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特征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×</w:t>
            </w: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year dummies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样本量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9 995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6 588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10 324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10 307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10 179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6 433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调整的R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0.785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0.815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0.783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</w:p>
        </w:tc>
      </w:tr>
    </w:tbl>
    <w:p>
      <w:pPr>
        <w:ind w:firstLine="360" w:firstLineChars="200"/>
        <w:rPr>
          <w:rFonts w:ascii="Times New Roman" w:hAnsi="Times New Roman" w:eastAsia="仿宋" w:cs="Times New Roman"/>
          <w:sz w:val="18"/>
          <w:szCs w:val="18"/>
        </w:rPr>
      </w:pPr>
      <w:r>
        <w:rPr>
          <w:rFonts w:hint="eastAsia" w:ascii="Times New Roman" w:hAnsi="Times New Roman" w:eastAsia="仿宋" w:cs="Times New Roman"/>
          <w:sz w:val="18"/>
          <w:szCs w:val="18"/>
        </w:rPr>
        <w:t>注</w:t>
      </w:r>
      <w:r>
        <w:rPr>
          <w:rFonts w:ascii="Times New Roman" w:hAnsi="Times New Roman" w:eastAsia="仿宋" w:cs="Times New Roman"/>
          <w:sz w:val="18"/>
          <w:szCs w:val="18"/>
        </w:rPr>
        <w:t>：模型未汇报常数项的结果。括号内的数值为</w:t>
      </w:r>
      <w:r>
        <w:rPr>
          <w:rFonts w:hint="eastAsia" w:ascii="Times New Roman" w:hAnsi="Times New Roman" w:eastAsia="仿宋" w:cs="Times New Roman"/>
          <w:sz w:val="18"/>
          <w:szCs w:val="18"/>
        </w:rPr>
        <w:t>聚类在</w:t>
      </w:r>
      <w:r>
        <w:rPr>
          <w:rFonts w:ascii="Times New Roman" w:hAnsi="Times New Roman" w:eastAsia="仿宋" w:cs="Times New Roman"/>
          <w:sz w:val="18"/>
          <w:szCs w:val="18"/>
        </w:rPr>
        <w:t>企业层面的</w:t>
      </w:r>
      <w:r>
        <w:rPr>
          <w:rFonts w:hint="eastAsia" w:ascii="Times New Roman" w:hAnsi="Times New Roman" w:eastAsia="仿宋" w:cs="Times New Roman"/>
          <w:sz w:val="18"/>
          <w:szCs w:val="18"/>
        </w:rPr>
        <w:t>稳健</w:t>
      </w:r>
      <w:r>
        <w:rPr>
          <w:rFonts w:ascii="Times New Roman" w:hAnsi="Times New Roman" w:eastAsia="仿宋" w:cs="Times New Roman"/>
          <w:sz w:val="18"/>
          <w:szCs w:val="18"/>
        </w:rPr>
        <w:t>标准误。*、**和***分别表示在10%、5%和1%的水平上显著。企业</w:t>
      </w:r>
      <w:r>
        <w:rPr>
          <w:rFonts w:hint="eastAsia" w:ascii="Times New Roman" w:hAnsi="Times New Roman" w:eastAsia="仿宋" w:cs="Times New Roman"/>
          <w:sz w:val="18"/>
          <w:szCs w:val="18"/>
        </w:rPr>
        <w:t>特征</w:t>
      </w:r>
      <w:r>
        <w:rPr>
          <w:rFonts w:ascii="Times New Roman" w:hAnsi="Times New Roman" w:eastAsia="仿宋" w:cs="Times New Roman"/>
          <w:sz w:val="18"/>
          <w:szCs w:val="18"/>
        </w:rPr>
        <w:t>包括企业年龄（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Age</w:t>
      </w:r>
      <w:r>
        <w:rPr>
          <w:rFonts w:ascii="Times New Roman" w:hAnsi="Times New Roman" w:eastAsia="仿宋" w:cs="Times New Roman"/>
          <w:sz w:val="18"/>
          <w:szCs w:val="18"/>
        </w:rPr>
        <w:t>）、出口比重（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Export</w:t>
      </w:r>
      <w:r>
        <w:rPr>
          <w:rFonts w:ascii="Times New Roman" w:hAnsi="Times New Roman" w:eastAsia="仿宋" w:cs="Times New Roman"/>
          <w:sz w:val="18"/>
          <w:szCs w:val="18"/>
        </w:rPr>
        <w:t>）和资本劳动比（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Capital/Labor</w:t>
      </w:r>
      <w:r>
        <w:rPr>
          <w:rFonts w:ascii="Times New Roman" w:hAnsi="Times New Roman" w:eastAsia="仿宋" w:cs="Times New Roman"/>
          <w:sz w:val="18"/>
          <w:szCs w:val="18"/>
        </w:rPr>
        <w:t>）在样本期</w:t>
      </w:r>
      <w:r>
        <w:rPr>
          <w:rFonts w:hint="eastAsia" w:ascii="Times New Roman" w:hAnsi="Times New Roman" w:eastAsia="仿宋" w:cs="Times New Roman"/>
          <w:sz w:val="18"/>
          <w:szCs w:val="18"/>
        </w:rPr>
        <w:t>的初始</w:t>
      </w:r>
      <w:r>
        <w:rPr>
          <w:rFonts w:ascii="Times New Roman" w:hAnsi="Times New Roman" w:eastAsia="仿宋" w:cs="Times New Roman"/>
          <w:sz w:val="18"/>
          <w:szCs w:val="18"/>
        </w:rPr>
        <w:t>值。</w:t>
      </w:r>
      <w:r>
        <w:rPr>
          <w:rFonts w:hint="eastAsia" w:ascii="Times New Roman" w:hAnsi="Times New Roman" w:eastAsia="仿宋" w:cs="Times New Roman"/>
          <w:sz w:val="18"/>
          <w:szCs w:val="18"/>
        </w:rPr>
        <w:t>以下表格同。</w:t>
      </w:r>
      <w:r>
        <w:rPr>
          <w:rFonts w:ascii="Times New Roman" w:hAnsi="Times New Roman" w:eastAsia="仿宋" w:cs="Times New Roman"/>
          <w:sz w:val="18"/>
          <w:szCs w:val="18"/>
        </w:rPr>
        <w:t>第（1）列</w:t>
      </w:r>
      <w:r>
        <w:rPr>
          <w:rFonts w:hint="eastAsia" w:ascii="Times New Roman" w:hAnsi="Times New Roman" w:eastAsia="仿宋" w:cs="Times New Roman"/>
          <w:sz w:val="18"/>
          <w:szCs w:val="18"/>
        </w:rPr>
        <w:t>在控制变量中加入企业</w:t>
      </w:r>
      <w:r>
        <w:rPr>
          <w:rFonts w:ascii="Times New Roman" w:hAnsi="Times New Roman" w:eastAsia="仿宋" w:cs="Times New Roman"/>
          <w:sz w:val="18"/>
          <w:szCs w:val="18"/>
        </w:rPr>
        <w:t>外</w:t>
      </w:r>
      <w:r>
        <w:rPr>
          <w:rFonts w:hint="eastAsia" w:ascii="Times New Roman" w:hAnsi="Times New Roman" w:eastAsia="仿宋" w:cs="Times New Roman"/>
          <w:sz w:val="18"/>
          <w:szCs w:val="18"/>
        </w:rPr>
        <w:t>商</w:t>
      </w:r>
      <w:r>
        <w:rPr>
          <w:rFonts w:ascii="Times New Roman" w:hAnsi="Times New Roman" w:eastAsia="仿宋" w:cs="Times New Roman"/>
          <w:sz w:val="18"/>
          <w:szCs w:val="18"/>
        </w:rPr>
        <w:t>股权占比</w:t>
      </w:r>
      <w:r>
        <w:rPr>
          <w:rFonts w:hint="eastAsia" w:ascii="Times New Roman" w:hAnsi="Times New Roman" w:eastAsia="仿宋" w:cs="Times New Roman"/>
          <w:sz w:val="18"/>
          <w:szCs w:val="18"/>
        </w:rPr>
        <w:t>在样本期的初始值与年份固定效应的交互项；第（2）列仅保留</w:t>
      </w:r>
      <w:r>
        <w:rPr>
          <w:rFonts w:ascii="Times New Roman" w:hAnsi="Times New Roman" w:eastAsia="仿宋" w:cs="Times New Roman"/>
          <w:sz w:val="18"/>
          <w:szCs w:val="18"/>
        </w:rPr>
        <w:t>2001</w:t>
      </w:r>
      <w:r>
        <w:rPr>
          <w:rFonts w:hint="eastAsia" w:ascii="Times New Roman" w:hAnsi="Times New Roman" w:eastAsia="仿宋" w:cs="Times New Roman"/>
          <w:sz w:val="18"/>
          <w:szCs w:val="18"/>
        </w:rPr>
        <w:t>—</w:t>
      </w:r>
      <w:r>
        <w:rPr>
          <w:rFonts w:ascii="Times New Roman" w:hAnsi="Times New Roman" w:eastAsia="仿宋" w:cs="Times New Roman"/>
          <w:sz w:val="18"/>
          <w:szCs w:val="18"/>
        </w:rPr>
        <w:t>2009年</w:t>
      </w:r>
      <w:r>
        <w:rPr>
          <w:rFonts w:hint="eastAsia" w:ascii="Times New Roman" w:hAnsi="Times New Roman" w:eastAsia="仿宋" w:cs="Times New Roman"/>
          <w:sz w:val="18"/>
          <w:szCs w:val="18"/>
        </w:rPr>
        <w:t>的</w:t>
      </w:r>
      <w:r>
        <w:rPr>
          <w:rFonts w:ascii="Times New Roman" w:hAnsi="Times New Roman" w:eastAsia="仿宋" w:cs="Times New Roman"/>
          <w:sz w:val="18"/>
          <w:szCs w:val="18"/>
        </w:rPr>
        <w:t>样本</w:t>
      </w:r>
      <w:r>
        <w:rPr>
          <w:rFonts w:hint="eastAsia" w:ascii="Times New Roman" w:hAnsi="Times New Roman" w:eastAsia="仿宋" w:cs="Times New Roman"/>
          <w:sz w:val="18"/>
          <w:szCs w:val="18"/>
        </w:rPr>
        <w:t>进行回归；第（3）列将标准误聚类在四位码行业层面；第（4）列的回归样本是通过</w:t>
      </w:r>
      <w:r>
        <w:rPr>
          <w:rFonts w:ascii="Times New Roman" w:hAnsi="Times New Roman" w:eastAsia="仿宋" w:cs="Times New Roman"/>
          <w:sz w:val="18"/>
          <w:szCs w:val="18"/>
        </w:rPr>
        <w:t>卡尺</w:t>
      </w:r>
      <w:r>
        <w:rPr>
          <w:rFonts w:hint="eastAsia" w:ascii="Times New Roman" w:hAnsi="Times New Roman" w:eastAsia="仿宋" w:cs="Times New Roman"/>
          <w:sz w:val="18"/>
          <w:szCs w:val="18"/>
        </w:rPr>
        <w:t>内最近</w:t>
      </w:r>
      <w:r>
        <w:rPr>
          <w:rFonts w:ascii="Times New Roman" w:hAnsi="Times New Roman" w:eastAsia="仿宋" w:cs="Times New Roman"/>
          <w:sz w:val="18"/>
          <w:szCs w:val="18"/>
        </w:rPr>
        <w:t>邻匹配</w:t>
      </w:r>
      <w:r>
        <w:rPr>
          <w:rFonts w:hint="eastAsia" w:ascii="Times New Roman" w:hAnsi="Times New Roman" w:eastAsia="仿宋" w:cs="Times New Roman"/>
          <w:sz w:val="18"/>
          <w:szCs w:val="18"/>
        </w:rPr>
        <w:t>的方法得到；第（5）列的被解释变量是工业废水排放量（</w:t>
      </w:r>
      <w:r>
        <w:rPr>
          <w:rFonts w:hint="eastAsia" w:ascii="Times New Roman" w:hAnsi="Times New Roman" w:eastAsia="仿宋" w:cs="Times New Roman"/>
          <w:i/>
          <w:iCs/>
          <w:sz w:val="18"/>
          <w:szCs w:val="18"/>
        </w:rPr>
        <w:t>W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aste Water</w:t>
      </w:r>
      <w:r>
        <w:rPr>
          <w:rFonts w:hint="eastAsia" w:ascii="Times New Roman" w:hAnsi="Times New Roman" w:eastAsia="仿宋" w:cs="Times New Roman"/>
          <w:sz w:val="18"/>
          <w:szCs w:val="18"/>
        </w:rPr>
        <w:t>）的自然对数值；第（6）列的被解释变量是氨氮排放量（</w:t>
      </w:r>
      <w:r>
        <w:rPr>
          <w:rFonts w:hint="eastAsia" w:ascii="Times New Roman" w:hAnsi="Times New Roman" w:eastAsia="仿宋" w:cs="Times New Roman"/>
          <w:i/>
          <w:iCs/>
          <w:sz w:val="18"/>
          <w:szCs w:val="18"/>
        </w:rPr>
        <w:t>NH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3-</w:t>
      </w:r>
      <w:r>
        <w:rPr>
          <w:rFonts w:hint="eastAsia" w:ascii="Times New Roman" w:hAnsi="Times New Roman" w:eastAsia="仿宋" w:cs="Times New Roman"/>
          <w:i/>
          <w:iCs/>
          <w:sz w:val="18"/>
          <w:szCs w:val="18"/>
        </w:rPr>
        <w:t>N</w:t>
      </w:r>
      <w:r>
        <w:rPr>
          <w:rFonts w:hint="eastAsia" w:ascii="Times New Roman" w:hAnsi="Times New Roman" w:eastAsia="仿宋" w:cs="Times New Roman"/>
          <w:sz w:val="18"/>
          <w:szCs w:val="18"/>
        </w:rPr>
        <w:t>）</w:t>
      </w:r>
      <w:r>
        <w:rPr>
          <w:rFonts w:ascii="Times New Roman" w:hAnsi="Times New Roman" w:eastAsia="仿宋" w:cs="Times New Roman"/>
          <w:sz w:val="18"/>
          <w:szCs w:val="18"/>
        </w:rPr>
        <w:t>的自然对数值</w:t>
      </w:r>
      <w:r>
        <w:rPr>
          <w:rFonts w:hint="eastAsia" w:ascii="Times New Roman" w:hAnsi="Times New Roman" w:eastAsia="仿宋" w:cs="Times New Roman"/>
          <w:sz w:val="18"/>
          <w:szCs w:val="18"/>
        </w:rPr>
        <w:t>。</w:t>
      </w:r>
    </w:p>
    <w:p>
      <w:pPr>
        <w:ind w:firstLine="361" w:firstLineChars="200"/>
        <w:rPr>
          <w:rFonts w:ascii="Times New Roman" w:hAnsi="Times New Roman" w:eastAsia="仿宋" w:cs="Times New Roman"/>
          <w:b/>
          <w:bCs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sz w:val="18"/>
          <w:szCs w:val="18"/>
        </w:rPr>
        <w:t xml:space="preserve">                                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 xml:space="preserve">  表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A3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 xml:space="preserve"> 异质性分析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1185"/>
        <w:gridCol w:w="1331"/>
        <w:gridCol w:w="1331"/>
        <w:gridCol w:w="13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Borders>
              <w:top w:val="single" w:color="auto" w:sz="4" w:space="0"/>
              <w:bottom w:val="nil"/>
            </w:tcBorders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COD</w:t>
            </w:r>
          </w:p>
        </w:tc>
        <w:tc>
          <w:tcPr>
            <w:tcW w:w="781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COD</w:t>
            </w:r>
          </w:p>
        </w:tc>
        <w:tc>
          <w:tcPr>
            <w:tcW w:w="781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COD</w:t>
            </w:r>
          </w:p>
        </w:tc>
        <w:tc>
          <w:tcPr>
            <w:tcW w:w="780" w:type="pct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COD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Borders>
              <w:top w:val="nil"/>
              <w:bottom w:val="single" w:color="auto" w:sz="4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（1）</w:t>
            </w:r>
          </w:p>
        </w:tc>
        <w:tc>
          <w:tcPr>
            <w:tcW w:w="781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（2）</w:t>
            </w:r>
          </w:p>
        </w:tc>
        <w:tc>
          <w:tcPr>
            <w:tcW w:w="781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（3）</w:t>
            </w:r>
          </w:p>
        </w:tc>
        <w:tc>
          <w:tcPr>
            <w:tcW w:w="780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（4）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reatment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×Post×</w:t>
            </w: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Employment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-0.127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0.045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i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reatment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×Post×</w:t>
            </w:r>
            <w:r>
              <w:rPr>
                <w:rFonts w:hint="eastAsia" w:ascii="Times New Roman" w:hAnsi="Times New Roman" w:eastAsia="仿宋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sset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-0.076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i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0.035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reatment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×Post×</w:t>
            </w: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Pollution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-0.197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0.023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reatment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×Post×</w:t>
            </w:r>
            <w:r>
              <w:rPr>
                <w:rFonts w:hint="eastAsia" w:ascii="Times New Roman" w:hAnsi="Times New Roman" w:eastAsia="仿宋" w:cs="Times New Roman"/>
                <w:i/>
                <w:sz w:val="18"/>
                <w:szCs w:val="18"/>
              </w:rPr>
              <w:t>In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tensity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-0.180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0.023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reatment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×Post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0.673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0.792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1.686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-0.721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0.304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0.451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0.225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0.092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  <w:t>企业固定效应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  <w:t>城市-年份固定效应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行业-年份固定效应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企业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特征</w:t>
            </w:r>
            <w:r>
              <w:rPr>
                <w:rFonts w:ascii="Times New Roman" w:hAnsi="Times New Roman" w:eastAsia="仿宋" w:cs="Times New Roman"/>
                <w:i/>
                <w:sz w:val="18"/>
                <w:szCs w:val="18"/>
              </w:rPr>
              <w:t>×</w:t>
            </w:r>
            <w:r>
              <w:rPr>
                <w:rFonts w:ascii="Times New Roman" w:hAnsi="Times New Roman" w:eastAsia="仿宋" w:cs="Times New Roman"/>
                <w:i/>
                <w:iCs/>
                <w:sz w:val="18"/>
                <w:szCs w:val="18"/>
              </w:rPr>
              <w:t>year dummies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样本量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10 324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10 324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10 324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10 324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pct"/>
            <w:tcMar>
              <w:top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调整的R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0.790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0.789</w:t>
            </w:r>
          </w:p>
        </w:tc>
      </w:tr>
    </w:tbl>
    <w:p>
      <w:pPr>
        <w:ind w:firstLine="360" w:firstLineChars="200"/>
        <w:rPr>
          <w:rFonts w:ascii="Times New Roman" w:hAnsi="Times New Roman" w:eastAsia="仿宋" w:cs="Times New Roman"/>
          <w:sz w:val="18"/>
          <w:szCs w:val="18"/>
        </w:rPr>
      </w:pPr>
      <w:r>
        <w:rPr>
          <w:rFonts w:hint="eastAsia" w:ascii="Times New Roman" w:hAnsi="Times New Roman" w:eastAsia="仿宋" w:cs="Times New Roman"/>
          <w:sz w:val="18"/>
          <w:szCs w:val="18"/>
        </w:rPr>
        <w:t>注</w:t>
      </w:r>
      <w:r>
        <w:rPr>
          <w:rFonts w:ascii="Times New Roman" w:hAnsi="Times New Roman" w:eastAsia="仿宋" w:cs="Times New Roman"/>
          <w:sz w:val="18"/>
          <w:szCs w:val="18"/>
        </w:rPr>
        <w:t>：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Employment</w:t>
      </w:r>
      <w:r>
        <w:rPr>
          <w:rFonts w:hint="eastAsia" w:ascii="Times New Roman" w:hAnsi="Times New Roman" w:eastAsia="仿宋" w:cs="Times New Roman"/>
          <w:i/>
          <w:iCs/>
          <w:sz w:val="18"/>
          <w:szCs w:val="18"/>
        </w:rPr>
        <w:t>、</w:t>
      </w:r>
      <w:r>
        <w:rPr>
          <w:rFonts w:hint="eastAsia" w:ascii="Times New Roman" w:hAnsi="Times New Roman" w:eastAsia="仿宋" w:cs="Times New Roman"/>
          <w:i/>
          <w:sz w:val="18"/>
          <w:szCs w:val="18"/>
        </w:rPr>
        <w:t>A</w:t>
      </w:r>
      <w:r>
        <w:rPr>
          <w:rFonts w:ascii="Times New Roman" w:hAnsi="Times New Roman" w:eastAsia="仿宋" w:cs="Times New Roman"/>
          <w:i/>
          <w:sz w:val="18"/>
          <w:szCs w:val="18"/>
        </w:rPr>
        <w:t>sset</w:t>
      </w:r>
      <w:r>
        <w:rPr>
          <w:rFonts w:hint="eastAsia" w:ascii="Times New Roman" w:hAnsi="Times New Roman" w:eastAsia="仿宋" w:cs="Times New Roman"/>
          <w:iCs/>
          <w:sz w:val="18"/>
          <w:szCs w:val="18"/>
        </w:rPr>
        <w:t>分别代表</w:t>
      </w:r>
      <w:r>
        <w:rPr>
          <w:rFonts w:ascii="Times New Roman" w:hAnsi="Times New Roman" w:eastAsia="仿宋" w:cs="Times New Roman"/>
          <w:sz w:val="18"/>
          <w:szCs w:val="18"/>
        </w:rPr>
        <w:t>企业</w:t>
      </w:r>
      <w:r>
        <w:rPr>
          <w:rFonts w:hint="eastAsia" w:ascii="Times New Roman" w:hAnsi="Times New Roman" w:eastAsia="仿宋" w:cs="Times New Roman"/>
          <w:sz w:val="18"/>
          <w:szCs w:val="18"/>
        </w:rPr>
        <w:t>的</w:t>
      </w:r>
      <w:r>
        <w:rPr>
          <w:rFonts w:ascii="Times New Roman" w:hAnsi="Times New Roman" w:eastAsia="仿宋" w:cs="Times New Roman"/>
          <w:sz w:val="18"/>
          <w:szCs w:val="18"/>
        </w:rPr>
        <w:t>从业人员平均数</w:t>
      </w:r>
      <w:r>
        <w:rPr>
          <w:rFonts w:hint="eastAsia" w:ascii="Times New Roman" w:hAnsi="Times New Roman" w:eastAsia="仿宋" w:cs="Times New Roman"/>
          <w:sz w:val="18"/>
          <w:szCs w:val="18"/>
        </w:rPr>
        <w:t>（取ln）和</w:t>
      </w:r>
      <w:r>
        <w:rPr>
          <w:rFonts w:ascii="Times New Roman" w:hAnsi="Times New Roman" w:eastAsia="仿宋" w:cs="Times New Roman"/>
          <w:sz w:val="18"/>
          <w:szCs w:val="18"/>
        </w:rPr>
        <w:t>企业</w:t>
      </w:r>
      <w:r>
        <w:rPr>
          <w:rFonts w:hint="eastAsia" w:ascii="Times New Roman" w:hAnsi="Times New Roman" w:eastAsia="仿宋" w:cs="Times New Roman"/>
          <w:sz w:val="18"/>
          <w:szCs w:val="18"/>
        </w:rPr>
        <w:t>的资产总额（取ln）</w:t>
      </w:r>
      <w:r>
        <w:rPr>
          <w:rFonts w:ascii="Times New Roman" w:hAnsi="Times New Roman" w:eastAsia="仿宋" w:cs="Times New Roman"/>
          <w:sz w:val="18"/>
          <w:szCs w:val="18"/>
        </w:rPr>
        <w:t>在样本期</w:t>
      </w:r>
      <w:r>
        <w:rPr>
          <w:rFonts w:hint="eastAsia" w:ascii="Times New Roman" w:hAnsi="Times New Roman" w:eastAsia="仿宋" w:cs="Times New Roman"/>
          <w:sz w:val="18"/>
          <w:szCs w:val="18"/>
        </w:rPr>
        <w:t>的初始</w:t>
      </w:r>
      <w:r>
        <w:rPr>
          <w:rFonts w:ascii="Times New Roman" w:hAnsi="Times New Roman" w:eastAsia="仿宋" w:cs="Times New Roman"/>
          <w:sz w:val="18"/>
          <w:szCs w:val="18"/>
        </w:rPr>
        <w:t>值</w:t>
      </w:r>
      <w:r>
        <w:rPr>
          <w:rFonts w:hint="eastAsia" w:ascii="Times New Roman" w:hAnsi="Times New Roman" w:eastAsia="仿宋" w:cs="Times New Roman"/>
          <w:sz w:val="18"/>
          <w:szCs w:val="18"/>
        </w:rPr>
        <w:t>；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Pollution</w:t>
      </w:r>
      <w:r>
        <w:rPr>
          <w:rFonts w:hint="eastAsia" w:ascii="Times New Roman" w:hAnsi="Times New Roman" w:eastAsia="仿宋" w:cs="Times New Roman"/>
          <w:i/>
          <w:iCs/>
          <w:sz w:val="18"/>
          <w:szCs w:val="18"/>
        </w:rPr>
        <w:t>、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Intensity</w:t>
      </w:r>
      <w:r>
        <w:rPr>
          <w:rFonts w:hint="eastAsia" w:ascii="Times New Roman" w:hAnsi="Times New Roman" w:eastAsia="仿宋" w:cs="Times New Roman"/>
          <w:iCs/>
          <w:sz w:val="18"/>
          <w:szCs w:val="18"/>
        </w:rPr>
        <w:t>分别代表</w:t>
      </w:r>
      <w:r>
        <w:rPr>
          <w:rFonts w:ascii="Times New Roman" w:hAnsi="Times New Roman" w:eastAsia="仿宋" w:cs="Times New Roman"/>
          <w:sz w:val="18"/>
          <w:szCs w:val="18"/>
        </w:rPr>
        <w:t>企业</w:t>
      </w:r>
      <w:r>
        <w:rPr>
          <w:rFonts w:hint="eastAsia" w:ascii="Times New Roman" w:hAnsi="Times New Roman" w:eastAsia="仿宋" w:cs="Times New Roman"/>
          <w:sz w:val="18"/>
          <w:szCs w:val="18"/>
        </w:rPr>
        <w:t>的C</w:t>
      </w:r>
      <w:r>
        <w:rPr>
          <w:rFonts w:ascii="Times New Roman" w:hAnsi="Times New Roman" w:eastAsia="仿宋" w:cs="Times New Roman"/>
          <w:sz w:val="18"/>
          <w:szCs w:val="18"/>
        </w:rPr>
        <w:t>OD</w:t>
      </w:r>
      <w:r>
        <w:rPr>
          <w:rFonts w:hint="eastAsia" w:ascii="Times New Roman" w:hAnsi="Times New Roman" w:eastAsia="仿宋" w:cs="Times New Roman"/>
          <w:sz w:val="18"/>
          <w:szCs w:val="18"/>
        </w:rPr>
        <w:t>排放量（取ln）和企业的C</w:t>
      </w:r>
      <w:r>
        <w:rPr>
          <w:rFonts w:ascii="Times New Roman" w:hAnsi="Times New Roman" w:eastAsia="仿宋" w:cs="Times New Roman"/>
          <w:sz w:val="18"/>
          <w:szCs w:val="18"/>
        </w:rPr>
        <w:t>OD</w:t>
      </w:r>
      <w:r>
        <w:rPr>
          <w:rFonts w:hint="eastAsia" w:ascii="Times New Roman" w:hAnsi="Times New Roman" w:eastAsia="仿宋" w:cs="Times New Roman"/>
          <w:sz w:val="18"/>
          <w:szCs w:val="18"/>
        </w:rPr>
        <w:t>排放强度（取ln）</w:t>
      </w:r>
      <w:r>
        <w:rPr>
          <w:rFonts w:ascii="Times New Roman" w:hAnsi="Times New Roman" w:eastAsia="仿宋" w:cs="Times New Roman"/>
          <w:sz w:val="18"/>
          <w:szCs w:val="18"/>
        </w:rPr>
        <w:t>在样本期</w:t>
      </w:r>
      <w:r>
        <w:rPr>
          <w:rFonts w:hint="eastAsia" w:ascii="Times New Roman" w:hAnsi="Times New Roman" w:eastAsia="仿宋" w:cs="Times New Roman"/>
          <w:sz w:val="18"/>
          <w:szCs w:val="18"/>
        </w:rPr>
        <w:t>的初始</w:t>
      </w:r>
      <w:r>
        <w:rPr>
          <w:rFonts w:ascii="Times New Roman" w:hAnsi="Times New Roman" w:eastAsia="仿宋" w:cs="Times New Roman"/>
          <w:sz w:val="18"/>
          <w:szCs w:val="18"/>
        </w:rPr>
        <w:t>值</w:t>
      </w:r>
      <w:r>
        <w:rPr>
          <w:rFonts w:hint="eastAsia" w:ascii="Times New Roman" w:hAnsi="Times New Roman" w:eastAsia="仿宋" w:cs="Times New Roman"/>
          <w:sz w:val="18"/>
          <w:szCs w:val="18"/>
        </w:rPr>
        <w:t>。</w:t>
      </w:r>
    </w:p>
    <w:p>
      <w:pPr>
        <w:snapToGrid w:val="0"/>
        <w:rPr>
          <w:rFonts w:ascii="Times New Roman" w:hAnsi="Times New Roman" w:eastAsia="仿宋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 w:firstLine="0"/>
        <w:textAlignment w:val="auto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863570858"/>
      <w:docPartObj>
        <w:docPartGallery w:val="autotext"/>
      </w:docPartObj>
    </w:sdtPr>
    <w:sdtEndPr>
      <w:rPr>
        <w:rStyle w:val="19"/>
      </w:rPr>
    </w:sdtEndPr>
    <w:sdtContent>
      <w:p>
        <w:pPr>
          <w:pStyle w:val="7"/>
          <w:framePr w:wrap="auto" w:vAnchor="text" w:hAnchor="margin" w:xAlign="center" w:y="1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separate"/>
        </w:r>
        <w:r>
          <w:rPr>
            <w:rStyle w:val="19"/>
          </w:rPr>
          <w:t>1</w:t>
        </w:r>
        <w:r>
          <w:rPr>
            <w:rStyle w:val="19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483976008"/>
      <w:docPartObj>
        <w:docPartGallery w:val="autotext"/>
      </w:docPartObj>
    </w:sdtPr>
    <w:sdtEndPr>
      <w:rPr>
        <w:rStyle w:val="19"/>
      </w:rPr>
    </w:sdtEndPr>
    <w:sdtContent>
      <w:p>
        <w:pPr>
          <w:pStyle w:val="7"/>
          <w:framePr w:wrap="auto" w:vAnchor="text" w:hAnchor="margin" w:xAlign="center" w:y="1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>经济学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 2024年第3期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NWZhMmRiMTY5YWI4NjAwOTAyNmUyMjJkNDE2NTcifQ=="/>
  </w:docVars>
  <w:rsids>
    <w:rsidRoot w:val="002C46A6"/>
    <w:rsid w:val="000237C1"/>
    <w:rsid w:val="00030DE3"/>
    <w:rsid w:val="000462D3"/>
    <w:rsid w:val="00047700"/>
    <w:rsid w:val="00063241"/>
    <w:rsid w:val="000719E9"/>
    <w:rsid w:val="00093535"/>
    <w:rsid w:val="000C1170"/>
    <w:rsid w:val="000C6766"/>
    <w:rsid w:val="000C6B9C"/>
    <w:rsid w:val="00101E0F"/>
    <w:rsid w:val="00117A63"/>
    <w:rsid w:val="00126083"/>
    <w:rsid w:val="00133336"/>
    <w:rsid w:val="0013414C"/>
    <w:rsid w:val="001404CB"/>
    <w:rsid w:val="00143F60"/>
    <w:rsid w:val="001450D9"/>
    <w:rsid w:val="00153BEC"/>
    <w:rsid w:val="0016033F"/>
    <w:rsid w:val="00185EB6"/>
    <w:rsid w:val="00186EB1"/>
    <w:rsid w:val="00195B7E"/>
    <w:rsid w:val="001D53EC"/>
    <w:rsid w:val="001E350A"/>
    <w:rsid w:val="001F0402"/>
    <w:rsid w:val="002001EE"/>
    <w:rsid w:val="0020460D"/>
    <w:rsid w:val="00207307"/>
    <w:rsid w:val="00224B79"/>
    <w:rsid w:val="002306B7"/>
    <w:rsid w:val="0024690D"/>
    <w:rsid w:val="002608F1"/>
    <w:rsid w:val="00262D89"/>
    <w:rsid w:val="00296149"/>
    <w:rsid w:val="00297D83"/>
    <w:rsid w:val="002C46A6"/>
    <w:rsid w:val="002C4A52"/>
    <w:rsid w:val="002C5F72"/>
    <w:rsid w:val="002D6E1A"/>
    <w:rsid w:val="002F668F"/>
    <w:rsid w:val="00316105"/>
    <w:rsid w:val="00322FA8"/>
    <w:rsid w:val="00326A84"/>
    <w:rsid w:val="003724A0"/>
    <w:rsid w:val="00382AFE"/>
    <w:rsid w:val="003A2FCB"/>
    <w:rsid w:val="003A7197"/>
    <w:rsid w:val="003B2460"/>
    <w:rsid w:val="003C3A97"/>
    <w:rsid w:val="003D212A"/>
    <w:rsid w:val="003D3F29"/>
    <w:rsid w:val="003F2EC7"/>
    <w:rsid w:val="0040055D"/>
    <w:rsid w:val="00406605"/>
    <w:rsid w:val="004243A8"/>
    <w:rsid w:val="004257A1"/>
    <w:rsid w:val="004317AD"/>
    <w:rsid w:val="004404BD"/>
    <w:rsid w:val="00456C75"/>
    <w:rsid w:val="0046070F"/>
    <w:rsid w:val="00461298"/>
    <w:rsid w:val="00466ECC"/>
    <w:rsid w:val="004B2982"/>
    <w:rsid w:val="004C5B2D"/>
    <w:rsid w:val="004D1F94"/>
    <w:rsid w:val="004D6024"/>
    <w:rsid w:val="004F0DE3"/>
    <w:rsid w:val="004F7417"/>
    <w:rsid w:val="00500E86"/>
    <w:rsid w:val="00503197"/>
    <w:rsid w:val="00505E08"/>
    <w:rsid w:val="00523C24"/>
    <w:rsid w:val="005274D0"/>
    <w:rsid w:val="0053295A"/>
    <w:rsid w:val="005845AA"/>
    <w:rsid w:val="00587837"/>
    <w:rsid w:val="00592A7A"/>
    <w:rsid w:val="005C7077"/>
    <w:rsid w:val="005D4E3C"/>
    <w:rsid w:val="005E17DF"/>
    <w:rsid w:val="005E61A4"/>
    <w:rsid w:val="005F01E0"/>
    <w:rsid w:val="005F0A38"/>
    <w:rsid w:val="005F2F12"/>
    <w:rsid w:val="006354D6"/>
    <w:rsid w:val="00650CE3"/>
    <w:rsid w:val="00651E3E"/>
    <w:rsid w:val="00654FEE"/>
    <w:rsid w:val="00660986"/>
    <w:rsid w:val="0066673B"/>
    <w:rsid w:val="0067378B"/>
    <w:rsid w:val="0067546F"/>
    <w:rsid w:val="00697087"/>
    <w:rsid w:val="006B6587"/>
    <w:rsid w:val="006B682B"/>
    <w:rsid w:val="00715E63"/>
    <w:rsid w:val="00723874"/>
    <w:rsid w:val="00724A79"/>
    <w:rsid w:val="0074626C"/>
    <w:rsid w:val="007466C6"/>
    <w:rsid w:val="00747E05"/>
    <w:rsid w:val="007563C4"/>
    <w:rsid w:val="0076716F"/>
    <w:rsid w:val="007673B3"/>
    <w:rsid w:val="007749C8"/>
    <w:rsid w:val="007B72A0"/>
    <w:rsid w:val="007F047A"/>
    <w:rsid w:val="007F7E5F"/>
    <w:rsid w:val="00802084"/>
    <w:rsid w:val="008040D0"/>
    <w:rsid w:val="0081453A"/>
    <w:rsid w:val="00827082"/>
    <w:rsid w:val="00842DA7"/>
    <w:rsid w:val="0084576D"/>
    <w:rsid w:val="00856452"/>
    <w:rsid w:val="00861F3B"/>
    <w:rsid w:val="00865A62"/>
    <w:rsid w:val="0087490E"/>
    <w:rsid w:val="008854FD"/>
    <w:rsid w:val="00886818"/>
    <w:rsid w:val="008B7C7C"/>
    <w:rsid w:val="008D3357"/>
    <w:rsid w:val="008D570D"/>
    <w:rsid w:val="00901002"/>
    <w:rsid w:val="00902785"/>
    <w:rsid w:val="00911AD7"/>
    <w:rsid w:val="00951596"/>
    <w:rsid w:val="009802DF"/>
    <w:rsid w:val="00985517"/>
    <w:rsid w:val="009E2F99"/>
    <w:rsid w:val="009E7588"/>
    <w:rsid w:val="009F47F0"/>
    <w:rsid w:val="00A2020D"/>
    <w:rsid w:val="00A449A6"/>
    <w:rsid w:val="00A85D5B"/>
    <w:rsid w:val="00A86639"/>
    <w:rsid w:val="00AA5B4E"/>
    <w:rsid w:val="00AE4C24"/>
    <w:rsid w:val="00AF725A"/>
    <w:rsid w:val="00B00718"/>
    <w:rsid w:val="00B52B30"/>
    <w:rsid w:val="00B54A8D"/>
    <w:rsid w:val="00B71C42"/>
    <w:rsid w:val="00B83A7C"/>
    <w:rsid w:val="00B84FC1"/>
    <w:rsid w:val="00BA7003"/>
    <w:rsid w:val="00BC67DC"/>
    <w:rsid w:val="00BD5708"/>
    <w:rsid w:val="00C119B3"/>
    <w:rsid w:val="00C15865"/>
    <w:rsid w:val="00C26BB3"/>
    <w:rsid w:val="00C27586"/>
    <w:rsid w:val="00C35D1E"/>
    <w:rsid w:val="00C377E4"/>
    <w:rsid w:val="00C851A6"/>
    <w:rsid w:val="00C95943"/>
    <w:rsid w:val="00CC0FE1"/>
    <w:rsid w:val="00CC407E"/>
    <w:rsid w:val="00CC4943"/>
    <w:rsid w:val="00CC6064"/>
    <w:rsid w:val="00CD1F52"/>
    <w:rsid w:val="00CD77AC"/>
    <w:rsid w:val="00D02E96"/>
    <w:rsid w:val="00D163FF"/>
    <w:rsid w:val="00D17130"/>
    <w:rsid w:val="00D36281"/>
    <w:rsid w:val="00D44A1C"/>
    <w:rsid w:val="00D47F96"/>
    <w:rsid w:val="00D738D3"/>
    <w:rsid w:val="00DA13F4"/>
    <w:rsid w:val="00DB0422"/>
    <w:rsid w:val="00DB4AF3"/>
    <w:rsid w:val="00DC1834"/>
    <w:rsid w:val="00DD4EF3"/>
    <w:rsid w:val="00DD6F33"/>
    <w:rsid w:val="00DE1246"/>
    <w:rsid w:val="00DF4CCA"/>
    <w:rsid w:val="00DF5773"/>
    <w:rsid w:val="00E05247"/>
    <w:rsid w:val="00E66962"/>
    <w:rsid w:val="00E71EAD"/>
    <w:rsid w:val="00E8360C"/>
    <w:rsid w:val="00E90BA4"/>
    <w:rsid w:val="00EA2DB0"/>
    <w:rsid w:val="00EA2E7D"/>
    <w:rsid w:val="00EA463C"/>
    <w:rsid w:val="00EC2D5E"/>
    <w:rsid w:val="00EE2674"/>
    <w:rsid w:val="00EE43F2"/>
    <w:rsid w:val="00EE495E"/>
    <w:rsid w:val="00F30921"/>
    <w:rsid w:val="00F42882"/>
    <w:rsid w:val="00F45B46"/>
    <w:rsid w:val="00F60E48"/>
    <w:rsid w:val="00F678F9"/>
    <w:rsid w:val="00F67E5E"/>
    <w:rsid w:val="00F81243"/>
    <w:rsid w:val="00F90B8E"/>
    <w:rsid w:val="00FA6954"/>
    <w:rsid w:val="00FF02C8"/>
    <w:rsid w:val="00FF350E"/>
    <w:rsid w:val="3AB426B6"/>
    <w:rsid w:val="64561A34"/>
    <w:rsid w:val="76C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semiHidden/>
    <w:unhideWhenUsed/>
    <w:qFormat/>
    <w:uiPriority w:val="39"/>
    <w:pPr>
      <w:ind w:left="1260"/>
      <w:jc w:val="left"/>
    </w:pPr>
    <w:rPr>
      <w:rFonts w:eastAsiaTheme="minorHAnsi"/>
      <w:sz w:val="20"/>
      <w:szCs w:val="20"/>
    </w:rPr>
  </w:style>
  <w:style w:type="paragraph" w:styleId="4">
    <w:name w:val="toc 5"/>
    <w:basedOn w:val="1"/>
    <w:next w:val="1"/>
    <w:autoRedefine/>
    <w:semiHidden/>
    <w:unhideWhenUsed/>
    <w:qFormat/>
    <w:uiPriority w:val="39"/>
    <w:pPr>
      <w:ind w:left="840"/>
      <w:jc w:val="left"/>
    </w:pPr>
    <w:rPr>
      <w:rFonts w:eastAsiaTheme="minorHAnsi"/>
      <w:sz w:val="20"/>
      <w:szCs w:val="20"/>
    </w:rPr>
  </w:style>
  <w:style w:type="paragraph" w:styleId="5">
    <w:name w:val="toc 3"/>
    <w:basedOn w:val="1"/>
    <w:next w:val="1"/>
    <w:autoRedefine/>
    <w:semiHidden/>
    <w:unhideWhenUsed/>
    <w:qFormat/>
    <w:uiPriority w:val="39"/>
    <w:pPr>
      <w:ind w:left="420"/>
      <w:jc w:val="left"/>
    </w:pPr>
    <w:rPr>
      <w:rFonts w:eastAsiaTheme="minorHAnsi"/>
      <w:sz w:val="20"/>
      <w:szCs w:val="20"/>
    </w:rPr>
  </w:style>
  <w:style w:type="paragraph" w:styleId="6">
    <w:name w:val="toc 8"/>
    <w:basedOn w:val="1"/>
    <w:next w:val="1"/>
    <w:autoRedefine/>
    <w:semiHidden/>
    <w:unhideWhenUsed/>
    <w:qFormat/>
    <w:uiPriority w:val="39"/>
    <w:pPr>
      <w:ind w:left="1470"/>
      <w:jc w:val="left"/>
    </w:pPr>
    <w:rPr>
      <w:rFonts w:eastAsiaTheme="minorHAnsi"/>
      <w:sz w:val="20"/>
      <w:szCs w:val="20"/>
    </w:rPr>
  </w:style>
  <w:style w:type="paragraph" w:styleId="7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before="120"/>
      <w:jc w:val="left"/>
    </w:pPr>
    <w:rPr>
      <w:rFonts w:eastAsiaTheme="minorHAnsi"/>
      <w:b/>
      <w:bCs/>
      <w:i/>
      <w:iCs/>
      <w:sz w:val="24"/>
      <w:szCs w:val="24"/>
    </w:rPr>
  </w:style>
  <w:style w:type="paragraph" w:styleId="10">
    <w:name w:val="toc 4"/>
    <w:basedOn w:val="1"/>
    <w:next w:val="1"/>
    <w:autoRedefine/>
    <w:semiHidden/>
    <w:unhideWhenUsed/>
    <w:qFormat/>
    <w:uiPriority w:val="39"/>
    <w:pPr>
      <w:ind w:left="630"/>
      <w:jc w:val="left"/>
    </w:pPr>
    <w:rPr>
      <w:rFonts w:eastAsiaTheme="minorHAnsi"/>
      <w:sz w:val="20"/>
      <w:szCs w:val="20"/>
    </w:rPr>
  </w:style>
  <w:style w:type="paragraph" w:styleId="11">
    <w:name w:val="footnote text"/>
    <w:basedOn w:val="1"/>
    <w:link w:val="24"/>
    <w:autoRedefine/>
    <w:qFormat/>
    <w:uiPriority w:val="99"/>
    <w:pPr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12">
    <w:name w:val="toc 6"/>
    <w:basedOn w:val="1"/>
    <w:next w:val="1"/>
    <w:autoRedefine/>
    <w:semiHidden/>
    <w:unhideWhenUsed/>
    <w:qFormat/>
    <w:uiPriority w:val="39"/>
    <w:pPr>
      <w:ind w:left="1050"/>
      <w:jc w:val="left"/>
    </w:pPr>
    <w:rPr>
      <w:rFonts w:eastAsiaTheme="minorHAnsi"/>
      <w:sz w:val="20"/>
      <w:szCs w:val="20"/>
    </w:rPr>
  </w:style>
  <w:style w:type="paragraph" w:styleId="13">
    <w:name w:val="toc 2"/>
    <w:basedOn w:val="1"/>
    <w:next w:val="1"/>
    <w:autoRedefine/>
    <w:semiHidden/>
    <w:unhideWhenUsed/>
    <w:qFormat/>
    <w:uiPriority w:val="39"/>
    <w:pPr>
      <w:spacing w:before="120"/>
      <w:ind w:left="210"/>
      <w:jc w:val="left"/>
    </w:pPr>
    <w:rPr>
      <w:rFonts w:eastAsiaTheme="minorHAnsi"/>
      <w:b/>
      <w:bCs/>
      <w:sz w:val="22"/>
    </w:rPr>
  </w:style>
  <w:style w:type="paragraph" w:styleId="14">
    <w:name w:val="toc 9"/>
    <w:basedOn w:val="1"/>
    <w:next w:val="1"/>
    <w:autoRedefine/>
    <w:semiHidden/>
    <w:unhideWhenUsed/>
    <w:qFormat/>
    <w:uiPriority w:val="39"/>
    <w:pPr>
      <w:ind w:left="1680"/>
      <w:jc w:val="left"/>
    </w:pPr>
    <w:rPr>
      <w:rFonts w:eastAsiaTheme="minorHAnsi"/>
      <w:sz w:val="20"/>
      <w:szCs w:val="20"/>
    </w:rPr>
  </w:style>
  <w:style w:type="paragraph" w:styleId="15">
    <w:name w:val="Title"/>
    <w:basedOn w:val="1"/>
    <w:next w:val="1"/>
    <w:link w:val="26"/>
    <w:autoRedefine/>
    <w:qFormat/>
    <w:uiPriority w:val="0"/>
    <w:pPr>
      <w:spacing w:before="100" w:beforeLines="100" w:after="100" w:afterLines="100"/>
      <w:jc w:val="center"/>
      <w:outlineLvl w:val="0"/>
    </w:pPr>
    <w:rPr>
      <w:rFonts w:ascii="Times New Roman" w:hAnsi="Times New Roman" w:eastAsia="楷体" w:cstheme="majorBidi"/>
      <w:bCs/>
      <w:sz w:val="28"/>
      <w:szCs w:val="32"/>
    </w:rPr>
  </w:style>
  <w:style w:type="table" w:styleId="17">
    <w:name w:val="Table Grid"/>
    <w:basedOn w:val="16"/>
    <w:autoRedefine/>
    <w:qFormat/>
    <w:uiPriority w:val="39"/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semiHidden/>
    <w:unhideWhenUsed/>
    <w:qFormat/>
    <w:uiPriority w:val="99"/>
  </w:style>
  <w:style w:type="character" w:styleId="20">
    <w:name w:val="Hyperlink"/>
    <w:basedOn w:val="18"/>
    <w:autoRedefine/>
    <w:unhideWhenUsed/>
    <w:qFormat/>
    <w:uiPriority w:val="99"/>
    <w:rPr>
      <w:color w:val="0000FF"/>
      <w:u w:val="single"/>
    </w:rPr>
  </w:style>
  <w:style w:type="character" w:styleId="21">
    <w:name w:val="footnote reference"/>
    <w:autoRedefine/>
    <w:qFormat/>
    <w:uiPriority w:val="0"/>
    <w:rPr>
      <w:vertAlign w:val="superscript"/>
    </w:rPr>
  </w:style>
  <w:style w:type="character" w:customStyle="1" w:styleId="22">
    <w:name w:val="页眉 字符"/>
    <w:basedOn w:val="18"/>
    <w:link w:val="8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8"/>
    <w:link w:val="7"/>
    <w:qFormat/>
    <w:uiPriority w:val="99"/>
    <w:rPr>
      <w:sz w:val="18"/>
      <w:szCs w:val="18"/>
    </w:rPr>
  </w:style>
  <w:style w:type="character" w:customStyle="1" w:styleId="24">
    <w:name w:val="脚注文本 字符"/>
    <w:basedOn w:val="18"/>
    <w:link w:val="11"/>
    <w:autoRedefine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5">
    <w:name w:val="list-group-it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标题 字符"/>
    <w:basedOn w:val="18"/>
    <w:link w:val="15"/>
    <w:qFormat/>
    <w:uiPriority w:val="0"/>
    <w:rPr>
      <w:rFonts w:ascii="Times New Roman" w:hAnsi="Times New Roman" w:eastAsia="楷体" w:cstheme="majorBidi"/>
      <w:bCs/>
      <w:sz w:val="28"/>
      <w:szCs w:val="32"/>
    </w:rPr>
  </w:style>
  <w:style w:type="character" w:customStyle="1" w:styleId="27">
    <w:name w:val="标题 1 字符"/>
    <w:basedOn w:val="18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8">
    <w:name w:val="TOC Heading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F981-73FF-407D-95D3-6CF6C5E6EC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2596</Characters>
  <Lines>21</Lines>
  <Paragraphs>6</Paragraphs>
  <TotalTime>0</TotalTime>
  <ScaleCrop>false</ScaleCrop>
  <LinksUpToDate>false</LinksUpToDate>
  <CharactersWithSpaces>3045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2022-05-23T14:05:00Z</dcterms:created>
  <dc:creator>liuji</dc:creator>
  <cp:lastModifiedBy>刘京</cp:lastModifiedBy>
  <cp:lastPrinted>2024-04-25T17:07:00Z</cp:lastPrinted>
  <dcterms:modified xsi:type="dcterms:W3CDTF">2024-05-22T07:11:37Z</dcterms:modified>
  <cp:revision>576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5CD01144A729419481A7158EEE5693B5_12</vt:lpwstr>
  </property>
</Properties>
</file>