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bCs/>
          <w:color w:val="000000" w:themeColor="text1"/>
          <w:sz w:val="32"/>
          <w:szCs w:val="32"/>
        </w:rPr>
      </w:pPr>
    </w:p>
    <w:p>
      <w:pPr>
        <w:adjustRightInd w:val="0"/>
        <w:snapToGrid w:val="0"/>
        <w:spacing w:line="360" w:lineRule="auto"/>
        <w:jc w:val="center"/>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新型基础设施的节能降耗效应</w:t>
      </w:r>
    </w:p>
    <w:p>
      <w:pPr>
        <w:adjustRightInd w:val="0"/>
        <w:snapToGrid w:val="0"/>
        <w:spacing w:line="360" w:lineRule="auto"/>
        <w:jc w:val="center"/>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——来自特高压工程建设的微观证据</w:t>
      </w:r>
    </w:p>
    <w:p>
      <w:pPr>
        <w:adjustRightInd w:val="0"/>
        <w:snapToGrid w:val="0"/>
        <w:spacing w:line="360" w:lineRule="auto"/>
        <w:jc w:val="center"/>
        <w:rPr>
          <w:rFonts w:hint="eastAsia" w:ascii="楷体" w:hAnsi="楷体" w:eastAsia="楷体" w:cs="楷体"/>
          <w:b w:val="0"/>
          <w:bCs w:val="0"/>
          <w:color w:val="000000" w:themeColor="text1"/>
          <w:sz w:val="28"/>
          <w:szCs w:val="28"/>
        </w:rPr>
      </w:pPr>
    </w:p>
    <w:p>
      <w:pPr>
        <w:adjustRightInd w:val="0"/>
        <w:snapToGrid w:val="0"/>
        <w:spacing w:line="360" w:lineRule="auto"/>
        <w:jc w:val="center"/>
        <w:rPr>
          <w:rFonts w:hint="eastAsia" w:ascii="楷体" w:hAnsi="楷体" w:eastAsia="楷体" w:cs="楷体"/>
          <w:b w:val="0"/>
          <w:bCs w:val="0"/>
          <w:color w:val="000000" w:themeColor="text1"/>
          <w:sz w:val="28"/>
          <w:szCs w:val="28"/>
        </w:rPr>
      </w:pPr>
      <w:r>
        <w:rPr>
          <w:rFonts w:hint="eastAsia" w:ascii="楷体" w:hAnsi="楷体" w:eastAsia="楷体" w:cs="楷体"/>
          <w:b w:val="0"/>
          <w:bCs w:val="0"/>
          <w:color w:val="000000" w:themeColor="text1"/>
          <w:sz w:val="28"/>
          <w:szCs w:val="28"/>
        </w:rPr>
        <w:t>任胜钢 潘也 汪阳洁 张鹏</w:t>
      </w:r>
    </w:p>
    <w:p>
      <w:pPr>
        <w:adjustRightInd w:val="0"/>
        <w:snapToGrid w:val="0"/>
        <w:spacing w:line="360" w:lineRule="auto"/>
        <w:jc w:val="center"/>
        <w:rPr>
          <w:rFonts w:ascii="Times New Roman" w:hAnsi="Times New Roman" w:eastAsia="宋体" w:cs="Times New Roman"/>
          <w:color w:val="000000" w:themeColor="text1"/>
          <w:sz w:val="24"/>
          <w:szCs w:val="24"/>
        </w:rPr>
      </w:pPr>
    </w:p>
    <w:sdt>
      <w:sdtPr>
        <w:rPr>
          <w:rFonts w:asciiTheme="minorHAnsi" w:hAnsiTheme="minorHAnsi" w:eastAsiaTheme="minorEastAsia" w:cstheme="minorBidi"/>
          <w:color w:val="auto"/>
          <w:kern w:val="2"/>
          <w:sz w:val="28"/>
          <w:szCs w:val="28"/>
          <w:lang w:val="zh-CN"/>
        </w:rPr>
        <w:id w:val="1616553868"/>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2"/>
            <w:spacing w:line="360" w:lineRule="auto"/>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lang w:val="zh-CN"/>
            </w:rPr>
            <w:t>目录</w:t>
          </w:r>
        </w:p>
        <w:p>
          <w:pPr>
            <w:pStyle w:val="8"/>
            <w:tabs>
              <w:tab w:val="right" w:leader="dot" w:pos="8296"/>
            </w:tabs>
            <w:spacing w:line="360" w:lineRule="auto"/>
            <w:rPr>
              <w:rFonts w:hint="eastAsia" w:ascii="仿宋" w:hAnsi="仿宋" w:eastAsia="仿宋" w:cs="仿宋"/>
              <w:sz w:val="24"/>
              <w:szCs w:val="24"/>
            </w:rPr>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TOC \o "1-3" \h \z \u </w:instrText>
          </w:r>
          <w:r>
            <w:rPr>
              <w:rFonts w:ascii="Times New Roman" w:hAnsi="Times New Roman" w:eastAsia="仿宋" w:cs="Times New Roman"/>
              <w:szCs w:val="21"/>
            </w:rPr>
            <w:fldChar w:fldCharType="separate"/>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HYPERLINK \l "_Toc145948691" </w:instrText>
          </w:r>
          <w:r>
            <w:rPr>
              <w:rFonts w:hint="eastAsia" w:ascii="仿宋" w:hAnsi="仿宋" w:eastAsia="仿宋" w:cs="仿宋"/>
              <w:sz w:val="24"/>
              <w:szCs w:val="28"/>
            </w:rPr>
            <w:fldChar w:fldCharType="separate"/>
          </w:r>
          <w:r>
            <w:rPr>
              <w:rStyle w:val="13"/>
              <w:rFonts w:hint="eastAsia" w:ascii="仿宋" w:hAnsi="仿宋" w:eastAsia="仿宋" w:cs="仿宋"/>
              <w:sz w:val="24"/>
              <w:szCs w:val="24"/>
            </w:rPr>
            <w:t xml:space="preserve">附录I </w:t>
          </w:r>
          <w:r>
            <w:rPr>
              <w:rStyle w:val="13"/>
              <w:rFonts w:hint="eastAsia" w:ascii="仿宋" w:hAnsi="仿宋" w:eastAsia="仿宋" w:cs="仿宋"/>
              <w:sz w:val="24"/>
              <w:szCs w:val="24"/>
              <w:lang w:val="en-US" w:eastAsia="zh-CN"/>
            </w:rPr>
            <w:t xml:space="preserve"> </w:t>
          </w:r>
          <w:r>
            <w:rPr>
              <w:rStyle w:val="13"/>
              <w:rFonts w:hint="eastAsia" w:ascii="仿宋" w:hAnsi="仿宋" w:eastAsia="仿宋" w:cs="仿宋"/>
              <w:sz w:val="24"/>
              <w:szCs w:val="24"/>
            </w:rPr>
            <w:t>稳健性检验</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8"/>
            <w:tabs>
              <w:tab w:val="right" w:leader="dot" w:pos="8296"/>
            </w:tabs>
            <w:spacing w:line="360" w:lineRule="auto"/>
            <w:rPr>
              <w:rFonts w:hint="eastAsia" w:ascii="仿宋" w:hAnsi="仿宋" w:eastAsia="仿宋" w:cs="仿宋"/>
              <w:sz w:val="24"/>
              <w:szCs w:val="24"/>
            </w:rPr>
          </w:pP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HYPERLINK \l "_Toc145948697" </w:instrText>
          </w:r>
          <w:r>
            <w:rPr>
              <w:rFonts w:hint="eastAsia" w:ascii="仿宋" w:hAnsi="仿宋" w:eastAsia="仿宋" w:cs="仿宋"/>
              <w:sz w:val="24"/>
              <w:szCs w:val="28"/>
            </w:rPr>
            <w:fldChar w:fldCharType="separate"/>
          </w:r>
          <w:r>
            <w:rPr>
              <w:rStyle w:val="13"/>
              <w:rFonts w:hint="eastAsia" w:ascii="仿宋" w:hAnsi="仿宋" w:eastAsia="仿宋" w:cs="仿宋"/>
              <w:sz w:val="24"/>
              <w:szCs w:val="24"/>
            </w:rPr>
            <w:t>附录II 特高压工程异质性影响</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8"/>
            <w:tabs>
              <w:tab w:val="right" w:leader="dot" w:pos="8296"/>
            </w:tabs>
            <w:spacing w:line="360" w:lineRule="auto"/>
            <w:rPr>
              <w:rFonts w:ascii="Times New Roman" w:hAnsi="Times New Roman" w:eastAsia="仿宋" w:cs="Times New Roman"/>
              <w:szCs w:val="21"/>
            </w:rPr>
          </w:pP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HYPERLINK \l "_Toc145948698" </w:instrText>
          </w:r>
          <w:r>
            <w:rPr>
              <w:rFonts w:hint="eastAsia" w:ascii="仿宋" w:hAnsi="仿宋" w:eastAsia="仿宋" w:cs="仿宋"/>
              <w:sz w:val="24"/>
              <w:szCs w:val="28"/>
            </w:rPr>
            <w:fldChar w:fldCharType="separate"/>
          </w:r>
          <w:r>
            <w:rPr>
              <w:rStyle w:val="13"/>
              <w:rFonts w:hint="eastAsia" w:ascii="仿宋" w:hAnsi="仿宋" w:eastAsia="仿宋" w:cs="仿宋"/>
              <w:sz w:val="24"/>
              <w:szCs w:val="24"/>
            </w:rPr>
            <w:t>附录III 特高压工程影响输入地电价、电力可靠性的结果</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spacing w:line="360" w:lineRule="auto"/>
          </w:pPr>
          <w:r>
            <w:rPr>
              <w:rFonts w:ascii="Times New Roman" w:hAnsi="Times New Roman" w:eastAsia="仿宋" w:cs="Times New Roman"/>
              <w:b/>
              <w:bCs/>
              <w:szCs w:val="21"/>
              <w:lang w:val="zh-CN"/>
            </w:rPr>
            <w:fldChar w:fldCharType="end"/>
          </w:r>
        </w:p>
      </w:sdtContent>
    </w:sdt>
    <w:p>
      <w:pPr>
        <w:adjustRightInd w:val="0"/>
        <w:snapToGrid w:val="0"/>
        <w:spacing w:line="360" w:lineRule="auto"/>
        <w:jc w:val="center"/>
        <w:rPr>
          <w:rFonts w:ascii="Times New Roman" w:hAnsi="Times New Roman" w:eastAsia="楷体" w:cs="Times New Roman"/>
          <w:b/>
          <w:bCs/>
          <w:color w:val="000000" w:themeColor="text1"/>
          <w:sz w:val="24"/>
          <w:szCs w:val="24"/>
        </w:rPr>
      </w:pPr>
    </w:p>
    <w:p>
      <w:pPr>
        <w:pStyle w:val="2"/>
        <w:spacing w:before="0" w:after="0" w:line="720" w:lineRule="auto"/>
        <w:jc w:val="center"/>
        <w:rPr>
          <w:rFonts w:ascii="Times New Roman" w:hAnsi="Times New Roman" w:eastAsia="楷体" w:cs="Times New Roman"/>
          <w:sz w:val="28"/>
          <w:szCs w:val="28"/>
        </w:rPr>
        <w:sectPr>
          <w:headerReference r:id="rId4" w:type="default"/>
          <w:pgSz w:w="11906" w:h="16838"/>
          <w:pgMar w:top="1440" w:right="1800" w:bottom="1440" w:left="1800" w:header="851" w:footer="992" w:gutter="0"/>
          <w:cols w:space="425" w:num="1"/>
          <w:docGrid w:type="lines" w:linePitch="312" w:charSpace="0"/>
        </w:sectPr>
      </w:pPr>
      <w:bookmarkStart w:id="0" w:name="_Toc145948691"/>
    </w:p>
    <w:p>
      <w:pPr>
        <w:pStyle w:val="2"/>
        <w:spacing w:before="0" w:after="0" w:line="720" w:lineRule="auto"/>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附录I 稳健性检验</w:t>
      </w:r>
      <w:bookmarkEnd w:id="0"/>
    </w:p>
    <w:p>
      <w:pPr>
        <w:pStyle w:val="3"/>
        <w:spacing w:before="0" w:after="0" w:line="480" w:lineRule="auto"/>
        <w:ind w:firstLine="422" w:firstLineChars="200"/>
        <w:rPr>
          <w:rFonts w:ascii="仿宋" w:hAnsi="仿宋" w:eastAsia="仿宋"/>
          <w:b/>
          <w:bCs/>
          <w:sz w:val="21"/>
          <w:szCs w:val="21"/>
        </w:rPr>
      </w:pPr>
      <w:bookmarkStart w:id="1" w:name="_Toc145948692"/>
      <w:bookmarkStart w:id="2" w:name="_Hlk131448511"/>
      <w:r>
        <w:rPr>
          <w:rFonts w:hint="eastAsia" w:ascii="仿宋" w:hAnsi="仿宋" w:eastAsia="仿宋"/>
          <w:b/>
          <w:bCs/>
          <w:sz w:val="21"/>
          <w:szCs w:val="21"/>
        </w:rPr>
        <w:t>1</w:t>
      </w:r>
      <w:r>
        <w:rPr>
          <w:rFonts w:ascii="仿宋" w:hAnsi="仿宋" w:eastAsia="仿宋"/>
          <w:b/>
          <w:bCs/>
          <w:sz w:val="21"/>
          <w:szCs w:val="21"/>
        </w:rPr>
        <w:t>.排除同期其他政策干扰</w:t>
      </w:r>
      <w:bookmarkEnd w:id="1"/>
    </w:p>
    <w:bookmarkEnd w:id="2"/>
    <w:p>
      <w:pPr>
        <w:ind w:firstLine="420" w:firstLineChars="200"/>
        <w:rPr>
          <w:rFonts w:ascii="Times New Roman" w:hAnsi="Times New Roman" w:eastAsia="仿宋" w:cs="Times New Roman"/>
          <w:kern w:val="0"/>
          <w:szCs w:val="21"/>
        </w:rPr>
      </w:pPr>
      <w:bookmarkStart w:id="3" w:name="_Hlk131448490"/>
      <w:r>
        <w:rPr>
          <w:rFonts w:hint="eastAsia" w:ascii="Times New Roman" w:hAnsi="Times New Roman" w:eastAsia="仿宋" w:cs="Times New Roman"/>
        </w:rPr>
        <w:t>本文存在的一种竞争性解释是，特高压的节能降耗效应可能是样本期内其他区域性电力市场政策及能源环境政策所驱动的。本文注意到，与本研究密切相关的区域性政策包括是2007年国务院办公厅颁布的《节能发电调度办法（国办发〔2007〕53号）》、2011年碳排放交易试点及2011年京津冀地区重点环境治理法规，本文对这些地区分别剔除进行检验。表I1</w:t>
      </w:r>
      <w:r>
        <w:rPr>
          <w:rFonts w:ascii="Times New Roman" w:hAnsi="Times New Roman" w:eastAsia="仿宋" w:cs="Times New Roman"/>
          <w:kern w:val="0"/>
          <w:szCs w:val="21"/>
        </w:rPr>
        <w:t>显示了排除同期政策干扰后的回归结果。特高压虚拟变量的回归系数均显著为负，表明本文的研究结论是可靠的。</w:t>
      </w:r>
      <w:bookmarkEnd w:id="3"/>
      <w:bookmarkStart w:id="4" w:name="_Hlk131448546"/>
    </w:p>
    <w:p>
      <w:pPr>
        <w:pStyle w:val="5"/>
        <w:keepNext/>
        <w:jc w:val="center"/>
        <w:rPr>
          <w:rFonts w:hint="eastAsia" w:ascii="宋体" w:hAnsi="宋体" w:eastAsia="宋体" w:cs="宋体"/>
          <w:b/>
          <w:bCs/>
          <w:sz w:val="20"/>
          <w:szCs w:val="20"/>
        </w:rPr>
      </w:pPr>
      <w:r>
        <w:rPr>
          <w:rFonts w:hint="eastAsia" w:ascii="宋体" w:hAnsi="宋体" w:eastAsia="宋体" w:cs="宋体"/>
          <w:b/>
          <w:bCs/>
          <w:sz w:val="20"/>
          <w:szCs w:val="20"/>
        </w:rPr>
        <w:t>表I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r>
        <w:rPr>
          <w:rFonts w:hint="eastAsia" w:ascii="宋体" w:hAnsi="宋体" w:eastAsia="宋体" w:cs="宋体"/>
          <w:b/>
          <w:bCs/>
          <w:sz w:val="20"/>
          <w:szCs w:val="20"/>
        </w:rPr>
        <w:t>排除同期政策干扰</w:t>
      </w:r>
    </w:p>
    <w:tbl>
      <w:tblPr>
        <w:tblStyle w:val="11"/>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6"/>
        <w:gridCol w:w="1145"/>
        <w:gridCol w:w="1147"/>
        <w:gridCol w:w="1144"/>
        <w:gridCol w:w="1149"/>
        <w:gridCol w:w="1145"/>
        <w:gridCol w:w="114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vMerge w:val="restart"/>
            <w:tcBorders>
              <w:top w:val="single" w:color="auto" w:sz="12" w:space="0"/>
              <w:right w:val="single" w:color="auto" w:sz="4" w:space="0"/>
            </w:tcBorders>
            <w:shd w:val="clear" w:color="auto" w:fill="auto"/>
            <w:vAlign w:val="center"/>
          </w:tcPr>
          <w:p>
            <w:pPr>
              <w:keepNext/>
              <w:keepLines/>
              <w:widowControl/>
              <w:spacing w:line="240" w:lineRule="exact"/>
              <w:jc w:val="center"/>
              <w:rPr>
                <w:rFonts w:ascii="Times New Roman" w:hAnsi="Times New Roman" w:eastAsia="仿宋" w:cs="Times New Roman"/>
                <w:kern w:val="0"/>
                <w:sz w:val="18"/>
                <w:szCs w:val="18"/>
              </w:rPr>
            </w:pPr>
          </w:p>
        </w:tc>
        <w:tc>
          <w:tcPr>
            <w:tcW w:w="1345" w:type="pct"/>
            <w:gridSpan w:val="2"/>
            <w:tcBorders>
              <w:top w:val="single" w:color="auto" w:sz="12"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节能发电调度</w:t>
            </w:r>
          </w:p>
        </w:tc>
        <w:tc>
          <w:tcPr>
            <w:tcW w:w="1345" w:type="pct"/>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碳排放交易</w:t>
            </w:r>
          </w:p>
        </w:tc>
        <w:tc>
          <w:tcPr>
            <w:tcW w:w="1344" w:type="pct"/>
            <w:gridSpan w:val="2"/>
            <w:tcBorders>
              <w:top w:val="single" w:color="auto" w:sz="12"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京津冀法规</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vMerge w:val="continue"/>
            <w:tcBorders>
              <w:right w:val="single" w:color="auto" w:sz="4" w:space="0"/>
            </w:tcBorders>
            <w:shd w:val="clear" w:color="auto" w:fill="auto"/>
            <w:vAlign w:val="center"/>
          </w:tcPr>
          <w:p>
            <w:pPr>
              <w:keepNext/>
              <w:keepLines/>
              <w:widowControl/>
              <w:spacing w:line="240" w:lineRule="exact"/>
              <w:jc w:val="center"/>
              <w:rPr>
                <w:rFonts w:ascii="Times New Roman" w:hAnsi="Times New Roman" w:eastAsia="仿宋" w:cs="Times New Roman"/>
                <w:kern w:val="0"/>
                <w:sz w:val="18"/>
                <w:szCs w:val="18"/>
              </w:rPr>
            </w:pPr>
          </w:p>
        </w:tc>
        <w:tc>
          <w:tcPr>
            <w:tcW w:w="672" w:type="pct"/>
            <w:tcBorders>
              <w:top w:val="single" w:color="auto" w:sz="4"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673"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p>
        </w:tc>
        <w:tc>
          <w:tcPr>
            <w:tcW w:w="6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p>
        </w:tc>
        <w:tc>
          <w:tcPr>
            <w:tcW w:w="672"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c>
          <w:tcPr>
            <w:tcW w:w="672" w:type="pct"/>
            <w:tcBorders>
              <w:top w:val="single" w:color="auto" w:sz="4"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vMerge w:val="continue"/>
            <w:tcBorders>
              <w:bottom w:val="single" w:color="auto" w:sz="4" w:space="0"/>
              <w:right w:val="single" w:color="auto" w:sz="4" w:space="0"/>
            </w:tcBorders>
            <w:shd w:val="clear" w:color="auto" w:fill="auto"/>
            <w:vAlign w:val="center"/>
          </w:tcPr>
          <w:p>
            <w:pPr>
              <w:keepNext/>
              <w:keepLines/>
              <w:widowControl/>
              <w:spacing w:line="240" w:lineRule="exact"/>
              <w:jc w:val="center"/>
              <w:rPr>
                <w:rFonts w:ascii="Times New Roman" w:hAnsi="Times New Roman" w:eastAsia="仿宋" w:cs="Times New Roman"/>
                <w:kern w:val="0"/>
                <w:sz w:val="18"/>
                <w:szCs w:val="18"/>
              </w:rPr>
            </w:pPr>
          </w:p>
        </w:tc>
        <w:tc>
          <w:tcPr>
            <w:tcW w:w="672" w:type="pct"/>
            <w:tcBorders>
              <w:top w:val="single" w:color="auto" w:sz="4"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673"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6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c>
          <w:tcPr>
            <w:tcW w:w="672" w:type="pct"/>
            <w:tcBorders>
              <w:top w:val="single" w:color="auto" w:sz="4" w:space="0"/>
              <w:left w:val="single" w:color="auto" w:sz="4" w:space="0"/>
              <w:bottom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672" w:type="pct"/>
            <w:tcBorders>
              <w:top w:val="single" w:color="auto" w:sz="4"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2" w:hRule="atLeast"/>
        </w:trPr>
        <w:tc>
          <w:tcPr>
            <w:tcW w:w="966" w:type="pct"/>
            <w:tcBorders>
              <w:top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m:oMathPara>
              <m:oMathParaPr>
                <m:jc m:val="left"/>
              </m:oMathParaPr>
              <m:oMath>
                <m:r>
                  <m:rPr/>
                  <w:rPr>
                    <w:rFonts w:ascii="Cambria Math" w:hAnsi="Cambria Math" w:eastAsia="仿宋" w:cs="Times New Roman"/>
                    <w:kern w:val="0"/>
                    <w:sz w:val="18"/>
                    <w:szCs w:val="18"/>
                  </w:rPr>
                  <m:t>UHV</m:t>
                </m:r>
              </m:oMath>
            </m:oMathPara>
          </w:p>
        </w:tc>
        <w:tc>
          <w:tcPr>
            <w:tcW w:w="672" w:type="pct"/>
            <w:tcBorders>
              <w:top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vertAlign w:val="superscript"/>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130</w:t>
            </w:r>
            <w:r>
              <w:rPr>
                <w:rFonts w:ascii="Times New Roman" w:hAnsi="Times New Roman" w:eastAsia="仿宋" w:cs="Times New Roman"/>
                <w:kern w:val="0"/>
                <w:sz w:val="18"/>
                <w:szCs w:val="18"/>
                <w:vertAlign w:val="superscript"/>
              </w:rPr>
              <w:t>***</w:t>
            </w:r>
          </w:p>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w:t>
            </w:r>
          </w:p>
        </w:tc>
        <w:tc>
          <w:tcPr>
            <w:tcW w:w="673" w:type="pct"/>
            <w:tcBorders>
              <w:top w:val="single" w:color="auto" w:sz="4" w:space="0"/>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w:t>
            </w:r>
            <w:r>
              <w:rPr>
                <w:rFonts w:hint="eastAsia" w:ascii="Times New Roman" w:hAnsi="Times New Roman" w:eastAsia="仿宋" w:cs="Times New Roman"/>
                <w:kern w:val="0"/>
                <w:sz w:val="18"/>
                <w:szCs w:val="18"/>
              </w:rPr>
              <w:t>89</w:t>
            </w:r>
            <w:r>
              <w:rPr>
                <w:rFonts w:ascii="Times New Roman" w:hAnsi="Times New Roman" w:eastAsia="仿宋" w:cs="Times New Roman"/>
                <w:kern w:val="0"/>
                <w:sz w:val="18"/>
                <w:szCs w:val="18"/>
                <w:vertAlign w:val="superscript"/>
              </w:rPr>
              <w:t>***</w:t>
            </w:r>
          </w:p>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6</w:t>
            </w:r>
            <w:r>
              <w:rPr>
                <w:rFonts w:ascii="Times New Roman" w:hAnsi="Times New Roman" w:eastAsia="仿宋" w:cs="Times New Roman"/>
                <w:kern w:val="0"/>
                <w:sz w:val="18"/>
                <w:szCs w:val="18"/>
              </w:rPr>
              <w:t>)</w:t>
            </w:r>
          </w:p>
        </w:tc>
        <w:tc>
          <w:tcPr>
            <w:tcW w:w="671" w:type="pct"/>
            <w:tcBorders>
              <w:top w:val="single" w:color="auto" w:sz="4" w:space="0"/>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vertAlign w:val="superscript"/>
              </w:rPr>
            </w:pPr>
            <w:r>
              <w:rPr>
                <w:rFonts w:ascii="Times New Roman" w:hAnsi="Times New Roman" w:eastAsia="仿宋" w:cs="Times New Roman"/>
                <w:kern w:val="0"/>
                <w:sz w:val="18"/>
                <w:szCs w:val="18"/>
              </w:rPr>
              <w:t>-0.08</w:t>
            </w:r>
            <w:r>
              <w:rPr>
                <w:rFonts w:hint="eastAsia" w:ascii="Times New Roman" w:hAnsi="Times New Roman" w:eastAsia="仿宋" w:cs="Times New Roman"/>
                <w:kern w:val="0"/>
                <w:sz w:val="18"/>
                <w:szCs w:val="18"/>
              </w:rPr>
              <w:t>4</w:t>
            </w:r>
            <w:r>
              <w:rPr>
                <w:rFonts w:ascii="Times New Roman" w:hAnsi="Times New Roman" w:eastAsia="仿宋" w:cs="Times New Roman"/>
                <w:kern w:val="0"/>
                <w:sz w:val="18"/>
                <w:szCs w:val="18"/>
                <w:vertAlign w:val="superscript"/>
              </w:rPr>
              <w:t>***</w:t>
            </w:r>
          </w:p>
          <w:p>
            <w:pPr>
              <w:keepNext/>
              <w:keepLines/>
              <w:spacing w:line="240" w:lineRule="exact"/>
              <w:jc w:val="center"/>
              <w:rPr>
                <w:rFonts w:ascii="Times New Roman" w:hAnsi="Times New Roman" w:eastAsia="仿宋" w:cs="Times New Roman"/>
                <w:kern w:val="0"/>
                <w:sz w:val="18"/>
                <w:szCs w:val="18"/>
                <w:vertAlign w:val="superscript"/>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w:t>
            </w:r>
          </w:p>
        </w:tc>
        <w:tc>
          <w:tcPr>
            <w:tcW w:w="674" w:type="pct"/>
            <w:tcBorders>
              <w:top w:val="single" w:color="auto" w:sz="4" w:space="0"/>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vertAlign w:val="superscript"/>
              </w:rPr>
              <w:t>***</w:t>
            </w:r>
          </w:p>
          <w:p>
            <w:pPr>
              <w:keepNext/>
              <w:keepLines/>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3</w:t>
            </w:r>
            <w:r>
              <w:rPr>
                <w:rFonts w:ascii="Times New Roman" w:hAnsi="Times New Roman" w:eastAsia="仿宋" w:cs="Times New Roman"/>
                <w:kern w:val="0"/>
                <w:sz w:val="18"/>
                <w:szCs w:val="18"/>
              </w:rPr>
              <w:t>)</w:t>
            </w:r>
          </w:p>
        </w:tc>
        <w:tc>
          <w:tcPr>
            <w:tcW w:w="672" w:type="pct"/>
            <w:tcBorders>
              <w:top w:val="single" w:color="auto" w:sz="4" w:space="0"/>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w:t>
            </w: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vertAlign w:val="superscript"/>
              </w:rPr>
              <w:t>***</w:t>
            </w:r>
          </w:p>
          <w:p>
            <w:pPr>
              <w:keepNext/>
              <w:keepLines/>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w:t>
            </w:r>
          </w:p>
        </w:tc>
        <w:tc>
          <w:tcPr>
            <w:tcW w:w="672" w:type="pct"/>
            <w:tcBorders>
              <w:top w:val="single" w:color="auto" w:sz="4" w:space="0"/>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3</w:t>
            </w:r>
            <w:r>
              <w:rPr>
                <w:rFonts w:ascii="Times New Roman" w:hAnsi="Times New Roman" w:eastAsia="仿宋" w:cs="Times New Roman"/>
                <w:kern w:val="0"/>
                <w:sz w:val="18"/>
                <w:szCs w:val="18"/>
                <w:vertAlign w:val="superscript"/>
              </w:rPr>
              <w:t>***</w:t>
            </w:r>
          </w:p>
          <w:p>
            <w:pPr>
              <w:keepNext/>
              <w:keepLines/>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672" w:type="pct"/>
            <w:tcBorders>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3"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1"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4"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672" w:type="pct"/>
            <w:tcBorders>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3"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1"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4"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时间固定效应</w:t>
            </w:r>
          </w:p>
        </w:tc>
        <w:tc>
          <w:tcPr>
            <w:tcW w:w="672" w:type="pct"/>
            <w:tcBorders>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3"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1"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4"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省份时间趋势</w:t>
            </w:r>
          </w:p>
        </w:tc>
        <w:tc>
          <w:tcPr>
            <w:tcW w:w="672" w:type="pct"/>
            <w:tcBorders>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3"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1"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4"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72"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672" w:type="pct"/>
            <w:tcBorders>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199057</w:t>
            </w:r>
          </w:p>
        </w:tc>
        <w:tc>
          <w:tcPr>
            <w:tcW w:w="673"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199057</w:t>
            </w:r>
          </w:p>
        </w:tc>
        <w:tc>
          <w:tcPr>
            <w:tcW w:w="671"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226787</w:t>
            </w:r>
          </w:p>
        </w:tc>
        <w:tc>
          <w:tcPr>
            <w:tcW w:w="674" w:type="pct"/>
            <w:tcBorders>
              <w:left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226787</w:t>
            </w:r>
          </w:p>
        </w:tc>
        <w:tc>
          <w:tcPr>
            <w:tcW w:w="672" w:type="pct"/>
            <w:tcBorders>
              <w:left w:val="single" w:color="auto" w:sz="4"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263512</w:t>
            </w:r>
          </w:p>
        </w:tc>
        <w:tc>
          <w:tcPr>
            <w:tcW w:w="672"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263512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966" w:type="pct"/>
            <w:tcBorders>
              <w:bottom w:val="single" w:color="auto" w:sz="12"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672" w:type="pct"/>
            <w:tcBorders>
              <w:bottom w:val="single" w:color="auto" w:sz="12"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0.76</w:t>
            </w:r>
            <w:r>
              <w:rPr>
                <w:rFonts w:hint="eastAsia" w:ascii="Times New Roman" w:hAnsi="Times New Roman" w:eastAsia="仿宋" w:cs="Times New Roman"/>
                <w:kern w:val="0"/>
                <w:sz w:val="18"/>
                <w:szCs w:val="18"/>
              </w:rPr>
              <w:t>6</w:t>
            </w:r>
          </w:p>
        </w:tc>
        <w:tc>
          <w:tcPr>
            <w:tcW w:w="673" w:type="pct"/>
            <w:tcBorders>
              <w:left w:val="single" w:color="auto" w:sz="4" w:space="0"/>
              <w:bottom w:val="single" w:color="auto" w:sz="12"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598</w:t>
            </w:r>
          </w:p>
        </w:tc>
        <w:tc>
          <w:tcPr>
            <w:tcW w:w="671" w:type="pct"/>
            <w:tcBorders>
              <w:left w:val="single" w:color="auto" w:sz="4" w:space="0"/>
              <w:bottom w:val="single" w:color="auto" w:sz="12"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0.760</w:t>
            </w:r>
          </w:p>
        </w:tc>
        <w:tc>
          <w:tcPr>
            <w:tcW w:w="674" w:type="pct"/>
            <w:tcBorders>
              <w:left w:val="single" w:color="auto" w:sz="4" w:space="0"/>
              <w:bottom w:val="single" w:color="auto" w:sz="12"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w:t>
            </w:r>
            <w:r>
              <w:rPr>
                <w:rFonts w:hint="eastAsia" w:ascii="Times New Roman" w:hAnsi="Times New Roman" w:eastAsia="仿宋" w:cs="Times New Roman"/>
                <w:kern w:val="0"/>
                <w:sz w:val="18"/>
                <w:szCs w:val="18"/>
              </w:rPr>
              <w:t>03</w:t>
            </w:r>
          </w:p>
        </w:tc>
        <w:tc>
          <w:tcPr>
            <w:tcW w:w="672" w:type="pct"/>
            <w:tcBorders>
              <w:left w:val="single" w:color="auto" w:sz="4" w:space="0"/>
              <w:bottom w:val="single" w:color="auto" w:sz="12" w:space="0"/>
              <w:right w:val="single" w:color="auto" w:sz="4" w:space="0"/>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0.758</w:t>
            </w:r>
          </w:p>
        </w:tc>
        <w:tc>
          <w:tcPr>
            <w:tcW w:w="672" w:type="pct"/>
            <w:tcBorders>
              <w:left w:val="single" w:color="auto" w:sz="4" w:space="0"/>
              <w:bottom w:val="single" w:color="auto" w:sz="12"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w:t>
            </w:r>
            <w:r>
              <w:rPr>
                <w:rFonts w:hint="eastAsia" w:ascii="Times New Roman" w:hAnsi="Times New Roman" w:eastAsia="仿宋" w:cs="Times New Roman"/>
                <w:kern w:val="0"/>
                <w:sz w:val="18"/>
                <w:szCs w:val="18"/>
              </w:rPr>
              <w:t>05</w:t>
            </w:r>
          </w:p>
        </w:tc>
      </w:tr>
      <w:bookmarkEnd w:id="4"/>
    </w:tbl>
    <w:p>
      <w:pPr>
        <w:ind w:firstLine="300" w:firstLineChars="200"/>
        <w:rPr>
          <w:rFonts w:ascii="Times New Roman" w:hAnsi="Times New Roman" w:eastAsia="仿宋" w:cs="Times New Roman"/>
          <w:b/>
          <w:bCs/>
          <w:sz w:val="15"/>
          <w:szCs w:val="15"/>
        </w:rPr>
      </w:pPr>
      <w:r>
        <w:rPr>
          <w:rFonts w:ascii="Times New Roman" w:hAnsi="Times New Roman" w:eastAsia="仿宋" w:cs="Times New Roman"/>
          <w:sz w:val="15"/>
          <w:szCs w:val="15"/>
        </w:rPr>
        <w:t>注：</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分别表示在1%、5%和10%的显著性水平上显著，括号内为稳健标准误。</w:t>
      </w:r>
    </w:p>
    <w:p>
      <w:pPr>
        <w:pStyle w:val="3"/>
        <w:spacing w:before="0" w:after="0" w:line="480" w:lineRule="auto"/>
        <w:ind w:firstLine="422" w:firstLineChars="200"/>
        <w:rPr>
          <w:rFonts w:ascii="Times New Roman" w:hAnsi="Times New Roman" w:eastAsia="仿宋" w:cs="Times New Roman"/>
          <w:b/>
          <w:bCs/>
          <w:sz w:val="21"/>
          <w:szCs w:val="21"/>
        </w:rPr>
      </w:pPr>
      <w:bookmarkStart w:id="5" w:name="_Toc145948693"/>
      <w:r>
        <w:rPr>
          <w:rFonts w:ascii="Times New Roman" w:hAnsi="Times New Roman" w:eastAsia="仿宋" w:cs="Times New Roman"/>
          <w:b/>
          <w:bCs/>
          <w:sz w:val="21"/>
          <w:szCs w:val="21"/>
        </w:rPr>
        <w:t>2.排除对邻近省份溢出效应的干扰</w:t>
      </w:r>
      <w:bookmarkEnd w:id="5"/>
    </w:p>
    <w:p>
      <w:pPr>
        <w:ind w:firstLine="420" w:firstLineChars="200"/>
        <w:rPr>
          <w:rFonts w:ascii="Times New Roman" w:hAnsi="Times New Roman" w:eastAsia="仿宋" w:cs="Times New Roman"/>
        </w:rPr>
      </w:pPr>
      <w:r>
        <w:rPr>
          <w:rFonts w:hint="eastAsia" w:ascii="Times New Roman" w:hAnsi="Times New Roman" w:eastAsia="仿宋" w:cs="Times New Roman"/>
        </w:rPr>
        <w:t>特高压大范围的电力调度不仅对开通省份产生影响，也可能存在空间溢出，即特高压开通省份可能会对邻近未开通省份的能源资源配置产生影响。为此，本文进一步将样本期内每一年“邻近未开通省份”的企业样本删除，尽量排除上述“溢出效应”的干扰。如表I</w:t>
      </w:r>
      <w:r>
        <w:rPr>
          <w:rFonts w:ascii="Times New Roman" w:hAnsi="Times New Roman" w:eastAsia="仿宋" w:cs="Times New Roman"/>
        </w:rPr>
        <w:t>2</w:t>
      </w:r>
      <w:r>
        <w:rPr>
          <w:rFonts w:hint="eastAsia" w:ascii="Times New Roman" w:hAnsi="Times New Roman" w:eastAsia="仿宋" w:cs="Times New Roman"/>
        </w:rPr>
        <w:t>所示，结果依旧支持我们的结论。</w:t>
      </w:r>
    </w:p>
    <w:p>
      <w:pPr>
        <w:pStyle w:val="5"/>
        <w:keepNext/>
        <w:jc w:val="center"/>
        <w:rPr>
          <w:rFonts w:hint="eastAsia" w:ascii="宋体" w:hAnsi="宋体" w:eastAsia="宋体" w:cs="宋体"/>
          <w:b/>
          <w:bCs/>
          <w:sz w:val="20"/>
          <w:szCs w:val="20"/>
        </w:rPr>
      </w:pPr>
      <w:r>
        <w:rPr>
          <w:rFonts w:hint="eastAsia" w:ascii="宋体" w:hAnsi="宋体" w:eastAsia="宋体" w:cs="宋体"/>
          <w:b/>
          <w:bCs/>
          <w:sz w:val="20"/>
          <w:szCs w:val="20"/>
        </w:rPr>
        <w:t>表I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2</w:t>
      </w:r>
      <w:r>
        <w:rPr>
          <w:rFonts w:hint="eastAsia" w:ascii="宋体" w:hAnsi="宋体" w:eastAsia="宋体" w:cs="宋体"/>
          <w:b/>
          <w:bCs/>
          <w:sz w:val="20"/>
          <w:szCs w:val="20"/>
        </w:rPr>
        <w:fldChar w:fldCharType="end"/>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排除溢出效应干扰</w:t>
      </w:r>
    </w:p>
    <w:tbl>
      <w:tblPr>
        <w:tblStyle w:val="11"/>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2"/>
        <w:gridCol w:w="2482"/>
        <w:gridCol w:w="247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vMerge w:val="restart"/>
            <w:tcBorders>
              <w:top w:val="single" w:color="auto" w:sz="12" w:space="0"/>
              <w:right w:val="single" w:color="auto" w:sz="4" w:space="0"/>
            </w:tcBorders>
            <w:shd w:val="clear" w:color="auto" w:fill="auto"/>
            <w:vAlign w:val="center"/>
          </w:tcPr>
          <w:p>
            <w:pPr>
              <w:keepNext/>
              <w:keepLines/>
              <w:widowControl/>
              <w:spacing w:line="240" w:lineRule="exact"/>
              <w:jc w:val="center"/>
              <w:rPr>
                <w:rFonts w:ascii="Times New Roman" w:hAnsi="Times New Roman" w:eastAsia="仿宋" w:cs="Times New Roman"/>
                <w:kern w:val="0"/>
                <w:sz w:val="18"/>
                <w:szCs w:val="18"/>
              </w:rPr>
            </w:pPr>
          </w:p>
        </w:tc>
        <w:tc>
          <w:tcPr>
            <w:tcW w:w="1456" w:type="pct"/>
            <w:tcBorders>
              <w:top w:val="single" w:color="auto" w:sz="12"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1454" w:type="pct"/>
            <w:tcBorders>
              <w:top w:val="single" w:color="auto" w:sz="12"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vMerge w:val="continue"/>
            <w:tcBorders>
              <w:bottom w:val="single" w:color="auto" w:sz="4" w:space="0"/>
              <w:right w:val="single" w:color="auto" w:sz="4" w:space="0"/>
            </w:tcBorders>
            <w:shd w:val="clear" w:color="auto" w:fill="auto"/>
            <w:vAlign w:val="center"/>
          </w:tcPr>
          <w:p>
            <w:pPr>
              <w:keepNext/>
              <w:keepLines/>
              <w:widowControl/>
              <w:spacing w:line="240" w:lineRule="exact"/>
              <w:jc w:val="center"/>
              <w:rPr>
                <w:rFonts w:ascii="Times New Roman" w:hAnsi="Times New Roman" w:eastAsia="仿宋" w:cs="Times New Roman"/>
                <w:kern w:val="0"/>
                <w:sz w:val="18"/>
                <w:szCs w:val="18"/>
              </w:rPr>
            </w:pPr>
          </w:p>
        </w:tc>
        <w:tc>
          <w:tcPr>
            <w:tcW w:w="1456" w:type="pct"/>
            <w:tcBorders>
              <w:top w:val="single" w:color="auto" w:sz="4"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1454" w:type="pct"/>
            <w:tcBorders>
              <w:top w:val="single" w:color="auto" w:sz="4" w:space="0"/>
              <w:left w:val="single" w:color="auto" w:sz="4" w:space="0"/>
              <w:bottom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2" w:hRule="atLeast"/>
        </w:trPr>
        <w:tc>
          <w:tcPr>
            <w:tcW w:w="2090" w:type="pct"/>
            <w:tcBorders>
              <w:top w:val="single" w:color="auto" w:sz="4"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m:oMathPara>
              <m:oMathParaPr>
                <m:jc m:val="left"/>
              </m:oMathParaPr>
              <m:oMath>
                <m:r>
                  <m:rPr/>
                  <w:rPr>
                    <w:rFonts w:ascii="Cambria Math" w:hAnsi="Cambria Math" w:eastAsia="仿宋" w:cs="Times New Roman"/>
                    <w:kern w:val="0"/>
                    <w:sz w:val="18"/>
                    <w:szCs w:val="18"/>
                  </w:rPr>
                  <m:t>UHV</m:t>
                </m:r>
              </m:oMath>
            </m:oMathPara>
          </w:p>
        </w:tc>
        <w:tc>
          <w:tcPr>
            <w:tcW w:w="1456" w:type="pct"/>
            <w:tcBorders>
              <w:top w:val="single" w:color="auto" w:sz="4" w:space="0"/>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60</w:t>
            </w:r>
            <w:r>
              <w:rPr>
                <w:rFonts w:ascii="Times New Roman" w:hAnsi="Times New Roman" w:eastAsia="仿宋" w:cs="Times New Roman"/>
                <w:kern w:val="0"/>
                <w:sz w:val="18"/>
                <w:szCs w:val="18"/>
                <w:vertAlign w:val="superscript"/>
              </w:rPr>
              <w:t>***</w:t>
            </w:r>
          </w:p>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6</w:t>
            </w:r>
            <w:r>
              <w:rPr>
                <w:rFonts w:ascii="Times New Roman" w:hAnsi="Times New Roman" w:eastAsia="仿宋" w:cs="Times New Roman"/>
                <w:kern w:val="0"/>
                <w:sz w:val="18"/>
                <w:szCs w:val="18"/>
              </w:rPr>
              <w:t>)</w:t>
            </w:r>
          </w:p>
        </w:tc>
        <w:tc>
          <w:tcPr>
            <w:tcW w:w="1454" w:type="pct"/>
            <w:tcBorders>
              <w:top w:val="single" w:color="auto" w:sz="4" w:space="0"/>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092</w:t>
            </w:r>
            <w:r>
              <w:rPr>
                <w:rFonts w:ascii="Times New Roman" w:hAnsi="Times New Roman" w:eastAsia="仿宋" w:cs="Times New Roman"/>
                <w:kern w:val="0"/>
                <w:sz w:val="18"/>
                <w:szCs w:val="18"/>
                <w:vertAlign w:val="superscript"/>
              </w:rPr>
              <w:t>***</w:t>
            </w:r>
          </w:p>
          <w:p>
            <w:pPr>
              <w:keepNext/>
              <w:keepLines/>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1456"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54"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1456"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54"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时间固定效应</w:t>
            </w:r>
          </w:p>
        </w:tc>
        <w:tc>
          <w:tcPr>
            <w:tcW w:w="1456"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54"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省份时间趋势</w:t>
            </w:r>
          </w:p>
        </w:tc>
        <w:tc>
          <w:tcPr>
            <w:tcW w:w="1456"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54"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tcBorders>
              <w:right w:val="single" w:color="auto" w:sz="4" w:space="0"/>
            </w:tcBorders>
            <w:shd w:val="clear" w:color="auto" w:fill="auto"/>
            <w:noWrap/>
            <w:vAlign w:val="center"/>
          </w:tcPr>
          <w:p>
            <w:pPr>
              <w:keepNext/>
              <w:keepLines/>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1456"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178802</w:t>
            </w:r>
          </w:p>
        </w:tc>
        <w:tc>
          <w:tcPr>
            <w:tcW w:w="1454" w:type="pct"/>
            <w:tcBorders>
              <w:left w:val="single" w:color="auto" w:sz="4"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178802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2090" w:type="pct"/>
            <w:tcBorders>
              <w:bottom w:val="single" w:color="auto" w:sz="12" w:space="0"/>
              <w:right w:val="single" w:color="auto" w:sz="4" w:space="0"/>
            </w:tcBorders>
            <w:shd w:val="clear" w:color="auto" w:fill="auto"/>
            <w:noWrap/>
            <w:vAlign w:val="center"/>
          </w:tcPr>
          <w:p>
            <w:pPr>
              <w:keepNext/>
              <w:keepLines/>
              <w:widowControl/>
              <w:spacing w:line="240" w:lineRule="exact"/>
              <w:jc w:val="center"/>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1456" w:type="pct"/>
            <w:tcBorders>
              <w:left w:val="single" w:color="auto" w:sz="4" w:space="0"/>
              <w:bottom w:val="single" w:color="auto" w:sz="12"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0.758</w:t>
            </w:r>
          </w:p>
        </w:tc>
        <w:tc>
          <w:tcPr>
            <w:tcW w:w="1454" w:type="pct"/>
            <w:tcBorders>
              <w:left w:val="single" w:color="auto" w:sz="4" w:space="0"/>
              <w:bottom w:val="single" w:color="auto" w:sz="12" w:space="0"/>
              <w:right w:val="nil"/>
            </w:tcBorders>
            <w:vAlign w:val="center"/>
          </w:tcPr>
          <w:p>
            <w:pPr>
              <w:keepNext/>
              <w:keepLines/>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0.634</w:t>
            </w:r>
          </w:p>
        </w:tc>
      </w:tr>
    </w:tbl>
    <w:p>
      <w:pPr>
        <w:ind w:firstLine="300" w:firstLineChars="200"/>
        <w:rPr>
          <w:rFonts w:ascii="Times New Roman" w:hAnsi="Times New Roman" w:eastAsia="仿宋" w:cs="Times New Roman"/>
          <w:b/>
          <w:bCs/>
          <w:sz w:val="15"/>
          <w:szCs w:val="15"/>
        </w:rPr>
      </w:pPr>
      <w:r>
        <w:rPr>
          <w:rFonts w:ascii="Times New Roman" w:hAnsi="Times New Roman" w:eastAsia="仿宋" w:cs="Times New Roman"/>
          <w:sz w:val="15"/>
          <w:szCs w:val="15"/>
        </w:rPr>
        <w:t>注：</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分别表示在1%、5%和10%的显著性水平上显著，括号内为稳健标准误。</w:t>
      </w:r>
    </w:p>
    <w:p>
      <w:pPr>
        <w:pStyle w:val="3"/>
        <w:spacing w:before="0" w:after="0" w:line="480" w:lineRule="auto"/>
        <w:ind w:firstLine="422" w:firstLineChars="200"/>
        <w:rPr>
          <w:rFonts w:ascii="Times New Roman" w:hAnsi="Times New Roman" w:eastAsia="仿宋" w:cs="Times New Roman"/>
          <w:b/>
          <w:bCs/>
          <w:sz w:val="21"/>
          <w:szCs w:val="21"/>
        </w:rPr>
      </w:pPr>
      <w:bookmarkStart w:id="6" w:name="_Toc145948694"/>
      <w:r>
        <w:rPr>
          <w:rFonts w:ascii="Times New Roman" w:hAnsi="Times New Roman" w:eastAsia="仿宋" w:cs="Times New Roman"/>
          <w:b/>
          <w:bCs/>
          <w:sz w:val="21"/>
          <w:szCs w:val="21"/>
        </w:rPr>
        <w:t>3.改变核心指标测度方式</w:t>
      </w:r>
      <w:bookmarkEnd w:id="6"/>
    </w:p>
    <w:p>
      <w:pPr>
        <w:ind w:firstLine="420" w:firstLineChars="200"/>
        <w:rPr>
          <w:rFonts w:ascii="Times New Roman" w:hAnsi="Times New Roman" w:eastAsia="仿宋" w:cs="Times New Roman"/>
        </w:rPr>
      </w:pPr>
      <w:r>
        <w:rPr>
          <w:rFonts w:ascii="Times New Roman" w:hAnsi="Times New Roman" w:eastAsia="仿宋" w:cs="Times New Roman"/>
        </w:rPr>
        <w:t>为了检验核心指标测度</w:t>
      </w:r>
      <w:r>
        <w:rPr>
          <w:rFonts w:hint="eastAsia" w:ascii="Times New Roman" w:hAnsi="Times New Roman" w:eastAsia="仿宋" w:cs="Times New Roman"/>
        </w:rPr>
        <w:t>方式</w:t>
      </w:r>
      <w:r>
        <w:rPr>
          <w:rFonts w:ascii="Times New Roman" w:hAnsi="Times New Roman" w:eastAsia="仿宋" w:cs="Times New Roman"/>
        </w:rPr>
        <w:t>的敏感性，</w:t>
      </w:r>
      <w:r>
        <w:rPr>
          <w:rFonts w:ascii="Times New Roman" w:hAnsi="Times New Roman" w:eastAsia="仿宋" w:cs="Times New Roman"/>
          <w:bCs/>
          <w:szCs w:val="21"/>
        </w:rPr>
        <w:t>本文以特高压变电或换流容量</w:t>
      </w:r>
      <w:r>
        <w:rPr>
          <w:rStyle w:val="14"/>
          <w:rFonts w:ascii="Times New Roman" w:hAnsi="Times New Roman" w:eastAsia="仿宋" w:cs="Times New Roman"/>
          <w:bCs/>
          <w:szCs w:val="21"/>
        </w:rPr>
        <w:footnoteReference w:id="0"/>
      </w:r>
      <w:r>
        <w:rPr>
          <w:rFonts w:ascii="Times New Roman" w:hAnsi="Times New Roman" w:eastAsia="仿宋" w:cs="Times New Roman"/>
          <w:bCs/>
          <w:szCs w:val="21"/>
        </w:rPr>
        <w:t>（</w:t>
      </w:r>
      <m:oMath>
        <m:r>
          <m:rPr/>
          <w:rPr>
            <w:rFonts w:ascii="Cambria Math" w:hAnsi="Cambria Math" w:eastAsia="仿宋" w:cs="Times New Roman"/>
            <w:szCs w:val="21"/>
          </w:rPr>
          <m:t>Capacity</m:t>
        </m:r>
      </m:oMath>
      <w:r>
        <w:rPr>
          <w:rFonts w:ascii="Times New Roman" w:hAnsi="Times New Roman" w:eastAsia="仿宋" w:cs="Times New Roman"/>
          <w:bCs/>
          <w:szCs w:val="21"/>
        </w:rPr>
        <w:t>）替换原分组变量（</w:t>
      </w:r>
      <m:oMath>
        <m:r>
          <m:rPr/>
          <w:rPr>
            <w:rFonts w:ascii="Cambria Math" w:hAnsi="Cambria Math" w:eastAsia="仿宋" w:cs="Times New Roman"/>
            <w:szCs w:val="21"/>
          </w:rPr>
          <m:t>UHV</m:t>
        </m:r>
      </m:oMath>
      <w:r>
        <w:rPr>
          <w:rFonts w:ascii="Times New Roman" w:hAnsi="Times New Roman" w:eastAsia="仿宋" w:cs="Times New Roman"/>
          <w:bCs/>
          <w:szCs w:val="21"/>
        </w:rPr>
        <w:t>），重新进行回归检验</w:t>
      </w:r>
      <w:r>
        <w:rPr>
          <w:rFonts w:hint="eastAsia" w:ascii="Times New Roman" w:hAnsi="Times New Roman" w:eastAsia="仿宋" w:cs="Times New Roman"/>
          <w:bCs/>
          <w:szCs w:val="21"/>
        </w:rPr>
        <w:t>。</w:t>
      </w:r>
      <w:r>
        <w:rPr>
          <w:rFonts w:hint="eastAsia" w:ascii="Times New Roman" w:hAnsi="Times New Roman" w:eastAsia="仿宋" w:cs="Times New Roman"/>
        </w:rPr>
        <w:t>估计结果报告在表I3，显示结论未受到影响，且特高压输电线路额定容量越大，越有利于企业节能降耗。</w:t>
      </w:r>
    </w:p>
    <w:p>
      <w:pPr>
        <w:pStyle w:val="5"/>
        <w:keepNext/>
        <w:jc w:val="center"/>
        <w:rPr>
          <w:rFonts w:hint="eastAsia" w:ascii="宋体" w:hAnsi="宋体" w:eastAsia="宋体" w:cs="宋体"/>
          <w:b/>
          <w:bCs/>
          <w:sz w:val="20"/>
          <w:szCs w:val="20"/>
        </w:rPr>
      </w:pPr>
      <w:r>
        <w:rPr>
          <w:rFonts w:hint="eastAsia" w:ascii="宋体" w:hAnsi="宋体" w:eastAsia="宋体" w:cs="宋体"/>
          <w:b/>
          <w:bCs/>
          <w:sz w:val="20"/>
          <w:szCs w:val="20"/>
        </w:rPr>
        <w:t>表I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3</w:t>
      </w:r>
      <w:r>
        <w:rPr>
          <w:rFonts w:hint="eastAsia" w:ascii="宋体" w:hAnsi="宋体" w:eastAsia="宋体" w:cs="宋体"/>
          <w:b/>
          <w:bCs/>
          <w:sz w:val="20"/>
          <w:szCs w:val="20"/>
        </w:rPr>
        <w:fldChar w:fldCharType="end"/>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替换变量稳健性结果</w:t>
      </w:r>
    </w:p>
    <w:tbl>
      <w:tblPr>
        <w:tblStyle w:val="11"/>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8"/>
        <w:gridCol w:w="2166"/>
        <w:gridCol w:w="216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vMerge w:val="restart"/>
            <w:tcBorders>
              <w:top w:val="single" w:color="auto" w:sz="12" w:space="0"/>
              <w:right w:val="single" w:color="auto" w:sz="4" w:space="0"/>
            </w:tcBorders>
            <w:shd w:val="clear" w:color="auto" w:fill="auto"/>
            <w:noWrap/>
            <w:vAlign w:val="center"/>
          </w:tcPr>
          <w:p>
            <w:pPr>
              <w:keepNext/>
              <w:spacing w:line="240" w:lineRule="exact"/>
              <w:rPr>
                <w:rFonts w:ascii="Times New Roman" w:hAnsi="Times New Roman" w:eastAsia="仿宋" w:cs="Times New Roman"/>
                <w:kern w:val="0"/>
                <w:sz w:val="18"/>
                <w:szCs w:val="18"/>
              </w:rPr>
            </w:pPr>
          </w:p>
        </w:tc>
        <w:tc>
          <w:tcPr>
            <w:tcW w:w="2543" w:type="pct"/>
            <w:gridSpan w:val="2"/>
            <w:tcBorders>
              <w:top w:val="single" w:color="auto" w:sz="12" w:space="0"/>
              <w:left w:val="single" w:color="auto" w:sz="4" w:space="0"/>
              <w:bottom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替换变量</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vMerge w:val="continue"/>
            <w:tcBorders>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p>
        </w:tc>
        <w:tc>
          <w:tcPr>
            <w:tcW w:w="127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w:t>
            </w:r>
          </w:p>
        </w:tc>
        <w:tc>
          <w:tcPr>
            <w:tcW w:w="1272" w:type="pct"/>
            <w:tcBorders>
              <w:top w:val="single" w:color="auto" w:sz="4" w:space="0"/>
              <w:left w:val="single" w:color="auto" w:sz="4" w:space="0"/>
              <w:bottom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vMerge w:val="continue"/>
            <w:tcBorders>
              <w:bottom w:val="single" w:color="auto" w:sz="4" w:space="0"/>
              <w:right w:val="single" w:color="auto" w:sz="4" w:space="0"/>
            </w:tcBorders>
            <w:shd w:val="clear" w:color="auto" w:fill="auto"/>
            <w:vAlign w:val="center"/>
          </w:tcPr>
          <w:p>
            <w:pPr>
              <w:keepNext/>
              <w:widowControl/>
              <w:spacing w:line="240" w:lineRule="exact"/>
              <w:jc w:val="center"/>
              <w:rPr>
                <w:rFonts w:ascii="Times New Roman" w:hAnsi="Times New Roman" w:eastAsia="仿宋" w:cs="Times New Roman"/>
                <w:kern w:val="0"/>
                <w:sz w:val="18"/>
                <w:szCs w:val="18"/>
              </w:rPr>
            </w:pPr>
          </w:p>
        </w:tc>
        <w:tc>
          <w:tcPr>
            <w:tcW w:w="127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1272" w:type="pct"/>
            <w:tcBorders>
              <w:top w:val="single" w:color="auto" w:sz="4" w:space="0"/>
              <w:left w:val="single" w:color="auto" w:sz="4" w:space="0"/>
              <w:bottom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457" w:type="pct"/>
            <w:tcBorders>
              <w:top w:val="single" w:color="auto" w:sz="4" w:space="0"/>
              <w:bottom w:val="nil"/>
              <w:right w:val="single" w:color="auto" w:sz="4" w:space="0"/>
            </w:tcBorders>
            <w:shd w:val="clear" w:color="auto" w:fill="auto"/>
            <w:noWrap/>
            <w:vAlign w:val="center"/>
          </w:tcPr>
          <w:p>
            <w:pPr>
              <w:keepNext/>
              <w:widowControl/>
              <w:spacing w:line="240" w:lineRule="exact"/>
              <w:jc w:val="center"/>
              <w:rPr>
                <w:rFonts w:ascii="等线" w:hAnsi="等线" w:eastAsia="等线" w:cs="Times New Roman"/>
                <w:kern w:val="0"/>
                <w:sz w:val="18"/>
                <w:szCs w:val="18"/>
              </w:rPr>
            </w:pPr>
            <m:oMathPara>
              <m:oMathParaPr>
                <m:jc m:val="left"/>
              </m:oMathParaPr>
              <m:oMath>
                <m:r>
                  <m:rPr/>
                  <w:rPr>
                    <w:rFonts w:ascii="Cambria Math" w:hAnsi="Cambria Math" w:eastAsia="仿宋" w:cs="Times New Roman"/>
                    <w:kern w:val="0"/>
                    <w:sz w:val="18"/>
                    <w:szCs w:val="18"/>
                  </w:rPr>
                  <m:t>C</m:t>
                </m:r>
                <m:r>
                  <m:rPr/>
                  <w:rPr>
                    <w:rFonts w:hint="eastAsia" w:ascii="Cambria Math" w:hAnsi="Cambria Math" w:eastAsia="仿宋" w:cs="Times New Roman"/>
                    <w:kern w:val="0"/>
                    <w:sz w:val="18"/>
                    <w:szCs w:val="18"/>
                  </w:rPr>
                  <m:t>apacity</m:t>
                </m:r>
              </m:oMath>
            </m:oMathPara>
          </w:p>
        </w:tc>
        <w:tc>
          <w:tcPr>
            <w:tcW w:w="1271" w:type="pct"/>
            <w:tcBorders>
              <w:top w:val="single" w:color="auto" w:sz="4" w:space="0"/>
              <w:left w:val="single" w:color="auto" w:sz="4" w:space="0"/>
              <w:bottom w:val="nil"/>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w:t>
            </w:r>
          </w:p>
        </w:tc>
        <w:tc>
          <w:tcPr>
            <w:tcW w:w="1272" w:type="pct"/>
            <w:tcBorders>
              <w:top w:val="single" w:color="auto" w:sz="4" w:space="0"/>
              <w:left w:val="single" w:color="auto" w:sz="4" w:space="0"/>
              <w:bottom w:val="nil"/>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7</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127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72" w:type="pct"/>
            <w:tcBorders>
              <w:left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127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72" w:type="pct"/>
            <w:tcBorders>
              <w:left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时间固定效应</w:t>
            </w:r>
          </w:p>
        </w:tc>
        <w:tc>
          <w:tcPr>
            <w:tcW w:w="127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72" w:type="pct"/>
            <w:tcBorders>
              <w:left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省份时间趋势</w:t>
            </w:r>
          </w:p>
        </w:tc>
        <w:tc>
          <w:tcPr>
            <w:tcW w:w="127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72" w:type="pct"/>
            <w:tcBorders>
              <w:left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127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287242</w:t>
            </w:r>
          </w:p>
        </w:tc>
        <w:tc>
          <w:tcPr>
            <w:tcW w:w="1272" w:type="pct"/>
            <w:tcBorders>
              <w:left w:val="single" w:color="auto" w:sz="4"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287242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457" w:type="pct"/>
            <w:tcBorders>
              <w:bottom w:val="single" w:color="auto" w:sz="12"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1271"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0.753</w:t>
            </w:r>
          </w:p>
        </w:tc>
        <w:tc>
          <w:tcPr>
            <w:tcW w:w="1272" w:type="pct"/>
            <w:tcBorders>
              <w:left w:val="single" w:color="auto" w:sz="4" w:space="0"/>
              <w:bottom w:val="single" w:color="auto" w:sz="12" w:space="0"/>
              <w:right w:val="nil"/>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0.598</w:t>
            </w:r>
          </w:p>
        </w:tc>
      </w:tr>
    </w:tbl>
    <w:p>
      <w:pPr>
        <w:ind w:firstLine="300" w:firstLineChars="200"/>
        <w:rPr>
          <w:rFonts w:ascii="Times New Roman" w:hAnsi="Times New Roman" w:eastAsia="仿宋" w:cs="Times New Roman"/>
          <w:b/>
          <w:bCs/>
          <w:sz w:val="15"/>
          <w:szCs w:val="15"/>
        </w:rPr>
      </w:pPr>
      <w:r>
        <w:rPr>
          <w:rFonts w:ascii="Times New Roman" w:hAnsi="Times New Roman" w:eastAsia="仿宋" w:cs="Times New Roman"/>
          <w:sz w:val="15"/>
          <w:szCs w:val="15"/>
        </w:rPr>
        <w:t>注：</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分别表示在1%、5%和10%的显著性水平上显著，括号内为稳健标准误。</w:t>
      </w:r>
    </w:p>
    <w:p>
      <w:pPr>
        <w:pStyle w:val="3"/>
        <w:spacing w:before="0" w:after="0" w:line="480" w:lineRule="auto"/>
        <w:ind w:firstLine="422" w:firstLineChars="200"/>
        <w:rPr>
          <w:rFonts w:ascii="Times New Roman" w:hAnsi="Times New Roman" w:eastAsia="仿宋" w:cs="Times New Roman"/>
          <w:b/>
          <w:bCs/>
          <w:sz w:val="21"/>
          <w:szCs w:val="21"/>
        </w:rPr>
      </w:pPr>
      <w:bookmarkStart w:id="7" w:name="_Toc145948695"/>
      <w:r>
        <w:rPr>
          <w:rFonts w:ascii="Times New Roman" w:hAnsi="Times New Roman" w:eastAsia="仿宋" w:cs="Times New Roman"/>
          <w:b/>
          <w:bCs/>
          <w:sz w:val="21"/>
          <w:szCs w:val="21"/>
        </w:rPr>
        <w:t>4.控制不可观测因素</w:t>
      </w:r>
      <w:bookmarkEnd w:id="7"/>
    </w:p>
    <w:p>
      <w:pPr>
        <w:ind w:firstLine="420" w:firstLineChars="200"/>
        <w:rPr>
          <w:rFonts w:ascii="Times New Roman" w:hAnsi="Times New Roman" w:eastAsia="仿宋" w:cs="Times New Roman"/>
        </w:rPr>
      </w:pPr>
      <w:r>
        <w:rPr>
          <w:rFonts w:ascii="Times New Roman" w:hAnsi="Times New Roman" w:eastAsia="仿宋" w:cs="Times New Roman"/>
        </w:rPr>
        <w:t>本文进一步采取控制行业时间</w:t>
      </w:r>
      <w:r>
        <w:rPr>
          <w:rFonts w:hint="eastAsia" w:ascii="Times New Roman" w:hAnsi="Times New Roman" w:eastAsia="仿宋" w:cs="Times New Roman"/>
        </w:rPr>
        <w:t>固定效应</w:t>
      </w:r>
      <w:r>
        <w:rPr>
          <w:rFonts w:ascii="Times New Roman" w:hAnsi="Times New Roman" w:eastAsia="仿宋" w:cs="Times New Roman"/>
        </w:rPr>
        <w:t>、城市聚类稳健标准误与平衡样本回归的方法检验识别结果的有效性。</w:t>
      </w:r>
      <w:r>
        <w:rPr>
          <w:rFonts w:hint="eastAsia" w:ascii="Times New Roman" w:hAnsi="Times New Roman" w:eastAsia="仿宋" w:cs="Times New Roman"/>
        </w:rPr>
        <w:t>表I4结果显示，一些</w:t>
      </w:r>
      <w:r>
        <w:rPr>
          <w:rFonts w:ascii="Times New Roman" w:hAnsi="Times New Roman" w:eastAsia="仿宋" w:cs="Times New Roman"/>
        </w:rPr>
        <w:t>不可观测的因素不会对核心结论产生实质性影响。</w:t>
      </w:r>
    </w:p>
    <w:p>
      <w:pPr>
        <w:pStyle w:val="5"/>
        <w:keepNext/>
        <w:jc w:val="center"/>
        <w:rPr>
          <w:rFonts w:hint="eastAsia" w:ascii="宋体" w:hAnsi="宋体" w:eastAsia="宋体" w:cs="宋体"/>
          <w:b/>
          <w:bCs/>
          <w:sz w:val="20"/>
          <w:szCs w:val="20"/>
        </w:rPr>
      </w:pPr>
      <w:r>
        <w:rPr>
          <w:rFonts w:hint="eastAsia" w:ascii="宋体" w:hAnsi="宋体" w:eastAsia="宋体" w:cs="宋体"/>
          <w:b/>
          <w:bCs/>
          <w:sz w:val="20"/>
          <w:szCs w:val="20"/>
        </w:rPr>
        <w:t>表I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4</w:t>
      </w:r>
      <w:r>
        <w:rPr>
          <w:rFonts w:hint="eastAsia" w:ascii="宋体" w:hAnsi="宋体" w:eastAsia="宋体" w:cs="宋体"/>
          <w:b/>
          <w:bCs/>
          <w:sz w:val="20"/>
          <w:szCs w:val="20"/>
        </w:rPr>
        <w:fldChar w:fldCharType="end"/>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控制不可观测因素稳健性结果</w:t>
      </w:r>
    </w:p>
    <w:tbl>
      <w:tblPr>
        <w:tblStyle w:val="11"/>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1075"/>
        <w:gridCol w:w="1074"/>
        <w:gridCol w:w="1074"/>
        <w:gridCol w:w="1075"/>
        <w:gridCol w:w="1074"/>
        <w:gridCol w:w="107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276" w:hRule="atLeast"/>
        </w:trPr>
        <w:tc>
          <w:tcPr>
            <w:tcW w:w="1217" w:type="pct"/>
            <w:vMerge w:val="restart"/>
            <w:tcBorders>
              <w:top w:val="single" w:color="auto" w:sz="12" w:space="0"/>
              <w:right w:val="single" w:color="auto" w:sz="4" w:space="0"/>
            </w:tcBorders>
            <w:shd w:val="clear" w:color="auto" w:fill="auto"/>
            <w:noWrap/>
            <w:vAlign w:val="center"/>
          </w:tcPr>
          <w:p>
            <w:pPr>
              <w:keepNext/>
              <w:spacing w:line="240" w:lineRule="exact"/>
              <w:rPr>
                <w:rFonts w:ascii="Times New Roman" w:hAnsi="Times New Roman" w:eastAsia="仿宋" w:cs="Times New Roman"/>
                <w:kern w:val="0"/>
                <w:sz w:val="18"/>
                <w:szCs w:val="18"/>
              </w:rPr>
            </w:pPr>
          </w:p>
        </w:tc>
        <w:tc>
          <w:tcPr>
            <w:tcW w:w="1261" w:type="pct"/>
            <w:gridSpan w:val="2"/>
            <w:tcBorders>
              <w:top w:val="single" w:color="auto" w:sz="12"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控制行业时间趋势</w:t>
            </w:r>
          </w:p>
        </w:tc>
        <w:tc>
          <w:tcPr>
            <w:tcW w:w="1261" w:type="pct"/>
            <w:gridSpan w:val="2"/>
            <w:tcBorders>
              <w:top w:val="single" w:color="auto" w:sz="12"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城市聚类回归</w:t>
            </w:r>
          </w:p>
        </w:tc>
        <w:tc>
          <w:tcPr>
            <w:tcW w:w="1261" w:type="pct"/>
            <w:gridSpan w:val="2"/>
            <w:tcBorders>
              <w:top w:val="single" w:color="auto" w:sz="12"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平衡面板回归</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vMerge w:val="continue"/>
            <w:tcBorders>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p>
        </w:tc>
        <w:tc>
          <w:tcPr>
            <w:tcW w:w="63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w:t>
            </w:r>
          </w:p>
        </w:tc>
        <w:tc>
          <w:tcPr>
            <w:tcW w:w="630"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w:t>
            </w:r>
          </w:p>
        </w:tc>
        <w:tc>
          <w:tcPr>
            <w:tcW w:w="630"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p>
        </w:tc>
        <w:tc>
          <w:tcPr>
            <w:tcW w:w="63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p>
        </w:tc>
        <w:tc>
          <w:tcPr>
            <w:tcW w:w="630"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c>
          <w:tcPr>
            <w:tcW w:w="631"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vMerge w:val="continue"/>
            <w:tcBorders>
              <w:bottom w:val="single" w:color="auto" w:sz="4" w:space="0"/>
              <w:right w:val="single" w:color="auto" w:sz="4" w:space="0"/>
            </w:tcBorders>
            <w:shd w:val="clear" w:color="auto" w:fill="auto"/>
            <w:vAlign w:val="center"/>
          </w:tcPr>
          <w:p>
            <w:pPr>
              <w:keepNext/>
              <w:widowControl/>
              <w:spacing w:line="240" w:lineRule="exact"/>
              <w:jc w:val="center"/>
              <w:rPr>
                <w:rFonts w:ascii="Times New Roman" w:hAnsi="Times New Roman" w:eastAsia="仿宋" w:cs="Times New Roman"/>
                <w:kern w:val="0"/>
                <w:sz w:val="18"/>
                <w:szCs w:val="18"/>
              </w:rPr>
            </w:pPr>
          </w:p>
        </w:tc>
        <w:tc>
          <w:tcPr>
            <w:tcW w:w="63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630"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c>
          <w:tcPr>
            <w:tcW w:w="630"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宋体" w:hAnsi="宋体" w:eastAsia="宋体"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63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宋体" w:hAnsi="宋体" w:eastAsia="宋体" w:cs="Times New Roman"/>
                <w:kern w:val="0"/>
                <w:sz w:val="18"/>
                <w:szCs w:val="18"/>
              </w:rPr>
            </w:pPr>
            <w:r>
              <w:rPr>
                <w:rFonts w:hint="eastAsia" w:ascii="宋体" w:hAnsi="宋体" w:eastAsia="宋体" w:cs="Times New Roman"/>
                <w:kern w:val="0"/>
                <w:sz w:val="18"/>
                <w:szCs w:val="18"/>
              </w:rPr>
              <w:t xml:space="preserve"> </w:t>
            </w:r>
            <m:oMath>
              <m:r>
                <m:rPr/>
                <w:rPr>
                  <w:rFonts w:ascii="Cambria Math" w:hAnsi="Cambria Math" w:eastAsia="仿宋" w:cs="Times New Roman"/>
                  <w:kern w:val="0"/>
                  <w:sz w:val="18"/>
                  <w:szCs w:val="18"/>
                </w:rPr>
                <m:t>EI</m:t>
              </m:r>
            </m:oMath>
          </w:p>
        </w:tc>
        <w:tc>
          <w:tcPr>
            <w:tcW w:w="630"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宋体" w:hAnsi="宋体" w:eastAsia="宋体" w:cs="Times New Roman"/>
                <w:kern w:val="0"/>
                <w:sz w:val="18"/>
                <w:szCs w:val="18"/>
              </w:rPr>
            </w:pPr>
            <w:r>
              <w:rPr>
                <w:rFonts w:hint="eastAsia" w:ascii="宋体" w:hAnsi="宋体" w:eastAsia="宋体" w:cs="Times New Roman"/>
                <w:kern w:val="0"/>
                <w:sz w:val="18"/>
                <w:szCs w:val="18"/>
              </w:rPr>
              <w:t xml:space="preserve"> </w:t>
            </w:r>
            <m:oMath>
              <m:r>
                <m:rPr/>
                <w:rPr>
                  <w:rFonts w:ascii="Cambria Math" w:hAnsi="Cambria Math" w:eastAsia="仿宋" w:cs="Times New Roman"/>
                  <w:kern w:val="0"/>
                  <w:sz w:val="18"/>
                  <w:szCs w:val="18"/>
                </w:rPr>
                <m:t>TC</m:t>
              </m:r>
            </m:oMath>
          </w:p>
        </w:tc>
        <w:tc>
          <w:tcPr>
            <w:tcW w:w="631" w:type="pct"/>
            <w:tcBorders>
              <w:top w:val="single" w:color="auto" w:sz="4" w:space="0"/>
              <w:left w:val="single" w:color="auto" w:sz="4" w:space="0"/>
              <w:bottom w:val="single" w:color="auto" w:sz="4" w:space="0"/>
            </w:tcBorders>
            <w:vAlign w:val="center"/>
          </w:tcPr>
          <w:p>
            <w:pPr>
              <w:keepNext/>
              <w:widowControl/>
              <w:spacing w:line="240" w:lineRule="exact"/>
              <w:ind w:firstLine="180" w:firstLineChars="100"/>
              <w:rPr>
                <w:rFonts w:ascii="宋体" w:hAnsi="宋体" w:eastAsia="宋体" w:cs="Times New Roman"/>
                <w:kern w:val="0"/>
                <w:sz w:val="18"/>
                <w:szCs w:val="18"/>
              </w:rPr>
            </w:pPr>
            <w:r>
              <w:rPr>
                <w:rFonts w:hint="eastAsia" w:ascii="宋体" w:hAnsi="宋体" w:eastAsia="宋体" w:cs="Times New Roman"/>
                <w:kern w:val="0"/>
                <w:sz w:val="18"/>
                <w:szCs w:val="18"/>
              </w:rPr>
              <w:t xml:space="preserve"> </w:t>
            </w:r>
            <m:oMath>
              <m:r>
                <m:rPr/>
                <w:rPr>
                  <w:rFonts w:ascii="Cambria Math" w:hAnsi="Cambria Math" w:eastAsia="仿宋" w:cs="Times New Roman"/>
                  <w:kern w:val="0"/>
                  <w:sz w:val="18"/>
                  <w:szCs w:val="18"/>
                </w:rPr>
                <m:t>EI</m:t>
              </m:r>
            </m:oMath>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217" w:type="pct"/>
            <w:tcBorders>
              <w:top w:val="nil"/>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m:oMathPara>
              <m:oMathParaPr>
                <m:jc m:val="left"/>
              </m:oMathParaPr>
              <m:oMath>
                <m:r>
                  <m:rPr/>
                  <w:rPr>
                    <w:rFonts w:ascii="Cambria Math" w:hAnsi="Cambria Math" w:eastAsia="仿宋" w:cs="Times New Roman"/>
                    <w:kern w:val="0"/>
                    <w:sz w:val="18"/>
                    <w:szCs w:val="18"/>
                  </w:rPr>
                  <m:t>UHV</m:t>
                </m:r>
              </m:oMath>
            </m:oMathPara>
          </w:p>
        </w:tc>
        <w:tc>
          <w:tcPr>
            <w:tcW w:w="631" w:type="pct"/>
            <w:tcBorders>
              <w:top w:val="nil"/>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65</w:t>
            </w:r>
            <w:r>
              <w:rPr>
                <w:rFonts w:ascii="Times New Roman" w:hAnsi="Times New Roman" w:eastAsia="仿宋" w:cs="Times New Roman"/>
                <w:kern w:val="0"/>
                <w:sz w:val="18"/>
                <w:szCs w:val="18"/>
                <w:vertAlign w:val="superscript"/>
              </w:rPr>
              <w:t>***</w:t>
            </w:r>
          </w:p>
          <w:p>
            <w:pPr>
              <w:keepNext/>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(0.010)</w:t>
            </w:r>
          </w:p>
        </w:tc>
        <w:tc>
          <w:tcPr>
            <w:tcW w:w="630" w:type="pct"/>
            <w:tcBorders>
              <w:top w:val="nil"/>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92</w:t>
            </w:r>
            <w:r>
              <w:rPr>
                <w:rFonts w:ascii="Times New Roman" w:hAnsi="Times New Roman" w:eastAsia="仿宋" w:cs="Times New Roman"/>
                <w:kern w:val="0"/>
                <w:sz w:val="18"/>
                <w:szCs w:val="18"/>
                <w:vertAlign w:val="superscript"/>
              </w:rPr>
              <w:t>***</w:t>
            </w:r>
          </w:p>
          <w:p>
            <w:pPr>
              <w:keepNext/>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w:t>
            </w: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w:t>
            </w:r>
          </w:p>
        </w:tc>
        <w:tc>
          <w:tcPr>
            <w:tcW w:w="630" w:type="pct"/>
            <w:tcBorders>
              <w:top w:val="nil"/>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w:t>
            </w:r>
            <w:r>
              <w:rPr>
                <w:rFonts w:hint="eastAsia" w:ascii="Times New Roman" w:hAnsi="Times New Roman" w:eastAsia="仿宋" w:cs="Times New Roman"/>
                <w:kern w:val="0"/>
                <w:sz w:val="18"/>
                <w:szCs w:val="18"/>
              </w:rPr>
              <w:t>8</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35</w:t>
            </w:r>
            <w:r>
              <w:rPr>
                <w:rFonts w:ascii="Times New Roman" w:hAnsi="Times New Roman" w:eastAsia="仿宋" w:cs="Times New Roman"/>
                <w:kern w:val="0"/>
                <w:sz w:val="18"/>
                <w:szCs w:val="18"/>
              </w:rPr>
              <w:t>)</w:t>
            </w:r>
          </w:p>
        </w:tc>
        <w:tc>
          <w:tcPr>
            <w:tcW w:w="631" w:type="pct"/>
            <w:tcBorders>
              <w:top w:val="nil"/>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90</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36</w:t>
            </w:r>
            <w:r>
              <w:rPr>
                <w:rFonts w:ascii="Times New Roman" w:hAnsi="Times New Roman" w:eastAsia="仿宋" w:cs="Times New Roman"/>
                <w:kern w:val="0"/>
                <w:sz w:val="18"/>
                <w:szCs w:val="18"/>
              </w:rPr>
              <w:t>)</w:t>
            </w:r>
          </w:p>
        </w:tc>
        <w:tc>
          <w:tcPr>
            <w:tcW w:w="630" w:type="pct"/>
            <w:tcBorders>
              <w:top w:val="nil"/>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124</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22</w:t>
            </w:r>
            <w:r>
              <w:rPr>
                <w:rFonts w:ascii="Times New Roman" w:hAnsi="Times New Roman" w:eastAsia="仿宋" w:cs="Times New Roman"/>
                <w:kern w:val="0"/>
                <w:sz w:val="18"/>
                <w:szCs w:val="18"/>
              </w:rPr>
              <w:t>)</w:t>
            </w:r>
          </w:p>
        </w:tc>
        <w:tc>
          <w:tcPr>
            <w:tcW w:w="631" w:type="pct"/>
            <w:tcBorders>
              <w:top w:val="nil"/>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163</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23</w:t>
            </w:r>
            <w:r>
              <w:rPr>
                <w:rFonts w:ascii="Times New Roman" w:hAnsi="Times New Roman" w:eastAsia="仿宋"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时间固定效应</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省份时间趋势</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行业时间固定效应</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63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w:t>
            </w:r>
            <w:r>
              <w:rPr>
                <w:rFonts w:hint="eastAsia" w:ascii="Times New Roman" w:hAnsi="Times New Roman" w:eastAsia="仿宋" w:cs="Times New Roman"/>
                <w:kern w:val="0"/>
                <w:sz w:val="18"/>
                <w:szCs w:val="18"/>
              </w:rPr>
              <w:t>7184</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w:t>
            </w:r>
            <w:r>
              <w:rPr>
                <w:rFonts w:hint="eastAsia" w:ascii="Times New Roman" w:hAnsi="Times New Roman" w:eastAsia="仿宋" w:cs="Times New Roman"/>
                <w:kern w:val="0"/>
                <w:sz w:val="18"/>
                <w:szCs w:val="18"/>
              </w:rPr>
              <w:t>7184</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w:t>
            </w:r>
            <w:r>
              <w:rPr>
                <w:rFonts w:hint="eastAsia" w:ascii="Times New Roman" w:hAnsi="Times New Roman" w:eastAsia="仿宋" w:cs="Times New Roman"/>
                <w:kern w:val="0"/>
                <w:sz w:val="18"/>
                <w:szCs w:val="18"/>
              </w:rPr>
              <w:t>7242</w:t>
            </w:r>
          </w:p>
        </w:tc>
        <w:tc>
          <w:tcPr>
            <w:tcW w:w="63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w:t>
            </w:r>
            <w:r>
              <w:rPr>
                <w:rFonts w:hint="eastAsia" w:ascii="Times New Roman" w:hAnsi="Times New Roman" w:eastAsia="仿宋" w:cs="Times New Roman"/>
                <w:kern w:val="0"/>
                <w:sz w:val="18"/>
                <w:szCs w:val="18"/>
              </w:rPr>
              <w:t>7242</w:t>
            </w:r>
          </w:p>
        </w:tc>
        <w:tc>
          <w:tcPr>
            <w:tcW w:w="630"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47637</w:t>
            </w:r>
          </w:p>
        </w:tc>
        <w:tc>
          <w:tcPr>
            <w:tcW w:w="63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47637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17" w:type="pct"/>
            <w:tcBorders>
              <w:bottom w:val="single" w:color="auto" w:sz="12"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631"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w:t>
            </w:r>
            <w:r>
              <w:rPr>
                <w:rFonts w:hint="eastAsia" w:ascii="Times New Roman" w:hAnsi="Times New Roman" w:eastAsia="仿宋" w:cs="Times New Roman"/>
                <w:kern w:val="0"/>
                <w:sz w:val="18"/>
                <w:szCs w:val="18"/>
              </w:rPr>
              <w:t>56</w:t>
            </w:r>
          </w:p>
        </w:tc>
        <w:tc>
          <w:tcPr>
            <w:tcW w:w="630"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w:t>
            </w:r>
            <w:r>
              <w:rPr>
                <w:rFonts w:hint="eastAsia" w:ascii="Times New Roman" w:hAnsi="Times New Roman" w:eastAsia="仿宋" w:cs="Times New Roman"/>
                <w:kern w:val="0"/>
                <w:sz w:val="18"/>
                <w:szCs w:val="18"/>
              </w:rPr>
              <w:t>02</w:t>
            </w:r>
          </w:p>
        </w:tc>
        <w:tc>
          <w:tcPr>
            <w:tcW w:w="630"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w:t>
            </w: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3</w:t>
            </w:r>
          </w:p>
        </w:tc>
        <w:tc>
          <w:tcPr>
            <w:tcW w:w="631"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5983</w:t>
            </w:r>
          </w:p>
        </w:tc>
        <w:tc>
          <w:tcPr>
            <w:tcW w:w="630"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w:t>
            </w:r>
            <w:r>
              <w:rPr>
                <w:rFonts w:hint="eastAsia" w:ascii="Times New Roman" w:hAnsi="Times New Roman" w:eastAsia="仿宋" w:cs="Times New Roman"/>
                <w:kern w:val="0"/>
                <w:sz w:val="18"/>
                <w:szCs w:val="18"/>
              </w:rPr>
              <w:t>70</w:t>
            </w:r>
          </w:p>
        </w:tc>
        <w:tc>
          <w:tcPr>
            <w:tcW w:w="631" w:type="pct"/>
            <w:tcBorders>
              <w:left w:val="single" w:color="auto" w:sz="4" w:space="0"/>
              <w:bottom w:val="single" w:color="auto" w:sz="12"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w:t>
            </w:r>
            <w:r>
              <w:rPr>
                <w:rFonts w:hint="eastAsia" w:ascii="Times New Roman" w:hAnsi="Times New Roman" w:eastAsia="仿宋" w:cs="Times New Roman"/>
                <w:kern w:val="0"/>
                <w:sz w:val="18"/>
                <w:szCs w:val="18"/>
              </w:rPr>
              <w:t>24</w:t>
            </w:r>
          </w:p>
        </w:tc>
      </w:tr>
    </w:tbl>
    <w:p>
      <w:pPr>
        <w:ind w:firstLine="300" w:firstLineChars="200"/>
        <w:rPr>
          <w:rFonts w:ascii="Times New Roman" w:hAnsi="Times New Roman" w:eastAsia="仿宋" w:cs="Times New Roman"/>
          <w:b/>
          <w:bCs/>
          <w:sz w:val="15"/>
          <w:szCs w:val="15"/>
        </w:rPr>
      </w:pPr>
      <w:r>
        <w:rPr>
          <w:rFonts w:ascii="Times New Roman" w:hAnsi="Times New Roman" w:eastAsia="仿宋" w:cs="Times New Roman"/>
          <w:sz w:val="15"/>
          <w:szCs w:val="15"/>
        </w:rPr>
        <w:t>注：</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分别表示在1%、5%和10%的显著性水平上显著，括号内为稳健标准误。</w:t>
      </w:r>
    </w:p>
    <w:p>
      <w:pPr>
        <w:pStyle w:val="3"/>
        <w:spacing w:before="0" w:after="0" w:line="480" w:lineRule="auto"/>
        <w:ind w:firstLine="422" w:firstLineChars="200"/>
        <w:rPr>
          <w:rFonts w:ascii="Times New Roman" w:hAnsi="Times New Roman" w:eastAsia="仿宋" w:cs="Times New Roman"/>
          <w:b/>
          <w:bCs/>
          <w:sz w:val="21"/>
          <w:szCs w:val="21"/>
        </w:rPr>
      </w:pPr>
      <w:bookmarkStart w:id="8" w:name="_Toc145948696"/>
      <w:r>
        <w:rPr>
          <w:rFonts w:ascii="Times New Roman" w:hAnsi="Times New Roman" w:eastAsia="仿宋" w:cs="Times New Roman"/>
          <w:b/>
          <w:bCs/>
          <w:sz w:val="21"/>
          <w:szCs w:val="21"/>
        </w:rPr>
        <w:t>5.考虑多时点双重差分法异质性处理效应</w:t>
      </w:r>
      <w:bookmarkEnd w:id="8"/>
    </w:p>
    <w:p>
      <w:pPr>
        <w:ind w:firstLine="420" w:firstLineChars="200"/>
        <w:rPr>
          <w:rFonts w:ascii="Times New Roman" w:hAnsi="Times New Roman" w:eastAsia="仿宋" w:cs="Times New Roman"/>
        </w:rPr>
      </w:pPr>
      <w:r>
        <w:rPr>
          <w:rFonts w:hint="eastAsia" w:ascii="Times New Roman" w:hAnsi="Times New Roman" w:eastAsia="仿宋" w:cs="Times New Roman"/>
        </w:rPr>
        <w:t>多时点双重差分法的平均处理效应可能会随着组别及时间发生变化，产生“异质性处理效应”导致有偏的估计（</w:t>
      </w:r>
      <w:r>
        <w:rPr>
          <w:rFonts w:ascii="Times New Roman" w:hAnsi="Times New Roman" w:eastAsia="仿宋" w:cs="Times New Roman"/>
        </w:rPr>
        <w:t>De Chaisemartin and D’ Haultfoeuille，2020</w:t>
      </w:r>
      <w:r>
        <w:rPr>
          <w:rFonts w:hint="eastAsia" w:ascii="Times New Roman" w:hAnsi="Times New Roman" w:eastAsia="仿宋" w:cs="Times New Roman"/>
        </w:rPr>
        <w:t>）。为此，本文参照</w:t>
      </w:r>
      <w:r>
        <w:rPr>
          <w:rFonts w:ascii="Times New Roman" w:hAnsi="Times New Roman" w:eastAsia="仿宋" w:cs="Times New Roman"/>
        </w:rPr>
        <w:t>De Chaisemartin and D’ Haultfoeuille（2020）的研究，将异质性处理效应引入双向固定效应模型</w:t>
      </w:r>
      <w:r>
        <w:rPr>
          <w:rFonts w:hint="eastAsia" w:ascii="Times New Roman" w:hAnsi="Times New Roman" w:eastAsia="仿宋" w:cs="Times New Roman"/>
        </w:rPr>
        <w:t>，</w:t>
      </w:r>
      <w:r>
        <w:rPr>
          <w:rFonts w:ascii="Times New Roman" w:hAnsi="Times New Roman" w:eastAsia="仿宋" w:cs="Times New Roman"/>
        </w:rPr>
        <w:t>检验基准回归模型中的总权重、正权重与负权重</w:t>
      </w:r>
      <w:r>
        <w:rPr>
          <w:rFonts w:hint="eastAsia" w:ascii="Times New Roman" w:hAnsi="Times New Roman" w:eastAsia="仿宋" w:cs="Times New Roman"/>
        </w:rPr>
        <w:t>。</w:t>
      </w:r>
      <w:r>
        <w:rPr>
          <w:rFonts w:ascii="Times New Roman" w:hAnsi="Times New Roman" w:eastAsia="仿宋" w:cs="Times New Roman"/>
        </w:rPr>
        <w:t>结果发现负权重占比仅约为10%，正权重占比约为90%</w:t>
      </w:r>
      <w:r>
        <w:rPr>
          <w:rFonts w:hint="eastAsia" w:ascii="Times New Roman" w:hAnsi="Times New Roman" w:eastAsia="仿宋" w:cs="Times New Roman"/>
        </w:rPr>
        <w:t>，一定程</w:t>
      </w:r>
      <w:r>
        <w:rPr>
          <w:rFonts w:ascii="Times New Roman" w:hAnsi="Times New Roman" w:eastAsia="仿宋" w:cs="Times New Roman"/>
        </w:rPr>
        <w:t>度上表明异质性处理效应对估计结果无实质性影响</w:t>
      </w:r>
      <w:r>
        <w:rPr>
          <w:rFonts w:hint="eastAsia" w:ascii="Times New Roman" w:hAnsi="Times New Roman" w:eastAsia="仿宋" w:cs="Times New Roman"/>
        </w:rPr>
        <w:t>。</w:t>
      </w:r>
    </w:p>
    <w:p>
      <w:pPr>
        <w:widowControl/>
        <w:jc w:val="left"/>
        <w:rPr>
          <w:rFonts w:ascii="Times New Roman" w:hAnsi="Times New Roman" w:eastAsia="楷体" w:cs="Times New Roman"/>
          <w:sz w:val="18"/>
          <w:szCs w:val="18"/>
        </w:rPr>
      </w:pPr>
      <w:r>
        <w:rPr>
          <w:rFonts w:ascii="Times New Roman" w:hAnsi="Times New Roman" w:eastAsia="楷体" w:cs="Times New Roman"/>
          <w:sz w:val="18"/>
          <w:szCs w:val="18"/>
        </w:rPr>
        <w:br w:type="page"/>
      </w:r>
    </w:p>
    <w:p>
      <w:pPr>
        <w:pStyle w:val="2"/>
        <w:spacing w:before="0" w:after="0" w:line="720" w:lineRule="auto"/>
        <w:jc w:val="center"/>
        <w:rPr>
          <w:rFonts w:hint="eastAsia" w:ascii="楷体" w:hAnsi="楷体" w:eastAsia="楷体" w:cs="楷体"/>
          <w:b w:val="0"/>
          <w:bCs w:val="0"/>
          <w:sz w:val="28"/>
          <w:szCs w:val="28"/>
        </w:rPr>
      </w:pPr>
      <w:bookmarkStart w:id="9" w:name="_Toc145948697"/>
      <w:r>
        <w:rPr>
          <w:rFonts w:hint="eastAsia" w:ascii="楷体" w:hAnsi="楷体" w:eastAsia="楷体" w:cs="楷体"/>
          <w:b w:val="0"/>
          <w:bCs w:val="0"/>
          <w:sz w:val="28"/>
          <w:szCs w:val="28"/>
        </w:rPr>
        <w:t xml:space="preserve">附录II </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rPr>
        <w:t>特高压工程异质性影响</w:t>
      </w:r>
      <w:bookmarkEnd w:id="9"/>
    </w:p>
    <w:p>
      <w:pPr>
        <w:pStyle w:val="21"/>
        <w:rPr>
          <w:rFonts w:ascii="Times New Roman" w:hAnsi="Times New Roman" w:eastAsia="楷体" w:cs="Times New Roman"/>
          <w:sz w:val="18"/>
          <w:szCs w:val="18"/>
        </w:rPr>
      </w:pPr>
      <w:r>
        <w:rPr>
          <w:rFonts w:hint="eastAsia" w:ascii="Times New Roman" w:hAnsi="Times New Roman" w:eastAsia="仿宋" w:cs="Times New Roman"/>
        </w:rPr>
        <w:t>本文进一步区分输出地及输入地，电力生产及非电力生产关联产业，以检验特高压对企业节能降耗的异质性影响。我们重点关注输出地用电及输入地发电企业，即表I</w:t>
      </w:r>
      <w:r>
        <w:rPr>
          <w:rFonts w:ascii="Times New Roman" w:hAnsi="Times New Roman" w:eastAsia="仿宋" w:cs="Times New Roman"/>
        </w:rPr>
        <w:t>I</w:t>
      </w:r>
      <w:r>
        <w:rPr>
          <w:rFonts w:hint="eastAsia" w:ascii="Times New Roman" w:hAnsi="Times New Roman" w:eastAsia="仿宋" w:cs="Times New Roman"/>
        </w:rPr>
        <w:t>1第（3）-（6）列，结果发现，特高压工程开通后，输出地非电力生产及关联企业能源消费量明显增加，这可能是因为大规模的电力外送压力挤占了本地用电，企业会使用更多的一次能源弥补电力缺口，造成总消费量升高。其次，特高压对输入地电力生产及关联企业也产生一定的节能降耗效应，这表明输入地大规模的电力进口挤出了本地发电及上游一次能源开采加工企业的市场空间，倒逼企业降低能源投入，提高产能效率。</w:t>
      </w:r>
    </w:p>
    <w:p>
      <w:pPr>
        <w:pStyle w:val="5"/>
        <w:keepNext/>
        <w:jc w:val="center"/>
        <w:rPr>
          <w:rFonts w:hint="eastAsia" w:ascii="宋体" w:hAnsi="宋体" w:eastAsia="宋体" w:cs="宋体"/>
          <w:b/>
          <w:bCs/>
          <w:sz w:val="20"/>
          <w:szCs w:val="20"/>
        </w:rPr>
      </w:pPr>
      <w:r>
        <w:rPr>
          <w:rFonts w:hint="eastAsia" w:ascii="宋体" w:hAnsi="宋体" w:eastAsia="宋体" w:cs="宋体"/>
          <w:b/>
          <w:bCs/>
          <w:sz w:val="20"/>
          <w:szCs w:val="20"/>
        </w:rPr>
        <w:t>表II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r>
        <w:rPr>
          <w:rFonts w:hint="eastAsia" w:ascii="宋体" w:hAnsi="宋体" w:eastAsia="宋体" w:cs="宋体"/>
          <w:b/>
          <w:bCs/>
          <w:sz w:val="20"/>
          <w:szCs w:val="20"/>
        </w:rPr>
        <w:t>特高压工程异质性影响</w:t>
      </w:r>
    </w:p>
    <w:tbl>
      <w:tblPr>
        <w:tblStyle w:val="1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6"/>
        <w:gridCol w:w="919"/>
        <w:gridCol w:w="919"/>
        <w:gridCol w:w="888"/>
        <w:gridCol w:w="891"/>
        <w:gridCol w:w="890"/>
        <w:gridCol w:w="890"/>
        <w:gridCol w:w="891"/>
        <w:gridCol w:w="88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vMerge w:val="restart"/>
            <w:tcBorders>
              <w:top w:val="single" w:color="auto" w:sz="12" w:space="0"/>
              <w:right w:val="single" w:color="auto" w:sz="4" w:space="0"/>
            </w:tcBorders>
            <w:shd w:val="clear" w:color="auto" w:fill="auto"/>
            <w:noWrap/>
            <w:vAlign w:val="center"/>
          </w:tcPr>
          <w:p>
            <w:pPr>
              <w:keepNext/>
              <w:widowControl/>
              <w:spacing w:line="240" w:lineRule="exact"/>
              <w:rPr>
                <w:rFonts w:ascii="Times New Roman" w:hAnsi="Times New Roman" w:eastAsia="仿宋" w:cs="Times New Roman"/>
                <w:kern w:val="0"/>
                <w:sz w:val="18"/>
                <w:szCs w:val="18"/>
              </w:rPr>
            </w:pPr>
          </w:p>
        </w:tc>
        <w:tc>
          <w:tcPr>
            <w:tcW w:w="2122" w:type="pct"/>
            <w:gridSpan w:val="4"/>
            <w:tcBorders>
              <w:top w:val="single" w:color="auto" w:sz="12" w:space="0"/>
              <w:left w:val="single" w:color="auto" w:sz="4" w:space="0"/>
              <w:bottom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输出地</w:t>
            </w:r>
          </w:p>
        </w:tc>
        <w:tc>
          <w:tcPr>
            <w:tcW w:w="2088" w:type="pct"/>
            <w:gridSpan w:val="4"/>
            <w:tcBorders>
              <w:top w:val="single" w:color="auto" w:sz="12"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输入地</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vMerge w:val="continue"/>
            <w:tcBorders>
              <w:top w:val="single" w:color="auto" w:sz="12" w:space="0"/>
              <w:right w:val="single" w:color="auto" w:sz="4" w:space="0"/>
            </w:tcBorders>
            <w:shd w:val="clear" w:color="auto" w:fill="auto"/>
            <w:noWrap/>
            <w:vAlign w:val="center"/>
          </w:tcPr>
          <w:p>
            <w:pPr>
              <w:keepNext/>
              <w:widowControl/>
              <w:spacing w:line="240" w:lineRule="exact"/>
              <w:rPr>
                <w:rFonts w:ascii="Times New Roman" w:hAnsi="Times New Roman" w:eastAsia="仿宋" w:cs="Times New Roman"/>
                <w:kern w:val="0"/>
                <w:sz w:val="18"/>
                <w:szCs w:val="18"/>
              </w:rPr>
            </w:pPr>
          </w:p>
        </w:tc>
        <w:tc>
          <w:tcPr>
            <w:tcW w:w="1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电力生产及关联产业</w:t>
            </w:r>
          </w:p>
        </w:tc>
        <w:tc>
          <w:tcPr>
            <w:tcW w:w="1044" w:type="pct"/>
            <w:gridSpan w:val="2"/>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非电力生产关联产业</w:t>
            </w:r>
          </w:p>
        </w:tc>
        <w:tc>
          <w:tcPr>
            <w:tcW w:w="1044" w:type="pct"/>
            <w:gridSpan w:val="2"/>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电力生产关联产业</w:t>
            </w:r>
          </w:p>
        </w:tc>
        <w:tc>
          <w:tcPr>
            <w:tcW w:w="1044" w:type="pct"/>
            <w:gridSpan w:val="2"/>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非电力生产关联产业</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vMerge w:val="continue"/>
            <w:tcBorders>
              <w:right w:val="single" w:color="auto" w:sz="4" w:space="0"/>
            </w:tcBorders>
            <w:shd w:val="clear" w:color="auto" w:fill="auto"/>
            <w:noWrap/>
            <w:vAlign w:val="center"/>
          </w:tcPr>
          <w:p>
            <w:pPr>
              <w:keepNext/>
              <w:widowControl/>
              <w:spacing w:line="240" w:lineRule="exact"/>
              <w:rPr>
                <w:rFonts w:ascii="Times New Roman" w:hAnsi="Times New Roman" w:eastAsia="仿宋" w:cs="Times New Roman"/>
                <w:kern w:val="0"/>
                <w:sz w:val="18"/>
                <w:szCs w:val="18"/>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52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523"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522"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c>
          <w:tcPr>
            <w:tcW w:w="522"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c>
          <w:tcPr>
            <w:tcW w:w="523"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p>
        </w:tc>
        <w:tc>
          <w:tcPr>
            <w:tcW w:w="521"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vMerge w:val="continue"/>
            <w:tcBorders>
              <w:bottom w:val="single" w:color="auto" w:sz="4" w:space="0"/>
              <w:right w:val="single" w:color="auto" w:sz="4" w:space="0"/>
            </w:tcBorders>
            <w:shd w:val="clear" w:color="auto" w:fill="auto"/>
            <w:vAlign w:val="center"/>
          </w:tcPr>
          <w:p>
            <w:pPr>
              <w:keepNext/>
              <w:widowControl/>
              <w:spacing w:line="240" w:lineRule="exact"/>
              <w:rPr>
                <w:rFonts w:ascii="Times New Roman" w:hAnsi="Times New Roman" w:eastAsia="仿宋" w:cs="Times New Roman"/>
                <w:kern w:val="0"/>
                <w:sz w:val="18"/>
                <w:szCs w:val="18"/>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c>
          <w:tcPr>
            <w:tcW w:w="521" w:type="pct"/>
            <w:tcBorders>
              <w:top w:val="single" w:color="auto" w:sz="4" w:space="0"/>
              <w:left w:val="single" w:color="auto" w:sz="4" w:space="0"/>
              <w:bottom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523"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c>
          <w:tcPr>
            <w:tcW w:w="522"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522"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c>
          <w:tcPr>
            <w:tcW w:w="523"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TC</m:t>
              </m:r>
            </m:oMath>
          </w:p>
        </w:tc>
        <w:tc>
          <w:tcPr>
            <w:tcW w:w="521" w:type="pct"/>
            <w:tcBorders>
              <w:top w:val="single" w:color="auto" w:sz="4" w:space="0"/>
              <w:left w:val="single" w:color="auto" w:sz="4" w:space="0"/>
              <w:bottom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xml:space="preserve"> </w:t>
            </w:r>
            <m:oMath>
              <m:r>
                <m:rPr/>
                <w:rPr>
                  <w:rFonts w:ascii="Cambria Math" w:hAnsi="Cambria Math" w:eastAsia="仿宋" w:cs="Times New Roman"/>
                  <w:kern w:val="0"/>
                  <w:sz w:val="18"/>
                  <w:szCs w:val="18"/>
                </w:rPr>
                <m:t>EI</m:t>
              </m:r>
            </m:oMath>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90" w:type="pct"/>
            <w:tcBorders>
              <w:top w:val="single" w:color="auto" w:sz="4" w:space="0"/>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m:oMathPara>
              <m:oMathParaPr>
                <m:jc m:val="left"/>
              </m:oMathParaPr>
              <m:oMath>
                <m:r>
                  <m:rPr/>
                  <w:rPr>
                    <w:rFonts w:ascii="Cambria Math" w:hAnsi="Cambria Math" w:eastAsia="仿宋" w:cs="Times New Roman"/>
                    <w:kern w:val="0"/>
                    <w:sz w:val="18"/>
                    <w:szCs w:val="18"/>
                  </w:rPr>
                  <m:t>UHV</m:t>
                </m:r>
              </m:oMath>
            </m:oMathPara>
          </w:p>
        </w:tc>
        <w:tc>
          <w:tcPr>
            <w:tcW w:w="539" w:type="pct"/>
            <w:tcBorders>
              <w:top w:val="single" w:color="auto" w:sz="4" w:space="0"/>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vertAlign w:val="superscript"/>
              </w:rPr>
            </w:pPr>
            <w:r>
              <w:rPr>
                <w:rFonts w:hint="eastAsia" w:ascii="Times New Roman" w:hAnsi="Times New Roman" w:eastAsia="仿宋" w:cs="Times New Roman"/>
                <w:kern w:val="0"/>
                <w:sz w:val="18"/>
                <w:szCs w:val="18"/>
              </w:rPr>
              <w:t>-0.195</w:t>
            </w:r>
            <w:r>
              <w:rPr>
                <w:rFonts w:ascii="Times New Roman" w:hAnsi="Times New Roman" w:eastAsia="仿宋" w:cs="Times New Roman"/>
                <w:kern w:val="0"/>
                <w:sz w:val="18"/>
                <w:szCs w:val="18"/>
                <w:vertAlign w:val="superscript"/>
              </w:rPr>
              <w:t>*</w:t>
            </w:r>
          </w:p>
          <w:p>
            <w:pPr>
              <w:keepNext/>
              <w:spacing w:line="240" w:lineRule="exact"/>
              <w:jc w:val="center"/>
              <w:rPr>
                <w:rFonts w:ascii="Times New Roman" w:hAnsi="Times New Roman" w:eastAsia="仿宋" w:cs="Times New Roman"/>
                <w:kern w:val="0"/>
                <w:sz w:val="18"/>
                <w:szCs w:val="18"/>
                <w:vertAlign w:val="superscript"/>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115</w:t>
            </w:r>
            <w:r>
              <w:rPr>
                <w:rFonts w:ascii="Times New Roman" w:hAnsi="Times New Roman" w:eastAsia="仿宋" w:cs="Times New Roman"/>
                <w:kern w:val="0"/>
                <w:sz w:val="18"/>
                <w:szCs w:val="18"/>
              </w:rPr>
              <w:t>)</w:t>
            </w:r>
          </w:p>
        </w:tc>
        <w:tc>
          <w:tcPr>
            <w:tcW w:w="539" w:type="pct"/>
            <w:tcBorders>
              <w:top w:val="single" w:color="auto" w:sz="4" w:space="0"/>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348</w:t>
            </w:r>
            <w:r>
              <w:rPr>
                <w:rFonts w:ascii="Times New Roman" w:hAnsi="Times New Roman" w:eastAsia="仿宋" w:cs="Times New Roman"/>
                <w:kern w:val="0"/>
                <w:sz w:val="18"/>
                <w:szCs w:val="18"/>
                <w:vertAlign w:val="superscript"/>
              </w:rPr>
              <w:t>***</w:t>
            </w:r>
          </w:p>
          <w:p>
            <w:pPr>
              <w:keepNext/>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118</w:t>
            </w:r>
            <w:r>
              <w:rPr>
                <w:rFonts w:ascii="Times New Roman" w:hAnsi="Times New Roman" w:eastAsia="仿宋" w:cs="Times New Roman"/>
                <w:kern w:val="0"/>
                <w:sz w:val="18"/>
                <w:szCs w:val="18"/>
              </w:rPr>
              <w:t>)</w:t>
            </w:r>
          </w:p>
        </w:tc>
        <w:tc>
          <w:tcPr>
            <w:tcW w:w="521" w:type="pct"/>
            <w:tcBorders>
              <w:top w:val="single" w:color="auto" w:sz="4" w:space="0"/>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vertAlign w:val="superscript"/>
              </w:rPr>
            </w:pPr>
            <w:r>
              <w:rPr>
                <w:rFonts w:hint="eastAsia" w:ascii="Times New Roman" w:hAnsi="Times New Roman" w:eastAsia="仿宋" w:cs="Times New Roman"/>
                <w:kern w:val="0"/>
                <w:sz w:val="18"/>
                <w:szCs w:val="18"/>
              </w:rPr>
              <w:t>0.106</w:t>
            </w:r>
            <w:r>
              <w:rPr>
                <w:rFonts w:ascii="Times New Roman" w:hAnsi="Times New Roman" w:eastAsia="仿宋" w:cs="Times New Roman"/>
                <w:kern w:val="0"/>
                <w:sz w:val="18"/>
                <w:szCs w:val="18"/>
                <w:vertAlign w:val="superscript"/>
              </w:rPr>
              <w:t>***</w:t>
            </w:r>
          </w:p>
          <w:p>
            <w:pPr>
              <w:keepNext/>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33</w:t>
            </w:r>
            <w:r>
              <w:rPr>
                <w:rFonts w:ascii="Times New Roman" w:hAnsi="Times New Roman" w:eastAsia="仿宋" w:cs="Times New Roman"/>
                <w:kern w:val="0"/>
                <w:sz w:val="18"/>
                <w:szCs w:val="18"/>
              </w:rPr>
              <w:t>)</w:t>
            </w:r>
          </w:p>
        </w:tc>
        <w:tc>
          <w:tcPr>
            <w:tcW w:w="523" w:type="pct"/>
            <w:tcBorders>
              <w:top w:val="single" w:color="auto" w:sz="4" w:space="0"/>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004</w:t>
            </w:r>
          </w:p>
          <w:p>
            <w:pPr>
              <w:keepNext/>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35</w:t>
            </w:r>
            <w:r>
              <w:rPr>
                <w:rFonts w:ascii="Times New Roman" w:hAnsi="Times New Roman" w:eastAsia="仿宋" w:cs="Times New Roman"/>
                <w:kern w:val="0"/>
                <w:sz w:val="18"/>
                <w:szCs w:val="18"/>
              </w:rPr>
              <w:t>)</w:t>
            </w:r>
          </w:p>
        </w:tc>
        <w:tc>
          <w:tcPr>
            <w:tcW w:w="522" w:type="pct"/>
            <w:tcBorders>
              <w:top w:val="single" w:color="auto" w:sz="4" w:space="0"/>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vertAlign w:val="superscript"/>
              </w:rPr>
            </w:pPr>
            <w:r>
              <w:rPr>
                <w:rFonts w:hint="eastAsia" w:ascii="Times New Roman" w:hAnsi="Times New Roman" w:eastAsia="仿宋" w:cs="Times New Roman"/>
                <w:kern w:val="0"/>
                <w:sz w:val="18"/>
                <w:szCs w:val="18"/>
              </w:rPr>
              <w:t>-0.149</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w:t>
            </w:r>
            <w:r>
              <w:rPr>
                <w:rFonts w:hint="eastAsia" w:ascii="Times New Roman" w:hAnsi="Times New Roman" w:eastAsia="仿宋" w:cs="Times New Roman"/>
                <w:kern w:val="0"/>
                <w:sz w:val="18"/>
                <w:szCs w:val="18"/>
              </w:rPr>
              <w:t>88</w:t>
            </w:r>
            <w:r>
              <w:rPr>
                <w:rFonts w:ascii="Times New Roman" w:hAnsi="Times New Roman" w:eastAsia="仿宋" w:cs="Times New Roman"/>
                <w:kern w:val="0"/>
                <w:sz w:val="18"/>
                <w:szCs w:val="18"/>
              </w:rPr>
              <w:t>)</w:t>
            </w:r>
          </w:p>
        </w:tc>
        <w:tc>
          <w:tcPr>
            <w:tcW w:w="522" w:type="pct"/>
            <w:tcBorders>
              <w:top w:val="single" w:color="auto" w:sz="4" w:space="0"/>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229</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92</w:t>
            </w:r>
            <w:r>
              <w:rPr>
                <w:rFonts w:ascii="Times New Roman" w:hAnsi="Times New Roman" w:eastAsia="仿宋" w:cs="Times New Roman"/>
                <w:kern w:val="0"/>
                <w:sz w:val="18"/>
                <w:szCs w:val="18"/>
              </w:rPr>
              <w:t>)</w:t>
            </w:r>
          </w:p>
        </w:tc>
        <w:tc>
          <w:tcPr>
            <w:tcW w:w="523" w:type="pct"/>
            <w:tcBorders>
              <w:top w:val="single" w:color="auto" w:sz="4" w:space="0"/>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072</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010</w:t>
            </w:r>
            <w:r>
              <w:rPr>
                <w:rFonts w:ascii="Times New Roman" w:hAnsi="Times New Roman" w:eastAsia="仿宋" w:cs="Times New Roman"/>
                <w:kern w:val="0"/>
                <w:sz w:val="18"/>
                <w:szCs w:val="18"/>
              </w:rPr>
              <w:t>)</w:t>
            </w:r>
          </w:p>
        </w:tc>
        <w:tc>
          <w:tcPr>
            <w:tcW w:w="521" w:type="pct"/>
            <w:tcBorders>
              <w:top w:val="single" w:color="auto" w:sz="4" w:space="0"/>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096</w:t>
            </w:r>
            <w:r>
              <w:rPr>
                <w:rFonts w:ascii="Times New Roman" w:hAnsi="Times New Roman" w:eastAsia="仿宋" w:cs="Times New Roman"/>
                <w:kern w:val="0"/>
                <w:sz w:val="18"/>
                <w:szCs w:val="18"/>
                <w:vertAlign w:val="superscript"/>
              </w:rPr>
              <w:t>***</w:t>
            </w:r>
          </w:p>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011</w:t>
            </w:r>
            <w:r>
              <w:rPr>
                <w:rFonts w:ascii="Times New Roman" w:hAnsi="Times New Roman" w:eastAsia="仿宋"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控制变量</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时间固定效应</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省份时间趋势</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2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tcBorders>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4011</w:t>
            </w:r>
          </w:p>
        </w:tc>
        <w:tc>
          <w:tcPr>
            <w:tcW w:w="539" w:type="pct"/>
            <w:tcBorders>
              <w:left w:val="single" w:color="auto" w:sz="4"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4011</w:t>
            </w:r>
          </w:p>
        </w:tc>
        <w:tc>
          <w:tcPr>
            <w:tcW w:w="521" w:type="pct"/>
            <w:tcBorders>
              <w:left w:val="single" w:color="auto" w:sz="4"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32955</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32955</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7680</w:t>
            </w:r>
          </w:p>
        </w:tc>
        <w:tc>
          <w:tcPr>
            <w:tcW w:w="522"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7680</w:t>
            </w:r>
          </w:p>
        </w:tc>
        <w:tc>
          <w:tcPr>
            <w:tcW w:w="523"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242596</w:t>
            </w:r>
          </w:p>
        </w:tc>
        <w:tc>
          <w:tcPr>
            <w:tcW w:w="521" w:type="pct"/>
            <w:tcBorders>
              <w:lef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242596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90" w:type="pct"/>
            <w:tcBorders>
              <w:bottom w:val="single" w:color="auto" w:sz="12" w:space="0"/>
              <w:right w:val="single" w:color="auto" w:sz="4" w:space="0"/>
            </w:tcBorders>
            <w:shd w:val="clear" w:color="auto" w:fill="auto"/>
            <w:noWrap/>
            <w:vAlign w:val="center"/>
          </w:tcPr>
          <w:p>
            <w:pPr>
              <w:keepNext/>
              <w:widowControl/>
              <w:spacing w:line="240" w:lineRule="exact"/>
              <w:jc w:val="left"/>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539" w:type="pct"/>
            <w:tcBorders>
              <w:left w:val="single" w:color="auto" w:sz="4" w:space="0"/>
              <w:bottom w:val="single" w:color="auto" w:sz="12"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w:t>
            </w:r>
            <w:r>
              <w:rPr>
                <w:rFonts w:hint="eastAsia" w:ascii="Times New Roman" w:hAnsi="Times New Roman" w:eastAsia="仿宋" w:cs="Times New Roman"/>
                <w:kern w:val="0"/>
                <w:sz w:val="18"/>
                <w:szCs w:val="18"/>
              </w:rPr>
              <w:t>52</w:t>
            </w:r>
          </w:p>
        </w:tc>
        <w:tc>
          <w:tcPr>
            <w:tcW w:w="539" w:type="pct"/>
            <w:tcBorders>
              <w:left w:val="single" w:color="auto" w:sz="4" w:space="0"/>
              <w:bottom w:val="single" w:color="auto" w:sz="12" w:space="0"/>
              <w:right w:val="single" w:color="auto" w:sz="4" w:space="0"/>
            </w:tcBorders>
            <w:shd w:val="clear" w:color="auto" w:fill="auto"/>
            <w:noWrap/>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620</w:t>
            </w:r>
          </w:p>
        </w:tc>
        <w:tc>
          <w:tcPr>
            <w:tcW w:w="521" w:type="pct"/>
            <w:tcBorders>
              <w:left w:val="single" w:color="auto" w:sz="4" w:space="0"/>
              <w:bottom w:val="single" w:color="auto" w:sz="12" w:space="0"/>
              <w:right w:val="single" w:color="auto" w:sz="4"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812</w:t>
            </w:r>
          </w:p>
        </w:tc>
        <w:tc>
          <w:tcPr>
            <w:tcW w:w="523" w:type="pct"/>
            <w:tcBorders>
              <w:left w:val="single" w:color="auto" w:sz="4" w:space="0"/>
              <w:bottom w:val="single" w:color="auto" w:sz="12"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649</w:t>
            </w:r>
          </w:p>
        </w:tc>
        <w:tc>
          <w:tcPr>
            <w:tcW w:w="522" w:type="pct"/>
            <w:tcBorders>
              <w:left w:val="single" w:color="auto" w:sz="4" w:space="0"/>
              <w:bottom w:val="single" w:color="auto" w:sz="12"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814</w:t>
            </w:r>
          </w:p>
        </w:tc>
        <w:tc>
          <w:tcPr>
            <w:tcW w:w="522" w:type="pct"/>
            <w:tcBorders>
              <w:left w:val="single" w:color="auto" w:sz="4" w:space="0"/>
              <w:bottom w:val="single" w:color="auto" w:sz="12"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729</w:t>
            </w:r>
          </w:p>
        </w:tc>
        <w:tc>
          <w:tcPr>
            <w:tcW w:w="523" w:type="pct"/>
            <w:tcBorders>
              <w:left w:val="single" w:color="auto" w:sz="4" w:space="0"/>
              <w:bottom w:val="single" w:color="auto" w:sz="12"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727</w:t>
            </w:r>
          </w:p>
        </w:tc>
        <w:tc>
          <w:tcPr>
            <w:tcW w:w="521" w:type="pct"/>
            <w:tcBorders>
              <w:left w:val="single" w:color="auto" w:sz="4" w:space="0"/>
              <w:bottom w:val="single" w:color="auto" w:sz="12" w:space="0"/>
            </w:tcBorders>
            <w:vAlign w:val="center"/>
          </w:tcPr>
          <w:p>
            <w:pPr>
              <w:keepNext/>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r>
              <w:rPr>
                <w:rFonts w:hint="eastAsia" w:ascii="Times New Roman" w:hAnsi="Times New Roman" w:eastAsia="仿宋" w:cs="Times New Roman"/>
                <w:kern w:val="0"/>
                <w:sz w:val="18"/>
                <w:szCs w:val="18"/>
              </w:rPr>
              <w:t>563</w:t>
            </w:r>
          </w:p>
        </w:tc>
      </w:tr>
    </w:tbl>
    <w:p>
      <w:pPr>
        <w:ind w:firstLine="300" w:firstLineChars="200"/>
        <w:rPr>
          <w:rFonts w:ascii="Times New Roman" w:hAnsi="Times New Roman" w:eastAsia="仿宋" w:cs="Times New Roman"/>
          <w:sz w:val="15"/>
          <w:szCs w:val="15"/>
        </w:rPr>
      </w:pPr>
      <w:r>
        <w:rPr>
          <w:rFonts w:ascii="Times New Roman" w:hAnsi="Times New Roman" w:eastAsia="仿宋" w:cs="Times New Roman"/>
          <w:sz w:val="15"/>
          <w:szCs w:val="15"/>
        </w:rPr>
        <w:t>注：</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分别表示在1%、5%和10%的显著性水平上显著，括号内为稳健标准误。</w:t>
      </w:r>
    </w:p>
    <w:p>
      <w:pPr>
        <w:widowControl/>
        <w:jc w:val="left"/>
        <w:rPr>
          <w:rFonts w:ascii="Times New Roman" w:hAnsi="Times New Roman" w:eastAsia="仿宋" w:cs="Times New Roman"/>
          <w:sz w:val="15"/>
          <w:szCs w:val="15"/>
        </w:rPr>
      </w:pPr>
      <w:r>
        <w:rPr>
          <w:rFonts w:ascii="Times New Roman" w:hAnsi="Times New Roman" w:eastAsia="仿宋" w:cs="Times New Roman"/>
          <w:sz w:val="15"/>
          <w:szCs w:val="15"/>
        </w:rPr>
        <w:br w:type="page"/>
      </w:r>
    </w:p>
    <w:p>
      <w:pPr>
        <w:pStyle w:val="2"/>
        <w:spacing w:before="0" w:after="0" w:line="720" w:lineRule="auto"/>
        <w:jc w:val="center"/>
        <w:rPr>
          <w:rFonts w:hint="eastAsia" w:ascii="楷体" w:hAnsi="楷体" w:eastAsia="楷体" w:cs="楷体"/>
          <w:b w:val="0"/>
          <w:bCs w:val="0"/>
          <w:sz w:val="28"/>
          <w:szCs w:val="28"/>
        </w:rPr>
      </w:pPr>
      <w:bookmarkStart w:id="10" w:name="_Toc145948698"/>
      <w:r>
        <w:rPr>
          <w:rFonts w:hint="eastAsia" w:ascii="楷体" w:hAnsi="楷体" w:eastAsia="楷体" w:cs="楷体"/>
          <w:b w:val="0"/>
          <w:bCs w:val="0"/>
          <w:sz w:val="28"/>
          <w:szCs w:val="28"/>
        </w:rPr>
        <w:t xml:space="preserve">附录III </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rPr>
        <w:t>特高压工程影响输入地电价、电力可靠性的结果</w:t>
      </w:r>
      <w:bookmarkEnd w:id="10"/>
    </w:p>
    <w:p>
      <w:pPr>
        <w:pStyle w:val="5"/>
        <w:keepNext/>
        <w:jc w:val="center"/>
        <w:rPr>
          <w:rFonts w:hint="eastAsia" w:ascii="宋体" w:hAnsi="宋体" w:eastAsia="宋体" w:cs="宋体"/>
          <w:b/>
          <w:bCs/>
          <w:sz w:val="20"/>
          <w:szCs w:val="20"/>
        </w:rPr>
      </w:pPr>
      <w:r>
        <w:rPr>
          <w:rFonts w:hint="eastAsia" w:ascii="宋体" w:hAnsi="宋体" w:eastAsia="宋体" w:cs="宋体"/>
          <w:b/>
          <w:bCs/>
          <w:sz w:val="20"/>
          <w:szCs w:val="20"/>
        </w:rPr>
        <w:t>表III</w:t>
      </w:r>
      <w:r>
        <w:rPr>
          <w:rFonts w:hint="eastAsia" w:ascii="宋体" w:hAnsi="宋体" w:eastAsia="宋体" w:cs="宋体"/>
          <w:b/>
          <w:bCs/>
          <w:sz w:val="20"/>
          <w:szCs w:val="20"/>
        </w:rPr>
        <w:fldChar w:fldCharType="begin"/>
      </w:r>
      <w:r>
        <w:rPr>
          <w:rFonts w:hint="eastAsia" w:ascii="宋体" w:hAnsi="宋体" w:eastAsia="宋体" w:cs="宋体"/>
          <w:b/>
          <w:bCs/>
          <w:sz w:val="20"/>
          <w:szCs w:val="20"/>
        </w:rPr>
        <w:instrText xml:space="preserve"> SEQ 表III \* ARABIC </w:instrText>
      </w:r>
      <w:r>
        <w:rPr>
          <w:rFonts w:hint="eastAsia" w:ascii="宋体" w:hAnsi="宋体" w:eastAsia="宋体" w:cs="宋体"/>
          <w:b/>
          <w:bCs/>
          <w:sz w:val="20"/>
          <w:szCs w:val="20"/>
        </w:rPr>
        <w:fldChar w:fldCharType="separate"/>
      </w:r>
      <w:r>
        <w:rPr>
          <w:rFonts w:hint="eastAsia" w:ascii="宋体" w:hAnsi="宋体" w:eastAsia="宋体" w:cs="宋体"/>
          <w:b/>
          <w:bCs/>
          <w:sz w:val="20"/>
          <w:szCs w:val="20"/>
        </w:rPr>
        <w:t>1</w:t>
      </w:r>
      <w:r>
        <w:rPr>
          <w:rFonts w:hint="eastAsia" w:ascii="宋体" w:hAnsi="宋体" w:eastAsia="宋体" w:cs="宋体"/>
          <w:b/>
          <w:bCs/>
          <w:sz w:val="20"/>
          <w:szCs w:val="20"/>
        </w:rPr>
        <w:fldChar w:fldCharType="end"/>
      </w:r>
      <w:r>
        <w:rPr>
          <w:rFonts w:hint="eastAsia" w:ascii="宋体" w:hAnsi="宋体" w:eastAsia="宋体" w:cs="宋体"/>
          <w:b/>
          <w:bCs/>
          <w:sz w:val="20"/>
          <w:szCs w:val="20"/>
        </w:rPr>
        <w:t>特高压对输入地电价、电力可靠性影响效果</w:t>
      </w:r>
    </w:p>
    <w:tbl>
      <w:tblPr>
        <w:tblStyle w:val="1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7"/>
        <w:gridCol w:w="2217"/>
        <w:gridCol w:w="2205"/>
        <w:gridCol w:w="226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vMerge w:val="restart"/>
            <w:tcBorders>
              <w:top w:val="single" w:color="auto" w:sz="12" w:space="0"/>
              <w:right w:val="single" w:color="auto" w:sz="4" w:space="0"/>
            </w:tcBorders>
            <w:shd w:val="clear" w:color="auto" w:fill="auto"/>
            <w:vAlign w:val="center"/>
          </w:tcPr>
          <w:p>
            <w:pPr>
              <w:widowControl/>
              <w:spacing w:line="240" w:lineRule="exact"/>
              <w:rPr>
                <w:rFonts w:ascii="Times New Roman" w:hAnsi="Times New Roman" w:eastAsia="仿宋" w:cs="Times New Roman"/>
                <w:kern w:val="0"/>
                <w:sz w:val="18"/>
                <w:szCs w:val="18"/>
              </w:rPr>
            </w:pPr>
          </w:p>
        </w:tc>
        <w:tc>
          <w:tcPr>
            <w:tcW w:w="1301"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电价</w:t>
            </w:r>
          </w:p>
        </w:tc>
        <w:tc>
          <w:tcPr>
            <w:tcW w:w="2621" w:type="pct"/>
            <w:gridSpan w:val="2"/>
            <w:tcBorders>
              <w:top w:val="single" w:color="auto" w:sz="12" w:space="0"/>
              <w:left w:val="single" w:color="auto" w:sz="4" w:space="0"/>
              <w:bottom w:val="single" w:color="auto" w:sz="4" w:space="0"/>
              <w:right w:val="nil"/>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电力可靠性</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vMerge w:val="continue"/>
            <w:tcBorders>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Times New Roman"/>
                <w:kern w:val="0"/>
                <w:sz w:val="18"/>
                <w:szCs w:val="18"/>
              </w:rPr>
            </w:pPr>
          </w:p>
        </w:tc>
        <w:tc>
          <w:tcPr>
            <w:tcW w:w="1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平均销售电价</w:t>
            </w:r>
          </w:p>
        </w:tc>
        <w:tc>
          <w:tcPr>
            <w:tcW w:w="12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平均停电时间</w:t>
            </w:r>
          </w:p>
        </w:tc>
        <w:tc>
          <w:tcPr>
            <w:tcW w:w="1327" w:type="pct"/>
            <w:tcBorders>
              <w:top w:val="single" w:color="auto" w:sz="4" w:space="0"/>
              <w:left w:val="single" w:color="auto" w:sz="4" w:space="0"/>
              <w:bottom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平均限电时间</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78" w:type="pct"/>
            <w:tcBorders>
              <w:top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m:oMathPara>
              <m:oMathParaPr>
                <m:jc m:val="left"/>
              </m:oMathParaPr>
              <m:oMath>
                <m:r>
                  <m:rPr/>
                  <w:rPr>
                    <w:rFonts w:ascii="Cambria Math" w:hAnsi="Cambria Math" w:eastAsia="仿宋" w:cs="Times New Roman"/>
                    <w:kern w:val="0"/>
                    <w:sz w:val="18"/>
                    <w:szCs w:val="18"/>
                  </w:rPr>
                  <m:t>UHV</m:t>
                </m:r>
              </m:oMath>
            </m:oMathPara>
          </w:p>
        </w:tc>
        <w:tc>
          <w:tcPr>
            <w:tcW w:w="1301" w:type="pc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vertAlign w:val="superscript"/>
              </w:rPr>
            </w:pPr>
            <w:r>
              <w:rPr>
                <w:rFonts w:ascii="Times New Roman" w:hAnsi="Times New Roman" w:eastAsia="仿宋" w:cs="Times New Roman"/>
                <w:kern w:val="0"/>
                <w:sz w:val="18"/>
                <w:szCs w:val="18"/>
              </w:rPr>
              <w:t>-0.040</w:t>
            </w:r>
            <w:r>
              <w:rPr>
                <w:rFonts w:ascii="Times New Roman" w:hAnsi="Times New Roman" w:eastAsia="仿宋" w:cs="Times New Roman"/>
                <w:kern w:val="0"/>
                <w:sz w:val="18"/>
                <w:szCs w:val="18"/>
                <w:vertAlign w:val="superscript"/>
              </w:rPr>
              <w:t>***</w:t>
            </w:r>
          </w:p>
          <w:p>
            <w:pPr>
              <w:spacing w:line="240" w:lineRule="exact"/>
              <w:jc w:val="center"/>
              <w:rPr>
                <w:rFonts w:ascii="Times New Roman" w:hAnsi="Times New Roman" w:eastAsia="仿宋" w:cs="Times New Roman"/>
                <w:kern w:val="0"/>
                <w:sz w:val="18"/>
                <w:szCs w:val="18"/>
                <w:vertAlign w:val="superscript"/>
              </w:rPr>
            </w:pPr>
            <w:r>
              <w:rPr>
                <w:rFonts w:ascii="Times New Roman" w:hAnsi="Times New Roman" w:eastAsia="仿宋" w:cs="Times New Roman"/>
                <w:kern w:val="0"/>
                <w:sz w:val="18"/>
                <w:szCs w:val="18"/>
              </w:rPr>
              <w:t>(0.016)</w:t>
            </w:r>
          </w:p>
        </w:tc>
        <w:tc>
          <w:tcPr>
            <w:tcW w:w="1294" w:type="pc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-0.225</w:t>
            </w:r>
            <w:r>
              <w:rPr>
                <w:rFonts w:ascii="Times New Roman" w:hAnsi="Times New Roman" w:eastAsia="仿宋" w:cs="Times New Roman"/>
                <w:kern w:val="0"/>
                <w:sz w:val="18"/>
                <w:szCs w:val="18"/>
                <w:vertAlign w:val="superscript"/>
              </w:rPr>
              <w:t>**</w:t>
            </w:r>
          </w:p>
          <w:p>
            <w:pPr>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(0.113)</w:t>
            </w:r>
          </w:p>
        </w:tc>
        <w:tc>
          <w:tcPr>
            <w:tcW w:w="1327" w:type="pct"/>
            <w:tcBorders>
              <w:top w:val="single" w:color="auto" w:sz="4" w:space="0"/>
              <w:left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-0.587</w:t>
            </w:r>
            <w:r>
              <w:rPr>
                <w:rFonts w:ascii="Times New Roman" w:hAnsi="Times New Roman" w:eastAsia="仿宋" w:cs="Times New Roman"/>
                <w:kern w:val="0"/>
                <w:sz w:val="18"/>
                <w:szCs w:val="18"/>
                <w:vertAlign w:val="superscript"/>
              </w:rPr>
              <w:t>***</w:t>
            </w:r>
          </w:p>
          <w:p>
            <w:pPr>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(0.221)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tcBorders>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控制变量</w:t>
            </w:r>
          </w:p>
        </w:tc>
        <w:tc>
          <w:tcPr>
            <w:tcW w:w="1301"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94"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327" w:type="pct"/>
            <w:tcBorders>
              <w:left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tcBorders>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省份固定效应</w:t>
            </w:r>
          </w:p>
        </w:tc>
        <w:tc>
          <w:tcPr>
            <w:tcW w:w="1301"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94"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327" w:type="pct"/>
            <w:tcBorders>
              <w:left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tcBorders>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时间固定效应</w:t>
            </w:r>
          </w:p>
        </w:tc>
        <w:tc>
          <w:tcPr>
            <w:tcW w:w="1301"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94"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327" w:type="pct"/>
            <w:tcBorders>
              <w:left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tcBorders>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省份时间趋势</w:t>
            </w:r>
          </w:p>
        </w:tc>
        <w:tc>
          <w:tcPr>
            <w:tcW w:w="1301"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94"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327" w:type="pct"/>
            <w:tcBorders>
              <w:left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tcBorders>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观测值</w:t>
            </w:r>
          </w:p>
        </w:tc>
        <w:tc>
          <w:tcPr>
            <w:tcW w:w="1301"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117</w:t>
            </w:r>
          </w:p>
        </w:tc>
        <w:tc>
          <w:tcPr>
            <w:tcW w:w="1294" w:type="pct"/>
            <w:tcBorders>
              <w:left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117</w:t>
            </w:r>
          </w:p>
        </w:tc>
        <w:tc>
          <w:tcPr>
            <w:tcW w:w="1327" w:type="pct"/>
            <w:tcBorders>
              <w:left w:val="single" w:color="auto" w:sz="4"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078" w:type="pct"/>
            <w:tcBorders>
              <w:bottom w:val="single" w:color="auto" w:sz="12" w:space="0"/>
              <w:right w:val="single" w:color="auto" w:sz="4" w:space="0"/>
            </w:tcBorders>
            <w:shd w:val="clear" w:color="auto" w:fill="auto"/>
            <w:noWrap/>
            <w:vAlign w:val="center"/>
          </w:tcPr>
          <w:p>
            <w:pPr>
              <w:widowControl/>
              <w:spacing w:line="240" w:lineRule="exact"/>
              <w:jc w:val="left"/>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1301" w:type="pct"/>
            <w:tcBorders>
              <w:left w:val="single" w:color="auto" w:sz="4" w:space="0"/>
              <w:bottom w:val="single" w:color="auto" w:sz="12"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0.902</w:t>
            </w:r>
          </w:p>
        </w:tc>
        <w:tc>
          <w:tcPr>
            <w:tcW w:w="1294" w:type="pct"/>
            <w:tcBorders>
              <w:left w:val="single" w:color="auto" w:sz="4" w:space="0"/>
              <w:bottom w:val="single" w:color="auto" w:sz="12" w:space="0"/>
              <w:right w:val="single" w:color="auto" w:sz="4" w:space="0"/>
            </w:tcBorders>
            <w:shd w:val="clear" w:color="auto" w:fill="auto"/>
            <w:noWrap/>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0.814</w:t>
            </w:r>
          </w:p>
        </w:tc>
        <w:tc>
          <w:tcPr>
            <w:tcW w:w="1327" w:type="pct"/>
            <w:tcBorders>
              <w:left w:val="single" w:color="auto" w:sz="4" w:space="0"/>
              <w:bottom w:val="single" w:color="auto" w:sz="12" w:space="0"/>
              <w:right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0.294</w:t>
            </w:r>
          </w:p>
        </w:tc>
      </w:tr>
    </w:tbl>
    <w:p>
      <w:pPr>
        <w:ind w:firstLine="300" w:firstLineChars="200"/>
        <w:rPr>
          <w:rFonts w:ascii="Times New Roman" w:hAnsi="Times New Roman" w:eastAsia="仿宋" w:cs="Times New Roman"/>
          <w:kern w:val="0"/>
          <w:sz w:val="15"/>
          <w:szCs w:val="15"/>
        </w:rPr>
      </w:pPr>
      <w:r>
        <w:rPr>
          <w:rFonts w:ascii="Times New Roman" w:hAnsi="Times New Roman" w:eastAsia="仿宋" w:cs="Times New Roman"/>
          <w:sz w:val="15"/>
          <w:szCs w:val="15"/>
        </w:rPr>
        <w:t>注：</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 </w:t>
      </w:r>
      <w:r>
        <w:rPr>
          <w:rFonts w:ascii="Times New Roman" w:hAnsi="Times New Roman" w:eastAsia="仿宋" w:cs="Times New Roman"/>
          <w:kern w:val="0"/>
          <w:sz w:val="15"/>
          <w:szCs w:val="15"/>
          <w:vertAlign w:val="superscript"/>
        </w:rPr>
        <w:t>*</w:t>
      </w:r>
      <w:r>
        <w:rPr>
          <w:rFonts w:ascii="Times New Roman" w:hAnsi="Times New Roman" w:eastAsia="仿宋" w:cs="Times New Roman"/>
          <w:sz w:val="15"/>
          <w:szCs w:val="15"/>
        </w:rPr>
        <w:t xml:space="preserve"> 分别表示在1%、5%和10%的显著性水平上显著，括号内为稳健标准误</w:t>
      </w:r>
      <w:r>
        <w:rPr>
          <w:rFonts w:hint="eastAsia" w:ascii="Times New Roman" w:hAnsi="Times New Roman" w:eastAsia="仿宋" w:cs="Times New Roman"/>
          <w:sz w:val="15"/>
          <w:szCs w:val="15"/>
        </w:rPr>
        <w:t>。</w:t>
      </w:r>
      <w:r>
        <w:rPr>
          <w:rFonts w:ascii="Times New Roman" w:hAnsi="Times New Roman" w:eastAsia="仿宋" w:cs="Times New Roman"/>
          <w:kern w:val="0"/>
          <w:sz w:val="15"/>
          <w:szCs w:val="15"/>
        </w:rPr>
        <w:t>控制变量包括：地区生产总值，以各省份地区生产总值的自然对数测度；地区人口数，以各省份年底总人口的自然对数测度；</w:t>
      </w:r>
      <w:r>
        <w:rPr>
          <w:rFonts w:hint="eastAsia" w:ascii="Times New Roman" w:hAnsi="Times New Roman" w:eastAsia="仿宋" w:cs="Times New Roman"/>
          <w:kern w:val="0"/>
          <w:sz w:val="15"/>
          <w:szCs w:val="15"/>
        </w:rPr>
        <w:t>产业结构，以第二产业增加值占地区生产总值的比重测度；</w:t>
      </w:r>
      <w:r>
        <w:rPr>
          <w:rFonts w:ascii="Times New Roman" w:hAnsi="Times New Roman" w:eastAsia="仿宋" w:cs="Times New Roman"/>
          <w:kern w:val="0"/>
          <w:sz w:val="15"/>
          <w:szCs w:val="15"/>
        </w:rPr>
        <w:t>地区创新水平，使用各省份专利申请数量的自然对数衡量；市场化水平，使用各省份樊纲市场化指数得分测度；</w:t>
      </w:r>
      <w:r>
        <w:rPr>
          <w:rFonts w:hint="eastAsia" w:ascii="Times New Roman" w:hAnsi="Times New Roman" w:eastAsia="仿宋" w:cs="Times New Roman"/>
          <w:kern w:val="0"/>
          <w:sz w:val="15"/>
          <w:szCs w:val="15"/>
        </w:rPr>
        <w:t>环境执法强度，以省份环境执法案件取对数测度；煤炭调入，以省份接收外省煤炭调入量的自然对数测度；能源消费，使用省份能源消费总量的自然对数测度。</w:t>
      </w:r>
    </w:p>
    <w:p>
      <w:pPr>
        <w:ind w:firstLine="300" w:firstLineChars="200"/>
        <w:rPr>
          <w:rFonts w:ascii="Times New Roman" w:hAnsi="Times New Roman" w:eastAsia="仿宋" w:cs="Times New Roman"/>
          <w:kern w:val="0"/>
          <w:sz w:val="15"/>
          <w:szCs w:val="15"/>
        </w:rPr>
      </w:pPr>
    </w:p>
    <w:p>
      <w:pPr>
        <w:ind w:firstLine="300" w:firstLineChars="200"/>
        <w:rPr>
          <w:rFonts w:ascii="Times New Roman" w:hAnsi="Times New Roman" w:eastAsia="仿宋" w:cs="Times New Roman"/>
          <w:kern w:val="0"/>
          <w:sz w:val="15"/>
          <w:szCs w:val="15"/>
        </w:rPr>
      </w:pPr>
    </w:p>
    <w:p>
      <w:pPr>
        <w:jc w:val="center"/>
        <w:rPr>
          <w:rFonts w:hint="eastAsia" w:ascii="楷体" w:hAnsi="楷体" w:eastAsia="楷体" w:cs="楷体"/>
          <w:b w:val="0"/>
          <w:bCs w:val="0"/>
          <w:sz w:val="24"/>
          <w:szCs w:val="28"/>
        </w:rPr>
      </w:pPr>
      <w:r>
        <w:rPr>
          <w:rFonts w:hint="eastAsia" w:ascii="楷体" w:hAnsi="楷体" w:eastAsia="楷体" w:cs="楷体"/>
          <w:b w:val="0"/>
          <w:bCs w:val="0"/>
          <w:sz w:val="24"/>
          <w:szCs w:val="28"/>
        </w:rPr>
        <w:t>参考文献</w:t>
      </w:r>
    </w:p>
    <w:p>
      <w:pPr>
        <w:pStyle w:val="21"/>
        <w:numPr>
          <w:ilvl w:val="0"/>
          <w:numId w:val="0"/>
        </w:numPr>
        <w:ind w:leftChars="0"/>
        <w:rPr>
          <w:rFonts w:ascii="Times New Roman" w:hAnsi="Times New Roman" w:eastAsia="楷体" w:cs="Times New Roman"/>
          <w:sz w:val="20"/>
          <w:szCs w:val="20"/>
        </w:rPr>
      </w:pPr>
      <w:r>
        <w:rPr>
          <w:rFonts w:ascii="Times New Roman" w:hAnsi="Times New Roman" w:eastAsia="楷体" w:cs="Times New Roman"/>
          <w:sz w:val="20"/>
          <w:szCs w:val="20"/>
        </w:rPr>
        <w:t xml:space="preserve">De Chaisemartin, C., and X. D' Haultfoeuille, “Two-way Fixed Effects Estimators with Heterogeneous Treatment </w:t>
      </w:r>
    </w:p>
    <w:p>
      <w:pPr>
        <w:pStyle w:val="21"/>
        <w:numPr>
          <w:ilvl w:val="0"/>
          <w:numId w:val="0"/>
        </w:numPr>
        <w:ind w:leftChars="0" w:firstLine="400" w:firstLineChars="200"/>
        <w:rPr>
          <w:rFonts w:ascii="Times New Roman" w:hAnsi="Times New Roman" w:eastAsia="楷体" w:cs="Times New Roman"/>
          <w:sz w:val="20"/>
          <w:szCs w:val="20"/>
        </w:rPr>
      </w:pPr>
      <w:r>
        <w:rPr>
          <w:rFonts w:ascii="Times New Roman" w:hAnsi="Times New Roman" w:eastAsia="楷体" w:cs="Times New Roman"/>
          <w:sz w:val="20"/>
          <w:szCs w:val="20"/>
        </w:rPr>
        <w:t xml:space="preserve">Effects”, </w:t>
      </w:r>
      <w:r>
        <w:rPr>
          <w:rFonts w:ascii="Times New Roman" w:hAnsi="Times New Roman" w:eastAsia="楷体" w:cs="Times New Roman"/>
          <w:i/>
          <w:iCs/>
          <w:sz w:val="20"/>
          <w:szCs w:val="20"/>
        </w:rPr>
        <w:t>American Economic Review</w:t>
      </w:r>
      <w:r>
        <w:rPr>
          <w:rFonts w:ascii="Times New Roman" w:hAnsi="Times New Roman" w:eastAsia="楷体" w:cs="Times New Roman"/>
          <w:sz w:val="20"/>
          <w:szCs w:val="20"/>
        </w:rPr>
        <w:t>, 2020, 110(9), 2964-96.</w:t>
      </w:r>
    </w:p>
    <w:p>
      <w:pPr>
        <w:pStyle w:val="21"/>
        <w:numPr>
          <w:ilvl w:val="0"/>
          <w:numId w:val="0"/>
        </w:numPr>
        <w:ind w:leftChars="0" w:firstLine="400" w:firstLineChars="200"/>
        <w:rPr>
          <w:rFonts w:ascii="Times New Roman" w:hAnsi="Times New Roman" w:eastAsia="楷体" w:cs="Times New Roman"/>
          <w:sz w:val="20"/>
          <w:szCs w:val="20"/>
        </w:rPr>
      </w:pPr>
    </w:p>
    <w:p>
      <w:pPr>
        <w:pStyle w:val="21"/>
        <w:numPr>
          <w:ilvl w:val="0"/>
          <w:numId w:val="0"/>
        </w:numPr>
        <w:ind w:leftChars="0" w:firstLine="400" w:firstLineChars="200"/>
        <w:rPr>
          <w:rFonts w:ascii="Times New Roman" w:hAnsi="Times New Roman" w:eastAsia="楷体" w:cs="Times New Roman"/>
          <w:sz w:val="20"/>
          <w:szCs w:val="20"/>
        </w:rPr>
      </w:pPr>
    </w:p>
    <w:p>
      <w:pPr>
        <w:pStyle w:val="21"/>
        <w:numPr>
          <w:ilvl w:val="0"/>
          <w:numId w:val="0"/>
        </w:numPr>
        <w:ind w:leftChars="0" w:firstLine="400" w:firstLineChars="200"/>
        <w:rPr>
          <w:rFonts w:ascii="Times New Roman" w:hAnsi="Times New Roman" w:eastAsia="楷体" w:cs="Times New Roman"/>
          <w:sz w:val="20"/>
          <w:szCs w:val="20"/>
        </w:rPr>
      </w:pPr>
      <w:bookmarkStart w:id="12" w:name="_GoBack"/>
      <w:bookmarkEnd w:id="12"/>
    </w:p>
    <w:p>
      <w:pPr>
        <w:ind w:firstLine="300" w:firstLineChars="200"/>
        <w:rPr>
          <w:rFonts w:ascii="Times New Roman" w:hAnsi="Times New Roman" w:eastAsia="仿宋" w:cs="Times New Roman"/>
          <w:kern w:val="0"/>
          <w:sz w:val="15"/>
          <w:szCs w:val="15"/>
        </w:rPr>
      </w:pPr>
    </w:p>
    <w:p>
      <w:pPr>
        <w:spacing w:line="360" w:lineRule="auto"/>
        <w:ind w:left="-2" w:leftChars="-1"/>
        <w:rPr>
          <w:rFonts w:hint="eastAsia" w:ascii="宋体" w:hAnsi="宋体" w:eastAsia="宋体" w:cs="宋体"/>
          <w:b/>
          <w:bCs/>
          <w:kern w:val="0"/>
          <w:sz w:val="21"/>
          <w:szCs w:val="21"/>
        </w:rPr>
      </w:pPr>
      <w:r>
        <w:rPr>
          <w:rFonts w:hint="eastAsia" w:ascii="宋体" w:hAnsi="宋体" w:eastAsia="宋体" w:cs="宋体"/>
          <w:b/>
          <w:sz w:val="21"/>
          <w:szCs w:val="21"/>
        </w:rPr>
        <w:t>注：该附录是期刊所发表论文的组成部分，同样视为作者公开发表的内容。如研究中使用该附录中的内容，</w:t>
      </w:r>
      <w:r>
        <w:rPr>
          <w:rFonts w:hint="eastAsia" w:ascii="宋体" w:hAnsi="宋体" w:eastAsia="宋体" w:cs="宋体"/>
          <w:b/>
          <w:bCs/>
          <w:kern w:val="0"/>
          <w:sz w:val="21"/>
          <w:szCs w:val="21"/>
        </w:rPr>
        <w:t>请务必在研究成果上注明附录下载出处</w:t>
      </w:r>
      <w:r>
        <w:rPr>
          <w:rFonts w:hint="eastAsia" w:ascii="宋体" w:hAnsi="宋体" w:eastAsia="宋体" w:cs="宋体"/>
          <w:kern w:val="0"/>
          <w:sz w:val="21"/>
          <w:szCs w:val="21"/>
        </w:rPr>
        <w:t>。</w:t>
      </w:r>
    </w:p>
    <w:p>
      <w:pPr>
        <w:pStyle w:val="5"/>
        <w:keepNext/>
        <w:jc w:val="cente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jc w:val="both"/>
        <w:rPr>
          <w:rFonts w:ascii="Times New Roman" w:hAnsi="Times New Roman" w:eastAsia="仿宋" w:cs="Times New Roman"/>
          <w:sz w:val="15"/>
          <w:szCs w:val="15"/>
        </w:rPr>
      </w:pPr>
      <w:r>
        <w:rPr>
          <w:rStyle w:val="14"/>
          <w:rFonts w:ascii="Times New Roman" w:hAnsi="Times New Roman" w:eastAsia="仿宋" w:cs="Times New Roman"/>
          <w:sz w:val="15"/>
          <w:szCs w:val="15"/>
        </w:rPr>
        <w:footnoteRef/>
      </w:r>
      <w:r>
        <w:rPr>
          <w:rFonts w:ascii="Times New Roman" w:hAnsi="Times New Roman" w:eastAsia="仿宋" w:cs="Times New Roman"/>
          <w:sz w:val="15"/>
          <w:szCs w:val="15"/>
        </w:rPr>
        <w:t xml:space="preserve"> </w:t>
      </w:r>
      <w:bookmarkStart w:id="11" w:name="_Hlk138694401"/>
      <w:r>
        <w:rPr>
          <w:rFonts w:ascii="Times New Roman" w:hAnsi="Times New Roman" w:eastAsia="仿宋" w:cs="Times New Roman"/>
          <w:sz w:val="15"/>
          <w:szCs w:val="15"/>
        </w:rPr>
        <w:t>由于样本期内一些省份在不同年份中相继开通多条特高压线路，则</w:t>
      </w:r>
      <m:oMath>
        <m:sSub>
          <m:sSubPr>
            <m:ctrlPr>
              <w:rPr>
                <w:rFonts w:ascii="Cambria Math" w:hAnsi="Cambria Math" w:eastAsia="仿宋" w:cs="Times New Roman"/>
                <w:i/>
                <w:sz w:val="15"/>
                <w:szCs w:val="15"/>
              </w:rPr>
            </m:ctrlPr>
          </m:sSubPr>
          <m:e>
            <m:r>
              <m:rPr/>
              <w:rPr>
                <w:rFonts w:ascii="Cambria Math" w:hAnsi="Cambria Math" w:eastAsia="仿宋" w:cs="Times New Roman"/>
                <w:sz w:val="15"/>
                <w:szCs w:val="15"/>
              </w:rPr>
              <m:t>Capacity</m:t>
            </m:r>
            <m:ctrlPr>
              <w:rPr>
                <w:rFonts w:ascii="Cambria Math" w:hAnsi="Cambria Math" w:eastAsia="仿宋" w:cs="Times New Roman"/>
                <w:i/>
                <w:sz w:val="15"/>
                <w:szCs w:val="15"/>
              </w:rPr>
            </m:ctrlPr>
          </m:e>
          <m:sub>
            <m:r>
              <m:rPr/>
              <w:rPr>
                <w:rFonts w:ascii="Cambria Math" w:hAnsi="Cambria Math" w:eastAsia="仿宋" w:cs="Times New Roman"/>
                <w:sz w:val="15"/>
                <w:szCs w:val="15"/>
              </w:rPr>
              <m:t>i,j,t</m:t>
            </m:r>
            <m:ctrlPr>
              <w:rPr>
                <w:rFonts w:ascii="Cambria Math" w:hAnsi="Cambria Math" w:eastAsia="仿宋" w:cs="Times New Roman"/>
                <w:i/>
                <w:sz w:val="15"/>
                <w:szCs w:val="15"/>
              </w:rPr>
            </m:ctrlPr>
          </m:sub>
        </m:sSub>
      </m:oMath>
      <w:r>
        <w:rPr>
          <w:rFonts w:ascii="Times New Roman" w:hAnsi="Times New Roman" w:eastAsia="仿宋" w:cs="Times New Roman"/>
          <w:sz w:val="15"/>
          <w:szCs w:val="15"/>
        </w:rPr>
        <w:t>需要在对应年份进行加总处理。</w:t>
      </w:r>
      <w:bookmarkEnd w:id="11"/>
      <w:r>
        <w:rPr>
          <w:rFonts w:ascii="Times New Roman" w:hAnsi="Times New Roman" w:eastAsia="仿宋" w:cs="Times New Roman"/>
          <w:sz w:val="15"/>
          <w:szCs w:val="15"/>
        </w:rPr>
        <w:t>此部分的结果也在一定程度上解释了</w:t>
      </w:r>
      <w:r>
        <w:rPr>
          <w:rFonts w:hint="eastAsia" w:ascii="Times New Roman" w:hAnsi="Times New Roman" w:eastAsia="仿宋" w:cs="Times New Roman"/>
          <w:sz w:val="15"/>
          <w:szCs w:val="15"/>
        </w:rPr>
        <w:t>正文中</w:t>
      </w:r>
      <w:r>
        <w:rPr>
          <w:rFonts w:ascii="Times New Roman" w:hAnsi="Times New Roman" w:eastAsia="仿宋" w:cs="Times New Roman"/>
          <w:sz w:val="15"/>
          <w:szCs w:val="15"/>
        </w:rPr>
        <w:t>图</w:t>
      </w:r>
      <w:r>
        <w:rPr>
          <w:rFonts w:hint="eastAsia" w:ascii="Times New Roman" w:hAnsi="Times New Roman" w:eastAsia="仿宋" w:cs="Times New Roman"/>
          <w:sz w:val="15"/>
          <w:szCs w:val="15"/>
        </w:rPr>
        <w:t>2</w:t>
      </w:r>
      <w:r>
        <w:rPr>
          <w:rFonts w:ascii="Times New Roman" w:hAnsi="Times New Roman" w:eastAsia="仿宋" w:cs="Times New Roman"/>
          <w:sz w:val="15"/>
          <w:szCs w:val="15"/>
        </w:rPr>
        <w:t>的动态效应趋势</w:t>
      </w:r>
      <w:r>
        <w:rPr>
          <w:rFonts w:hint="eastAsia" w:ascii="Times New Roman" w:hAnsi="Times New Roman" w:eastAsia="仿宋" w:cs="Times New Roman"/>
          <w:sz w:val="15"/>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rPr>
        <w:rFonts w:hint="eastAsia" w:ascii="仿宋" w:hAnsi="仿宋" w:eastAsia="仿宋" w:cs="仿宋"/>
        <w:sz w:val="18"/>
        <w:szCs w:val="18"/>
        <w:lang w:val="en-US"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经济学</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季刊</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footnotePr>
    <w:footnote w:id="2"/>
    <w:footnote w:id="3"/>
  </w:footnotePr>
  <w:compat>
    <w:useFELayout/>
    <w:compatSetting w:name="compatibilityMode" w:uri="http://schemas.microsoft.com/office/word" w:val="12"/>
  </w:compat>
  <w:docVars>
    <w:docVar w:name="commondata" w:val="eyJoZGlkIjoiZDAxNWZhMmRiMTY5YWI4NjAwOTAyNmUyMjJkNDE2NTcifQ=="/>
  </w:docVars>
  <w:rsids>
    <w:rsidRoot w:val="0084769B"/>
    <w:rsid w:val="00002A24"/>
    <w:rsid w:val="00053283"/>
    <w:rsid w:val="00126996"/>
    <w:rsid w:val="00145F39"/>
    <w:rsid w:val="002534A1"/>
    <w:rsid w:val="002762F2"/>
    <w:rsid w:val="002E2635"/>
    <w:rsid w:val="003465CF"/>
    <w:rsid w:val="0036240A"/>
    <w:rsid w:val="003873F7"/>
    <w:rsid w:val="003D4F5F"/>
    <w:rsid w:val="00423C51"/>
    <w:rsid w:val="004A2038"/>
    <w:rsid w:val="004F35C7"/>
    <w:rsid w:val="00580313"/>
    <w:rsid w:val="006F4E6E"/>
    <w:rsid w:val="007759C4"/>
    <w:rsid w:val="007C53E3"/>
    <w:rsid w:val="007E5CA0"/>
    <w:rsid w:val="00820878"/>
    <w:rsid w:val="0084769B"/>
    <w:rsid w:val="008666F3"/>
    <w:rsid w:val="008E27A3"/>
    <w:rsid w:val="00934076"/>
    <w:rsid w:val="00A000B5"/>
    <w:rsid w:val="00A61B07"/>
    <w:rsid w:val="00A809FA"/>
    <w:rsid w:val="00B04F8F"/>
    <w:rsid w:val="00B3069A"/>
    <w:rsid w:val="00B875E2"/>
    <w:rsid w:val="00B91586"/>
    <w:rsid w:val="00C129D5"/>
    <w:rsid w:val="00C71849"/>
    <w:rsid w:val="00C73B06"/>
    <w:rsid w:val="00CB0A33"/>
    <w:rsid w:val="00D04AF7"/>
    <w:rsid w:val="00D8586B"/>
    <w:rsid w:val="28DD293E"/>
    <w:rsid w:val="2F377112"/>
    <w:rsid w:val="3ACA6330"/>
    <w:rsid w:val="4AFE01B1"/>
    <w:rsid w:val="663E38B6"/>
    <w:rsid w:val="6CE755FF"/>
    <w:rsid w:val="78760DAF"/>
    <w:rsid w:val="7FDE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autoRedefine/>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35"/>
    <w:rPr>
      <w:rFonts w:eastAsia="黑体" w:asciiTheme="majorHAnsi" w:hAnsiTheme="majorHAnsi" w:cstheme="majorBidi"/>
      <w:sz w:val="20"/>
      <w:szCs w:val="20"/>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footnote text"/>
    <w:basedOn w:val="1"/>
    <w:link w:val="17"/>
    <w:autoRedefine/>
    <w:unhideWhenUsed/>
    <w:qFormat/>
    <w:uiPriority w:val="99"/>
    <w:pPr>
      <w:snapToGrid w:val="0"/>
      <w:jc w:val="left"/>
    </w:pPr>
    <w:rPr>
      <w:sz w:val="18"/>
      <w:szCs w:val="18"/>
    </w:rPr>
  </w:style>
  <w:style w:type="paragraph" w:styleId="10">
    <w:name w:val="toc 2"/>
    <w:basedOn w:val="1"/>
    <w:next w:val="1"/>
    <w:autoRedefine/>
    <w:unhideWhenUsed/>
    <w:qFormat/>
    <w:uiPriority w:val="39"/>
    <w:pPr>
      <w:ind w:left="420" w:leftChars="200"/>
    </w:pPr>
  </w:style>
  <w:style w:type="character" w:styleId="13">
    <w:name w:val="Hyperlink"/>
    <w:basedOn w:val="12"/>
    <w:autoRedefine/>
    <w:unhideWhenUsed/>
    <w:qFormat/>
    <w:uiPriority w:val="99"/>
    <w:rPr>
      <w:color w:val="0563C1" w:themeColor="hyperlink"/>
      <w:u w:val="single"/>
    </w:rPr>
  </w:style>
  <w:style w:type="character" w:styleId="14">
    <w:name w:val="footnote reference"/>
    <w:basedOn w:val="12"/>
    <w:autoRedefine/>
    <w:unhideWhenUsed/>
    <w:qFormat/>
    <w:uiPriority w:val="99"/>
    <w:rPr>
      <w:vertAlign w:val="superscript"/>
    </w:r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脚注文本 字符"/>
    <w:basedOn w:val="12"/>
    <w:link w:val="9"/>
    <w:autoRedefine/>
    <w:qFormat/>
    <w:uiPriority w:val="99"/>
    <w:rPr>
      <w:sz w:val="18"/>
      <w:szCs w:val="18"/>
    </w:rPr>
  </w:style>
  <w:style w:type="character" w:customStyle="1" w:styleId="18">
    <w:name w:val="标题 1 字符"/>
    <w:basedOn w:val="12"/>
    <w:link w:val="2"/>
    <w:autoRedefine/>
    <w:qFormat/>
    <w:uiPriority w:val="9"/>
    <w:rPr>
      <w:b/>
      <w:bCs/>
      <w:kern w:val="44"/>
      <w:sz w:val="44"/>
      <w:szCs w:val="44"/>
    </w:rPr>
  </w:style>
  <w:style w:type="character" w:customStyle="1" w:styleId="19">
    <w:name w:val="标题 3 字符"/>
    <w:basedOn w:val="12"/>
    <w:link w:val="4"/>
    <w:autoRedefine/>
    <w:qFormat/>
    <w:uiPriority w:val="9"/>
    <w:rPr>
      <w:b/>
      <w:bCs/>
      <w:sz w:val="32"/>
      <w:szCs w:val="32"/>
    </w:rPr>
  </w:style>
  <w:style w:type="character" w:customStyle="1" w:styleId="20">
    <w:name w:val="标题 2 字符"/>
    <w:basedOn w:val="12"/>
    <w:link w:val="3"/>
    <w:autoRedefine/>
    <w:qFormat/>
    <w:uiPriority w:val="9"/>
    <w:rPr>
      <w:rFonts w:asciiTheme="majorHAnsi" w:hAnsiTheme="majorHAnsi" w:eastAsiaTheme="majorEastAsia" w:cstheme="majorBidi"/>
      <w:b/>
      <w:bCs/>
      <w:sz w:val="32"/>
      <w:szCs w:val="32"/>
    </w:rPr>
  </w:style>
  <w:style w:type="paragraph" w:styleId="21">
    <w:name w:val="List Paragraph"/>
    <w:basedOn w:val="1"/>
    <w:autoRedefine/>
    <w:qFormat/>
    <w:uiPriority w:val="34"/>
    <w:pPr>
      <w:ind w:firstLine="420" w:firstLineChars="200"/>
    </w:pPr>
  </w:style>
  <w:style w:type="paragraph" w:customStyle="1" w:styleId="2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2BB0-DFFF-41D8-8324-0931DBF4FED1}">
  <ds:schemaRefs/>
</ds:datastoreItem>
</file>

<file path=docProps/app.xml><?xml version="1.0" encoding="utf-8"?>
<Properties xmlns="http://schemas.openxmlformats.org/officeDocument/2006/extended-properties" xmlns:vt="http://schemas.openxmlformats.org/officeDocument/2006/docPropsVTypes">
  <Template>Normal</Template>
  <Pages>5</Pages>
  <Words>695</Words>
  <Characters>3965</Characters>
  <Lines>33</Lines>
  <Paragraphs>9</Paragraphs>
  <TotalTime>2</TotalTime>
  <ScaleCrop>false</ScaleCrop>
  <LinksUpToDate>false</LinksUpToDate>
  <CharactersWithSpaces>4651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2023-09-18T07:12:00Z</dcterms:created>
  <dc:creator>潘 也</dc:creator>
  <cp:lastModifiedBy>刘京</cp:lastModifiedBy>
  <dcterms:modified xsi:type="dcterms:W3CDTF">2024-05-22T07:12:51Z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45497AE1F6264F178908E508080D3CA9_12</vt:lpwstr>
  </property>
</Properties>
</file>