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1BF6">
      <w:pPr>
        <w:jc w:val="center"/>
        <w:rPr>
          <w:rFonts w:hint="eastAsia" w:ascii="仿宋" w:hAnsi="仿宋" w:eastAsia="仿宋" w:cs="仿宋"/>
          <w:bCs/>
          <w:sz w:val="44"/>
          <w:szCs w:val="44"/>
        </w:rPr>
      </w:pPr>
    </w:p>
    <w:p w14:paraId="652C8C28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 w14:paraId="36B7790F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供应链关联与中小企业融资</w:t>
      </w:r>
    </w:p>
    <w:p w14:paraId="022D3DB2">
      <w:pPr>
        <w:jc w:val="center"/>
        <w:rPr>
          <w:rFonts w:ascii="仿宋" w:hAnsi="仿宋" w:eastAsia="仿宋" w:cs="仿宋"/>
          <w:b/>
          <w:bCs w:val="0"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b/>
          <w:bCs w:val="0"/>
          <w:sz w:val="28"/>
          <w:szCs w:val="28"/>
        </w:rPr>
        <w:t>——基于供应链金融与商业信用视角</w:t>
      </w:r>
    </w:p>
    <w:bookmarkEnd w:id="1"/>
    <w:p w14:paraId="1C329425">
      <w:pPr>
        <w:jc w:val="center"/>
        <w:rPr>
          <w:rFonts w:ascii="楷体" w:hAnsi="楷体" w:eastAsia="楷体"/>
          <w:bCs/>
          <w:sz w:val="24"/>
        </w:rPr>
      </w:pPr>
    </w:p>
    <w:p w14:paraId="209CEAC3"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郭  晔    姚若琪</w:t>
      </w:r>
    </w:p>
    <w:p w14:paraId="6BE25053">
      <w:pPr>
        <w:jc w:val="center"/>
        <w:rPr>
          <w:rFonts w:hint="eastAsia" w:ascii="楷体" w:hAnsi="楷体" w:eastAsia="楷体" w:cs="楷体"/>
          <w:sz w:val="28"/>
          <w:szCs w:val="28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77734"/>
        <w15:color w:val="DBDBDB"/>
        <w:docPartObj>
          <w:docPartGallery w:val="Table of Contents"/>
          <w:docPartUnique/>
        </w:docPartObj>
      </w:sdtPr>
      <w:sdtEndPr>
        <w:rPr>
          <w:rFonts w:hint="eastAsia" w:ascii="楷体" w:hAnsi="楷体" w:eastAsia="楷体" w:cs="楷体"/>
          <w:kern w:val="2"/>
          <w:sz w:val="21"/>
          <w:szCs w:val="28"/>
          <w:lang w:val="en-US" w:eastAsia="zh-CN" w:bidi="ar-SA"/>
        </w:rPr>
      </w:sdtEndPr>
      <w:sdtContent>
        <w:p w14:paraId="6D49F45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楷体" w:hAnsi="楷体" w:eastAsia="楷体" w:cs="楷体"/>
              <w:sz w:val="28"/>
              <w:szCs w:val="28"/>
            </w:rPr>
          </w:pPr>
        </w:p>
        <w:p w14:paraId="48F7DA09">
          <w:pPr>
            <w:jc w:val="center"/>
            <w:rPr>
              <w:rFonts w:hint="eastAsia" w:ascii="楷体" w:hAnsi="楷体" w:eastAsia="楷体" w:cs="楷体"/>
              <w:sz w:val="28"/>
              <w:szCs w:val="28"/>
            </w:rPr>
          </w:pPr>
        </w:p>
      </w:sdtContent>
    </w:sdt>
    <w:p w14:paraId="04AED5BA">
      <w:pPr>
        <w:jc w:val="center"/>
        <w:rPr>
          <w:rFonts w:hint="eastAsia" w:ascii="楷体" w:hAnsi="楷体" w:eastAsia="楷体" w:cs="楷体"/>
          <w:sz w:val="28"/>
          <w:szCs w:val="28"/>
        </w:rPr>
      </w:pPr>
    </w:p>
    <w:p w14:paraId="6A81DA8D">
      <w:pPr>
        <w:jc w:val="center"/>
        <w:rPr>
          <w:rFonts w:hint="eastAsia" w:ascii="楷体" w:hAnsi="楷体" w:eastAsia="楷体" w:cs="楷体"/>
          <w:sz w:val="28"/>
          <w:szCs w:val="28"/>
        </w:rPr>
      </w:pPr>
    </w:p>
    <w:p w14:paraId="26F46487">
      <w:pPr>
        <w:jc w:val="both"/>
        <w:rPr>
          <w:rFonts w:hint="eastAsia" w:ascii="楷体" w:hAnsi="楷体" w:eastAsia="楷体" w:cs="楷体"/>
          <w:sz w:val="28"/>
          <w:szCs w:val="28"/>
        </w:rPr>
      </w:pPr>
    </w:p>
    <w:p w14:paraId="24082EA5">
      <w:pPr>
        <w:jc w:val="center"/>
        <w:rPr>
          <w:rFonts w:hint="eastAsia" w:ascii="楷体" w:hAnsi="楷体" w:eastAsia="楷体" w:cs="楷体"/>
          <w:sz w:val="28"/>
          <w:szCs w:val="28"/>
        </w:rPr>
      </w:pPr>
    </w:p>
    <w:p w14:paraId="1EBC0374">
      <w:pPr>
        <w:jc w:val="center"/>
        <w:rPr>
          <w:rFonts w:hint="eastAsia" w:ascii="楷体" w:hAnsi="楷体" w:eastAsia="楷体" w:cs="楷体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81E8C3">
      <w:pPr>
        <w:pStyle w:val="5"/>
        <w:spacing w:before="120" w:beforeLines="50" w:after="120" w:afterLines="50" w:line="300" w:lineRule="auto"/>
        <w:jc w:val="center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bookmarkStart w:id="0" w:name="_Toc13893"/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附录I  </w:t>
      </w:r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附表与附图</w:t>
      </w:r>
    </w:p>
    <w:p w14:paraId="4E8A9CDE">
      <w:pPr>
        <w:jc w:val="center"/>
        <w:rPr>
          <w:rFonts w:hint="eastAsia" w:ascii="仿宋" w:hAnsi="仿宋" w:eastAsia="仿宋"/>
          <w:b/>
          <w:bCs/>
        </w:rPr>
      </w:pPr>
    </w:p>
    <w:p w14:paraId="50084ABF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表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A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1  主要变量描述性统计</w:t>
      </w:r>
    </w:p>
    <w:tbl>
      <w:tblPr>
        <w:tblStyle w:val="12"/>
        <w:tblW w:w="8571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28"/>
        <w:gridCol w:w="1428"/>
        <w:gridCol w:w="1428"/>
        <w:gridCol w:w="1428"/>
        <w:gridCol w:w="1431"/>
      </w:tblGrid>
      <w:tr w14:paraId="6F39E6C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337829E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变量名称</w:t>
            </w:r>
          </w:p>
        </w:tc>
        <w:tc>
          <w:tcPr>
            <w:tcW w:w="1428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71025A91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样本量</w:t>
            </w:r>
          </w:p>
        </w:tc>
        <w:tc>
          <w:tcPr>
            <w:tcW w:w="1428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791C9D1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均值</w:t>
            </w:r>
          </w:p>
        </w:tc>
        <w:tc>
          <w:tcPr>
            <w:tcW w:w="1428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1732C8F8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1428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64D21D8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1431" w:type="dxa"/>
            <w:tcBorders>
              <w:bottom w:val="single" w:color="7E7E7E" w:themeColor="text1" w:themeTint="80" w:sz="4" w:space="0"/>
              <w:insideH w:val="single" w:sz="4" w:space="0"/>
            </w:tcBorders>
          </w:tcPr>
          <w:p w14:paraId="083379A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最大值</w:t>
            </w:r>
          </w:p>
        </w:tc>
      </w:tr>
      <w:tr w14:paraId="75CFDF9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1" w:type="dxa"/>
            <w:gridSpan w:val="6"/>
            <w:tcBorders>
              <w:top w:val="single" w:color="7E7E7E" w:themeColor="text1" w:themeTint="80" w:sz="4" w:space="0"/>
              <w:bottom w:val="single" w:color="auto" w:sz="4" w:space="0"/>
            </w:tcBorders>
          </w:tcPr>
          <w:p w14:paraId="0CA1F741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iCs/>
                <w:sz w:val="18"/>
                <w:szCs w:val="18"/>
              </w:rPr>
              <w:t>中国工业企业数据</w:t>
            </w:r>
          </w:p>
        </w:tc>
      </w:tr>
      <w:tr w14:paraId="2234B7C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auto" w:sz="4" w:space="0"/>
              <w:bottom w:val="nil"/>
            </w:tcBorders>
            <w:vAlign w:val="center"/>
          </w:tcPr>
          <w:p w14:paraId="359AF30F"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Loan1</w:t>
            </w:r>
          </w:p>
        </w:tc>
        <w:tc>
          <w:tcPr>
            <w:tcW w:w="1428" w:type="dxa"/>
            <w:tcBorders>
              <w:top w:val="single" w:color="auto" w:sz="4" w:space="0"/>
              <w:bottom w:val="nil"/>
            </w:tcBorders>
          </w:tcPr>
          <w:p w14:paraId="20F0CA7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single" w:color="auto" w:sz="4" w:space="0"/>
              <w:bottom w:val="nil"/>
            </w:tcBorders>
          </w:tcPr>
          <w:p w14:paraId="596001C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0.581</w:t>
            </w:r>
          </w:p>
        </w:tc>
        <w:tc>
          <w:tcPr>
            <w:tcW w:w="1428" w:type="dxa"/>
            <w:tcBorders>
              <w:top w:val="single" w:color="auto" w:sz="4" w:space="0"/>
              <w:bottom w:val="nil"/>
            </w:tcBorders>
          </w:tcPr>
          <w:p w14:paraId="6D93461B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0.239</w:t>
            </w:r>
          </w:p>
        </w:tc>
        <w:tc>
          <w:tcPr>
            <w:tcW w:w="1428" w:type="dxa"/>
            <w:tcBorders>
              <w:top w:val="single" w:color="auto" w:sz="4" w:space="0"/>
              <w:bottom w:val="nil"/>
            </w:tcBorders>
          </w:tcPr>
          <w:p w14:paraId="2B34448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0.0734</w:t>
            </w:r>
          </w:p>
        </w:tc>
        <w:tc>
          <w:tcPr>
            <w:tcW w:w="1431" w:type="dxa"/>
            <w:tcBorders>
              <w:top w:val="single" w:color="auto" w:sz="4" w:space="0"/>
              <w:bottom w:val="nil"/>
            </w:tcBorders>
          </w:tcPr>
          <w:p w14:paraId="729440B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0.991</w:t>
            </w:r>
          </w:p>
        </w:tc>
      </w:tr>
      <w:tr w14:paraId="727CEBE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</w:tcPr>
          <w:p w14:paraId="4795A1E7"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DID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4D539C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1195EBF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0.204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FE45EC1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0.403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619C5DF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22D6BC5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</w:t>
            </w:r>
          </w:p>
        </w:tc>
      </w:tr>
      <w:tr w14:paraId="06CB04A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62E7F462">
            <w:pPr>
              <w:widowControl/>
              <w:jc w:val="center"/>
              <w:rPr>
                <w:rFonts w:hint="eastAsia" w:ascii="Cambria Math" w:hAnsi="Cambria Math" w:eastAsia="仿宋" w:cs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AR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2C15A8E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7C68741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0.178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889EFE1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0.165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784424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A42A81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0.687</w:t>
            </w:r>
          </w:p>
        </w:tc>
      </w:tr>
      <w:tr w14:paraId="59AEFDB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43878D43">
            <w:pPr>
              <w:widowControl/>
              <w:jc w:val="center"/>
              <w:rPr>
                <w:rFonts w:hint="eastAsia" w:ascii="Cambria Math" w:hAnsi="Cambria Math" w:eastAsia="仿宋" w:cs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PE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E67CAAA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F38606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0.137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4D2D34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0.148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DAEB180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73E993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0.681</w:t>
            </w:r>
          </w:p>
        </w:tc>
      </w:tr>
      <w:tr w14:paraId="04D729D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206129A4">
            <w:pPr>
              <w:widowControl/>
              <w:jc w:val="center"/>
              <w:rPr>
                <w:rFonts w:hint="eastAsia" w:ascii="Cambria Math" w:hAnsi="Cambria Math" w:eastAsia="仿宋" w:cs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lnA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052A879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6AD9008B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10.309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8E9FF6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1.366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41AE0A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6.926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129B6F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13.446</w:t>
            </w:r>
          </w:p>
        </w:tc>
      </w:tr>
      <w:tr w14:paraId="084CBE0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0B3A1CC1">
            <w:pPr>
              <w:widowControl/>
              <w:jc w:val="center"/>
              <w:rPr>
                <w:rFonts w:hint="eastAsia" w:ascii="Cambria Math" w:hAnsi="Cambria Math" w:eastAsia="仿宋" w:cs="仿宋"/>
                <w:b w:val="0"/>
                <w:bCs w:val="0"/>
                <w:i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eastAsia="仿宋" w:cs="Times New Roman"/>
                    <w:w w:val="99"/>
                    <w:sz w:val="18"/>
                    <w:szCs w:val="18"/>
                  </w:rPr>
                  <m:t>fixed</m:t>
                </m:r>
              </m:oMath>
            </m:oMathPara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D801DF4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B15DA6B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0.298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FEC926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0.211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FD9A2CC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0.006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61D6A4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0.897</w:t>
            </w:r>
          </w:p>
        </w:tc>
      </w:tr>
      <w:tr w14:paraId="109680E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5A453823">
            <w:pPr>
              <w:widowControl/>
              <w:jc w:val="center"/>
              <w:rPr>
                <w:rFonts w:hint="eastAsia" w:ascii="Cambria Math" w:hAnsi="Cambria Math" w:eastAsia="仿宋" w:cs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ROA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94ACA0B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054BC0F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0.084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465849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0.131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826B1C3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-0.108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471D397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0.778</w:t>
            </w:r>
          </w:p>
        </w:tc>
      </w:tr>
      <w:tr w14:paraId="56ADB94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59008222"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liq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A49C2CF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EDE0AD3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1.794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BE1518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2.118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2C103C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0.184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E88F77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15.092</w:t>
            </w:r>
          </w:p>
        </w:tc>
      </w:tr>
      <w:tr w14:paraId="5CC3D92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2D1B0D1E"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qui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FBD664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3D06B9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1.340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B30753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1.746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340E4E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0.059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B432AD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12.506</w:t>
            </w:r>
          </w:p>
        </w:tc>
      </w:tr>
      <w:tr w14:paraId="3972DA0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3D381DF0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grow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BE10ABF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70FC2A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0.312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6D72ED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0.742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5602BD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-0.616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630BC4B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5.004</w:t>
            </w:r>
          </w:p>
        </w:tc>
      </w:tr>
      <w:tr w14:paraId="067676E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</w:tcBorders>
          </w:tcPr>
          <w:p w14:paraId="10A678D6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MP</w:t>
            </w:r>
          </w:p>
        </w:tc>
        <w:tc>
          <w:tcPr>
            <w:tcW w:w="1428" w:type="dxa"/>
            <w:tcBorders>
              <w:top w:val="nil"/>
            </w:tcBorders>
          </w:tcPr>
          <w:p w14:paraId="3F3C9524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17950</w:t>
            </w:r>
          </w:p>
        </w:tc>
        <w:tc>
          <w:tcPr>
            <w:tcW w:w="1428" w:type="dxa"/>
            <w:tcBorders>
              <w:top w:val="nil"/>
            </w:tcBorders>
          </w:tcPr>
          <w:p w14:paraId="5AB356E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1.021</w:t>
            </w:r>
          </w:p>
        </w:tc>
        <w:tc>
          <w:tcPr>
            <w:tcW w:w="1428" w:type="dxa"/>
            <w:tcBorders>
              <w:top w:val="nil"/>
            </w:tcBorders>
          </w:tcPr>
          <w:p w14:paraId="7A7261C7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8.376</w:t>
            </w:r>
          </w:p>
        </w:tc>
        <w:tc>
          <w:tcPr>
            <w:tcW w:w="1428" w:type="dxa"/>
            <w:tcBorders>
              <w:top w:val="nil"/>
            </w:tcBorders>
          </w:tcPr>
          <w:p w14:paraId="60FCC09B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-4.713</w:t>
            </w:r>
          </w:p>
        </w:tc>
        <w:tc>
          <w:tcPr>
            <w:tcW w:w="1431" w:type="dxa"/>
            <w:tcBorders>
              <w:top w:val="nil"/>
            </w:tcBorders>
          </w:tcPr>
          <w:p w14:paraId="4902124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48.672</w:t>
            </w:r>
          </w:p>
        </w:tc>
      </w:tr>
      <w:tr w14:paraId="0A78079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1" w:type="dxa"/>
            <w:gridSpan w:val="6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 w14:paraId="69EE5F38">
            <w:pPr>
              <w:jc w:val="center"/>
              <w:rPr>
                <w:rFonts w:hint="eastAsia" w:ascii="仿宋" w:hAnsi="仿宋" w:eastAsia="仿宋"/>
                <w:b/>
                <w:bCs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iCs/>
                <w:sz w:val="18"/>
                <w:szCs w:val="18"/>
              </w:rPr>
              <w:t>新三板数据</w:t>
            </w:r>
          </w:p>
        </w:tc>
      </w:tr>
      <w:tr w14:paraId="2B173F9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bottom w:val="nil"/>
            </w:tcBorders>
            <w:vAlign w:val="center"/>
          </w:tcPr>
          <w:p w14:paraId="4708F87B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Loan2</w:t>
            </w:r>
          </w:p>
        </w:tc>
        <w:tc>
          <w:tcPr>
            <w:tcW w:w="1428" w:type="dxa"/>
            <w:tcBorders>
              <w:bottom w:val="nil"/>
            </w:tcBorders>
          </w:tcPr>
          <w:p w14:paraId="35FF564C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bottom w:val="nil"/>
            </w:tcBorders>
          </w:tcPr>
          <w:p w14:paraId="7EBB81BC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0.125</w:t>
            </w:r>
          </w:p>
        </w:tc>
        <w:tc>
          <w:tcPr>
            <w:tcW w:w="1428" w:type="dxa"/>
            <w:tcBorders>
              <w:bottom w:val="nil"/>
            </w:tcBorders>
          </w:tcPr>
          <w:p w14:paraId="577BCBB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0.120</w:t>
            </w:r>
          </w:p>
        </w:tc>
        <w:tc>
          <w:tcPr>
            <w:tcW w:w="1428" w:type="dxa"/>
            <w:tcBorders>
              <w:bottom w:val="nil"/>
            </w:tcBorders>
          </w:tcPr>
          <w:p w14:paraId="6508AA7E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bottom w:val="nil"/>
            </w:tcBorders>
          </w:tcPr>
          <w:p w14:paraId="2B34C84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0.502</w:t>
            </w:r>
          </w:p>
        </w:tc>
      </w:tr>
      <w:tr w14:paraId="45ADE0E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6711D98D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Loan_C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580B3A0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227A51C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0.005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A12530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0.023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72E64DE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80A20B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0.172</w:t>
            </w:r>
          </w:p>
        </w:tc>
      </w:tr>
      <w:tr w14:paraId="72D3B2F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08F7588E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Loan_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P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857B8BC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9189A1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0.011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67FC057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0.032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4460E55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7ED682E7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</w:t>
            </w:r>
          </w:p>
        </w:tc>
      </w:tr>
      <w:tr w14:paraId="6B967BA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639EEE06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Loan_F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622F8D9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A9B3E23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0.016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BE4D7F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0.047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B3556B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30A5915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0.285</w:t>
            </w:r>
          </w:p>
        </w:tc>
      </w:tr>
      <w:tr w14:paraId="290CAB2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</w:tcPr>
          <w:p w14:paraId="58693E7E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DID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366908E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BE850B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0.439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41DC904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0.605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A4F9F7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C9CA00C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</w:t>
            </w:r>
          </w:p>
        </w:tc>
      </w:tr>
      <w:tr w14:paraId="09FF126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</w:tcPr>
          <w:p w14:paraId="69FACBE1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AR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B656361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1379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027493E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0.291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67583771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0.191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8EC1F01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0.001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867C6B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0.767</w:t>
            </w:r>
          </w:p>
        </w:tc>
      </w:tr>
      <w:tr w14:paraId="58791A7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</w:tcPr>
          <w:p w14:paraId="6DA0DC61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AP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3DCFD9F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1375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DBED901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0.163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89317C3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0.120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C7CDCA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0.002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BD3BA2C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0.549</w:t>
            </w:r>
          </w:p>
        </w:tc>
      </w:tr>
      <w:tr w14:paraId="6435322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</w:tcPr>
          <w:p w14:paraId="0A8FE57D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PE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2EA6E1F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1365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22ADF9B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0.044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28EED0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0.073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931465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3AF4E3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0.464</w:t>
            </w:r>
          </w:p>
        </w:tc>
      </w:tr>
      <w:tr w14:paraId="4529D30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</w:tcPr>
          <w:p w14:paraId="1B230A11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UR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CA219F5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1324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D13BB5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0.041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1F75C2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0.069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762141E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776364C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0.393</w:t>
            </w:r>
          </w:p>
        </w:tc>
      </w:tr>
      <w:tr w14:paraId="5A4A8A0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777304FD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lnA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1356FFF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7C549A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10.282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8894FE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1.120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5142C1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7.313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720F3E21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13.652</w:t>
            </w:r>
          </w:p>
        </w:tc>
      </w:tr>
      <w:tr w14:paraId="3D24156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7321332F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eastAsia="仿宋" w:cs="Times New Roman"/>
                    <w:w w:val="99"/>
                    <w:sz w:val="18"/>
                    <w:szCs w:val="18"/>
                  </w:rPr>
                  <m:t>fixed</m:t>
                </m:r>
              </m:oMath>
            </m:oMathPara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F239C23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537B35E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0.166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682D7A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0.158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7137A45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0.001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55B610F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0.666</w:t>
            </w:r>
          </w:p>
        </w:tc>
      </w:tr>
      <w:tr w14:paraId="1CBE722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24DA9A43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ROA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47814D1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DADA5D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0.040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BA768C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0.079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62097D4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-0.266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586908F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0.244</w:t>
            </w:r>
          </w:p>
        </w:tc>
      </w:tr>
      <w:tr w14:paraId="300B1D6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42541CB6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liq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D1D9302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9A82570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2.326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44240F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2.210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8FEE50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0.278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4570205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15.952</w:t>
            </w:r>
          </w:p>
        </w:tc>
      </w:tr>
      <w:tr w14:paraId="3D10906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2104B3D2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qui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C6F8AB8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4AC06A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1.830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0D1BB6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1.960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BBB017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0.157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24D53A9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14.235</w:t>
            </w:r>
          </w:p>
        </w:tc>
      </w:tr>
      <w:tr w14:paraId="59D4BB4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7256FEA9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grow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5384BFD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10D4BD7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0.227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6752910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0.676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56AE8C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-0.718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F081212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4.785</w:t>
            </w:r>
          </w:p>
        </w:tc>
      </w:tr>
      <w:tr w14:paraId="7EE8E8A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274EF1AF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Credit_S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B7AA09C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1319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D57BC3F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-0.245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A491F45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0.208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3F4E4B0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-0.769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C08DB8D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0.388</w:t>
            </w:r>
          </w:p>
        </w:tc>
      </w:tr>
      <w:tr w14:paraId="447181B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nil"/>
            </w:tcBorders>
            <w:vAlign w:val="center"/>
          </w:tcPr>
          <w:p w14:paraId="5C0D27D8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Credit_C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3107BA0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1358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6B3361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0.119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3C1C737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0.147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66D3EB8A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-0.458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3CFDAF6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0.576</w:t>
            </w:r>
          </w:p>
        </w:tc>
      </w:tr>
      <w:tr w14:paraId="20AC255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 w14:paraId="5D1B40EF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i/>
                <w:w w:val="99"/>
                <w:sz w:val="18"/>
                <w:szCs w:val="18"/>
              </w:rPr>
              <w:t>MP</w:t>
            </w:r>
          </w:p>
        </w:tc>
        <w:tc>
          <w:tcPr>
            <w:tcW w:w="1428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 w14:paraId="75B836FA">
            <w:pPr>
              <w:widowControl/>
              <w:jc w:val="center"/>
              <w:rPr>
                <w:rFonts w:ascii="仿宋" w:hAnsi="仿宋" w:eastAsia="仿宋" w:cs="Times New Roman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1385</w:t>
            </w:r>
          </w:p>
        </w:tc>
        <w:tc>
          <w:tcPr>
            <w:tcW w:w="1428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 w14:paraId="77EA50E8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1.331</w:t>
            </w:r>
          </w:p>
        </w:tc>
        <w:tc>
          <w:tcPr>
            <w:tcW w:w="1428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 w14:paraId="2CF8D86E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4.564</w:t>
            </w:r>
          </w:p>
        </w:tc>
        <w:tc>
          <w:tcPr>
            <w:tcW w:w="1428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 w14:paraId="1FC682C7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-0.964</w:t>
            </w:r>
          </w:p>
        </w:tc>
        <w:tc>
          <w:tcPr>
            <w:tcW w:w="1431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 w14:paraId="589C9553">
            <w:pPr>
              <w:widowControl/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32.333</w:t>
            </w:r>
          </w:p>
        </w:tc>
      </w:tr>
    </w:tbl>
    <w:p w14:paraId="30BB888C">
      <w:pPr>
        <w:jc w:val="left"/>
      </w:pPr>
    </w:p>
    <w:p w14:paraId="45752642">
      <w:pPr>
        <w:jc w:val="left"/>
      </w:pPr>
    </w:p>
    <w:p w14:paraId="23E640B6">
      <w:pPr>
        <w:jc w:val="left"/>
      </w:pPr>
    </w:p>
    <w:p w14:paraId="2A64FB22">
      <w:pPr>
        <w:jc w:val="left"/>
      </w:pPr>
    </w:p>
    <w:p w14:paraId="6F7FAD3A">
      <w:pPr>
        <w:jc w:val="left"/>
        <w:rPr>
          <w:rFonts w:hint="eastAsia"/>
        </w:rPr>
      </w:pPr>
    </w:p>
    <w:p w14:paraId="3D565DCB">
      <w:pPr>
        <w:jc w:val="left"/>
        <w:rPr>
          <w:rFonts w:hint="eastAsia"/>
        </w:rPr>
      </w:pPr>
    </w:p>
    <w:p w14:paraId="167471CD">
      <w:pPr>
        <w:jc w:val="left"/>
        <w:rPr>
          <w:rFonts w:hint="eastAsia"/>
        </w:rPr>
      </w:pPr>
    </w:p>
    <w:p w14:paraId="118E88E6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表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A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2  成为上市公司供应链主要成员对中小企业各类融资的影响：绝对值检验</w:t>
      </w:r>
    </w:p>
    <w:tbl>
      <w:tblPr>
        <w:tblStyle w:val="6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675"/>
        <w:gridCol w:w="1675"/>
        <w:gridCol w:w="1675"/>
        <w:gridCol w:w="1675"/>
      </w:tblGrid>
      <w:tr w14:paraId="440B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CA120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4A00B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(1)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5E070E7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(2)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433AA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(3)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343E1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(4)</w:t>
            </w:r>
          </w:p>
        </w:tc>
      </w:tr>
      <w:tr w14:paraId="798D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0C915D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78EC9020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lnLoan2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9BD3DE0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lnLoan_C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813F802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lnLoan_P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1137E6B6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lnLoan_F</w:t>
            </w:r>
          </w:p>
        </w:tc>
      </w:tr>
      <w:tr w14:paraId="2F02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1DF0217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DID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A5F2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0.264**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A62A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0.754***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0FD1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0.158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75B8B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0.586*</w:t>
            </w:r>
          </w:p>
        </w:tc>
      </w:tr>
      <w:tr w14:paraId="7A60F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49090354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D8170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(2.23)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5E0B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(3.98)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3481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(1.47)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E1490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(1.88)</w:t>
            </w:r>
          </w:p>
        </w:tc>
      </w:tr>
      <w:tr w14:paraId="214A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07341593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2AA455C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1882BE9A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1CEBF799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7257B272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D34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8424B0F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509695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7B9ED4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688B86E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40F59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787C0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3F0B1AE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观测值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0B222B5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1,385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5E02345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1,385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44BE9A3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1,385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50598A2E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1,385</w:t>
            </w:r>
          </w:p>
        </w:tc>
      </w:tr>
      <w:tr w14:paraId="10243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0F1CB845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R-squared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25095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0.251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2D0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0.066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43BF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0.101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CEE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0.128</w:t>
            </w:r>
          </w:p>
        </w:tc>
      </w:tr>
      <w:tr w14:paraId="08C4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48C1FF05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个体固定效应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11AF251D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6000CBF9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577CD640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6D9E7C1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1DC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C6AC596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年份×</w:t>
            </w:r>
            <w:r>
              <w:rPr>
                <w:rFonts w:hint="eastAsia" w:ascii="仿宋" w:hAnsi="仿宋" w:eastAsia="仿宋" w:cs="Arial"/>
                <w:i/>
                <w:iCs/>
                <w:sz w:val="18"/>
                <w:szCs w:val="18"/>
              </w:rPr>
              <w:t>行业</w:t>
            </w: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固定效应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5955E37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2CD9AFE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07BB9C6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14DD006A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</w:tbl>
    <w:p w14:paraId="442E87FB">
      <w:pPr>
        <w:rPr>
          <w:rFonts w:hint="eastAsia" w:ascii="Calibri" w:hAnsi="Calibri" w:eastAsia="宋体" w:cs="Times New Roman"/>
          <w:szCs w:val="21"/>
        </w:rPr>
      </w:pPr>
      <w:r>
        <w:rPr>
          <w:rFonts w:hint="eastAsia" w:ascii="仿宋" w:hAnsi="仿宋" w:eastAsia="仿宋"/>
          <w:sz w:val="18"/>
          <w:szCs w:val="18"/>
        </w:rPr>
        <w:t>注：括号中为</w:t>
      </w:r>
      <w:r>
        <w:rPr>
          <w:rFonts w:hint="eastAsia" w:ascii="仿宋" w:hAnsi="仿宋" w:eastAsia="仿宋"/>
        </w:rPr>
        <w:t>t</w:t>
      </w:r>
      <w:r>
        <w:rPr>
          <w:rFonts w:hint="eastAsia" w:ascii="仿宋" w:hAnsi="仿宋" w:eastAsia="仿宋"/>
          <w:sz w:val="18"/>
          <w:szCs w:val="18"/>
        </w:rPr>
        <w:t>统计量，*、**、***分别表示系数在10%、5%、1%显著性水平上显著。</w:t>
      </w:r>
    </w:p>
    <w:p w14:paraId="6A1AB09F">
      <w:pPr>
        <w:jc w:val="left"/>
        <w:rPr>
          <w:rFonts w:hint="eastAsia"/>
        </w:rPr>
      </w:pPr>
    </w:p>
    <w:p w14:paraId="1CCA2C15">
      <w:pPr>
        <w:jc w:val="center"/>
        <w:rPr>
          <w:rFonts w:ascii="仿宋" w:hAnsi="仿宋" w:eastAsia="仿宋"/>
          <w:b/>
          <w:bCs/>
        </w:rPr>
      </w:pPr>
    </w:p>
    <w:p w14:paraId="1AC8DEE0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表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A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3  使用工具变量进行稳健性检验</w:t>
      </w:r>
    </w:p>
    <w:tbl>
      <w:tblPr>
        <w:tblStyle w:val="6"/>
        <w:tblW w:w="8310" w:type="dxa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541"/>
        <w:gridCol w:w="1541"/>
        <w:gridCol w:w="1541"/>
        <w:gridCol w:w="1542"/>
      </w:tblGrid>
      <w:tr w14:paraId="003E3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84C88F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3B70B1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(1)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757B849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(2)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1BDF7E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(3)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7444DD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(4)</w:t>
            </w:r>
          </w:p>
        </w:tc>
      </w:tr>
      <w:tr w14:paraId="4273D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3F64C6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E105617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DID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D6E008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loan1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E38C380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DID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04B3CDF1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Loan2</w:t>
            </w:r>
          </w:p>
        </w:tc>
      </w:tr>
      <w:tr w14:paraId="0D89F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26A717E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DID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4453AAC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B34E2A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0.422*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AA43A3C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E5D769E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0.032***</w:t>
            </w:r>
          </w:p>
        </w:tc>
      </w:tr>
      <w:tr w14:paraId="0E9B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17EC59B8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B85B62D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95CE8B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(1.72)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B255F93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D937E8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(8.43)</w:t>
            </w:r>
          </w:p>
        </w:tc>
      </w:tr>
      <w:tr w14:paraId="55DB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11A11FE0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BartikIV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F9270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0.013***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58D76C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B69A87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0.039***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602BB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</w:tr>
      <w:tr w14:paraId="75E2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3A90E3BD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A5A9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(2.57)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3AB904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570A1C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(79.73)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A75D9B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</w:p>
        </w:tc>
      </w:tr>
      <w:tr w14:paraId="496D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150EE077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7F7D02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66E9F3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BBEFD6E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107D7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DB2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2E6796E8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E2D2202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488910D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8C6CAE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654E28B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FE2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FDC4993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观测值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4FEE77A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17,537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BE4A7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17,537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2B489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789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217EF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789</w:t>
            </w:r>
          </w:p>
        </w:tc>
      </w:tr>
      <w:tr w14:paraId="0B36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20C3734C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个体固定效应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FA09BFB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7B535AC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E32356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53A88D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30966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80193C1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年份×</w:t>
            </w:r>
            <w:r>
              <w:rPr>
                <w:rFonts w:hint="eastAsia" w:ascii="仿宋" w:hAnsi="仿宋" w:eastAsia="仿宋" w:cs="Arial"/>
                <w:i/>
                <w:iCs/>
                <w:sz w:val="18"/>
                <w:szCs w:val="18"/>
              </w:rPr>
              <w:t>行业</w:t>
            </w: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固定效应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80B62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C4930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DCB72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BC3724B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</w:tbl>
    <w:p w14:paraId="16F80C98">
      <w:pPr>
        <w:ind w:firstLine="420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18"/>
          <w:szCs w:val="18"/>
        </w:rPr>
        <w:t>注：括号中为</w:t>
      </w:r>
      <w:r>
        <w:rPr>
          <w:rFonts w:hint="eastAsia" w:ascii="仿宋" w:hAnsi="仿宋" w:eastAsia="仿宋"/>
        </w:rPr>
        <w:t>z/t</w:t>
      </w:r>
      <w:r>
        <w:rPr>
          <w:rFonts w:hint="eastAsia" w:ascii="仿宋" w:hAnsi="仿宋" w:eastAsia="仿宋"/>
          <w:sz w:val="18"/>
          <w:szCs w:val="18"/>
        </w:rPr>
        <w:t>统计量，*、**、***分别表示系数在10%、5%、1%显著性水平上显著。</w:t>
      </w:r>
    </w:p>
    <w:p w14:paraId="3BE7C147">
      <w:pPr>
        <w:jc w:val="center"/>
        <w:rPr>
          <w:rFonts w:ascii="仿宋" w:hAnsi="仿宋" w:eastAsia="仿宋" w:cs="Times New Roman"/>
          <w:b/>
          <w:bCs/>
          <w:szCs w:val="21"/>
        </w:rPr>
      </w:pPr>
    </w:p>
    <w:p w14:paraId="109A5EE2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02738405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表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A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4  上市公司的异质性检验</w:t>
      </w:r>
    </w:p>
    <w:tbl>
      <w:tblPr>
        <w:tblStyle w:val="6"/>
        <w:tblW w:w="89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665"/>
        <w:gridCol w:w="1665"/>
        <w:gridCol w:w="1665"/>
        <w:gridCol w:w="1665"/>
      </w:tblGrid>
      <w:tr w14:paraId="20D1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vMerge w:val="restar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 w14:paraId="387C8900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606BF00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关联性上市公司融资能力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C508969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关联性上市公司商业信用支出</w:t>
            </w:r>
          </w:p>
        </w:tc>
      </w:tr>
      <w:tr w14:paraId="4353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1BC3FE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EF31A3D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高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40F06FA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低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73B3793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高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B720FCF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低</w:t>
            </w:r>
          </w:p>
        </w:tc>
      </w:tr>
      <w:tr w14:paraId="5B18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FBB0DA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95C01E7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(1)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C03EA82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(2)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55DF7B4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(3)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5A3BD467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(4)</w:t>
            </w:r>
          </w:p>
        </w:tc>
      </w:tr>
      <w:tr w14:paraId="6DCD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315347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7E4C2BEB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loan1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5E6DC4C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loan1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BE7B318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loan1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2AEA2A2"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loan1</w:t>
            </w:r>
          </w:p>
        </w:tc>
      </w:tr>
      <w:tr w14:paraId="2258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A9665A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DID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41A0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0.021**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4256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0.027***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0E1A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69BFB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0.028***</w:t>
            </w:r>
          </w:p>
        </w:tc>
      </w:tr>
      <w:tr w14:paraId="7D98C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5F297A4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B686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(2.61)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5C59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(4.42)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FA53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(1.26)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8AD6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(2.94)</w:t>
            </w:r>
          </w:p>
        </w:tc>
      </w:tr>
      <w:tr w14:paraId="6B1A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01B3E59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306ECA2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025B07F9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728A7592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485DAEE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14FF0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A65F5BA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4CCAC53C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257791C9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3EF6342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58191B2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5422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FB83C2F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观测值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8B62656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14,024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08A5B0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11,460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3ADA2F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14,024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5437EA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11,457</w:t>
            </w:r>
          </w:p>
        </w:tc>
      </w:tr>
      <w:tr w14:paraId="64E6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151D026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R-squared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1710A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4,675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2124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4,009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3BE21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4,669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4321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3,939</w:t>
            </w:r>
          </w:p>
        </w:tc>
      </w:tr>
      <w:tr w14:paraId="02093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C3DAF7F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个体固定效应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476FE78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48965598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3B04A103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77453F1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5998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7BAAA974">
            <w:pPr>
              <w:jc w:val="center"/>
              <w:rPr>
                <w:rFonts w:hint="eastAsia" w:ascii="仿宋" w:hAnsi="仿宋" w:eastAsia="仿宋"/>
                <w:i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年份×</w:t>
            </w:r>
            <w:r>
              <w:rPr>
                <w:rFonts w:hint="eastAsia" w:ascii="仿宋" w:hAnsi="仿宋" w:eastAsia="仿宋" w:cs="Arial"/>
                <w:i/>
                <w:iCs/>
                <w:sz w:val="18"/>
                <w:szCs w:val="18"/>
              </w:rPr>
              <w:t>行业</w:t>
            </w: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固定效应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7C931154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0D2E8D17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0F5AB683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610A6BFF">
            <w:pPr>
              <w:jc w:val="center"/>
              <w:rPr>
                <w:rFonts w:hint="eastAsia" w:ascii="仿宋" w:hAnsi="仿宋" w:eastAsia="仿宋"/>
                <w:i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</w:tbl>
    <w:p w14:paraId="40B1FC42">
      <w:pPr>
        <w:ind w:firstLine="420"/>
        <w:rPr>
          <w:rFonts w:hint="eastAsia" w:ascii="仿宋" w:hAnsi="仿宋" w:eastAsia="仿宋" w:cs="Times New Roman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注：括号中为t统计量，*、**、***分别表示系数在10%、5%、1%显著性水平上显著。</w:t>
      </w:r>
    </w:p>
    <w:p w14:paraId="3DB14733">
      <w:pPr>
        <w:jc w:val="both"/>
        <w:rPr>
          <w:rFonts w:hint="eastAsia" w:ascii="仿宋" w:hAnsi="仿宋" w:eastAsia="仿宋" w:cs="Times New Roman"/>
          <w:b/>
          <w:bCs/>
          <w:szCs w:val="21"/>
        </w:rPr>
      </w:pPr>
    </w:p>
    <w:p w14:paraId="3E33A093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3569D177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5780BD61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08"/>
      </w:tblGrid>
      <w:tr w14:paraId="3309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498D">
            <w:pPr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543050" cy="1123950"/>
                  <wp:effectExtent l="0" t="0" r="11430" b="3810"/>
                  <wp:docPr id="1823867818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67818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95F0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600200" cy="1162050"/>
                  <wp:effectExtent l="0" t="0" r="0" b="11430"/>
                  <wp:docPr id="640755410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755410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FF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B280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loan1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F1BC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Loan2</w:t>
            </w:r>
          </w:p>
        </w:tc>
      </w:tr>
      <w:tr w14:paraId="36B9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94ED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631950" cy="1181100"/>
                  <wp:effectExtent l="0" t="0" r="13970" b="7620"/>
                  <wp:docPr id="1569639587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639587" name="图片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345C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631950" cy="1181100"/>
                  <wp:effectExtent l="0" t="0" r="13970" b="7620"/>
                  <wp:docPr id="510058295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58295" name="图片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FF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764D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Loan_C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A413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Loan_F</w:t>
            </w:r>
          </w:p>
        </w:tc>
      </w:tr>
    </w:tbl>
    <w:p w14:paraId="38582FA5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图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A</w:t>
      </w:r>
      <w:r>
        <w:rPr>
          <w:rFonts w:hint="eastAsia" w:ascii="黑体" w:hAnsi="黑体" w:eastAsia="黑体" w:cs="黑体"/>
          <w:b w:val="0"/>
          <w:bCs w:val="0"/>
          <w:sz w:val="18"/>
          <w:szCs w:val="20"/>
        </w:rPr>
        <w:t>1  安慰剂检验</w:t>
      </w:r>
    </w:p>
    <w:p w14:paraId="0AFF3CEB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53B0146F">
      <w:pPr>
        <w:rPr>
          <w:rFonts w:hint="eastAsia" w:ascii="仿宋" w:hAnsi="仿宋" w:eastAsia="仿宋" w:cs="Times New Roman"/>
          <w:b/>
          <w:bCs/>
          <w:szCs w:val="21"/>
        </w:rPr>
      </w:pPr>
      <w:r>
        <w:rPr>
          <w:rFonts w:hint="eastAsia" w:ascii="仿宋" w:hAnsi="仿宋" w:eastAsia="仿宋" w:cs="Times New Roman"/>
          <w:b/>
          <w:bCs/>
          <w:szCs w:val="21"/>
        </w:rPr>
        <w:br w:type="page"/>
      </w:r>
    </w:p>
    <w:p w14:paraId="25FCF7BF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7167A038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52C8056E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表A5  成为上市公司供应链主要成员对中小企业融资的影响（分母为负债）</w:t>
      </w:r>
    </w:p>
    <w:tbl>
      <w:tblPr>
        <w:tblStyle w:val="6"/>
        <w:tblW w:w="10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632"/>
        <w:gridCol w:w="1632"/>
        <w:gridCol w:w="1632"/>
        <w:gridCol w:w="1632"/>
        <w:gridCol w:w="1633"/>
      </w:tblGrid>
      <w:tr w14:paraId="292F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82B4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D5FFE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(1)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5DDAD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(2)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A792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(3)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F364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(4)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237AB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)</w:t>
            </w:r>
          </w:p>
        </w:tc>
      </w:tr>
      <w:tr w14:paraId="12E5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7A27CC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56F43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0889D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7CFEEC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_C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AB684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_P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B878B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_F</w:t>
            </w:r>
          </w:p>
        </w:tc>
      </w:tr>
      <w:tr w14:paraId="7DCC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92785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4C88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0.012**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7503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0.037***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18881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0.009*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79082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115FF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0.020*</w:t>
            </w:r>
          </w:p>
        </w:tc>
      </w:tr>
      <w:tr w14:paraId="0B75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F2638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E1EC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(2.09)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6ACD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(3.86)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A466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(1.98)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FF05F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(1.78)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30AB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(2.10)</w:t>
            </w:r>
          </w:p>
        </w:tc>
      </w:tr>
      <w:tr w14:paraId="3BB7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38221E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09DCB2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96E89F2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22BDD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A9FDE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EBB420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4E16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57D7B85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FBF3854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9A472A7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F005C06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7178DE91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6A3631D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EA7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EC282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观测值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E57DF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17,950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4AAD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1,385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DBF3C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1,385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5FCF2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1,385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28442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1,385</w:t>
            </w:r>
          </w:p>
        </w:tc>
      </w:tr>
      <w:tr w14:paraId="6A86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E4BCD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R-squared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763A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53F28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0.172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722A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0.078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BE64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0.156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FB03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0.086</w:t>
            </w:r>
          </w:p>
        </w:tc>
      </w:tr>
      <w:tr w14:paraId="3428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24BB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9DF8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C6B3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52A1D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19BF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CC454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21B30E5D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DDA8B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固定效应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9652CA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B38A18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08F7B0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AA2CD5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B0956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17614D42">
      <w:pPr>
        <w:spacing w:line="240" w:lineRule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5701EA9F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FE974CC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BA36595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5D95FD40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9BEF623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6D41B9D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表A6  应收账款融资模式分析（分母为负债）</w:t>
      </w:r>
    </w:p>
    <w:tbl>
      <w:tblPr>
        <w:tblStyle w:val="6"/>
        <w:tblW w:w="9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666"/>
        <w:gridCol w:w="1666"/>
        <w:gridCol w:w="1666"/>
        <w:gridCol w:w="1668"/>
      </w:tblGrid>
      <w:tr w14:paraId="5E62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E208A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FEBD3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1666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08BC7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  <w:tc>
          <w:tcPr>
            <w:tcW w:w="1666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F595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(3)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5884A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(4)</w:t>
            </w:r>
          </w:p>
        </w:tc>
      </w:tr>
      <w:tr w14:paraId="7FFF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62CD0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38227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39B47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_C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F52EDF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_P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955CB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_F</w:t>
            </w:r>
          </w:p>
        </w:tc>
      </w:tr>
      <w:tr w14:paraId="6AA8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14098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15E6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75F48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-0.023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41B1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0.035***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E951C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-0.093***</w:t>
            </w:r>
          </w:p>
        </w:tc>
      </w:tr>
      <w:tr w14:paraId="54DB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9D4C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AD2CC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(0.09)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B8A49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(-0.96)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3FCA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(3.46)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AAE2D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(-4.59)</w:t>
            </w:r>
          </w:p>
        </w:tc>
      </w:tr>
      <w:tr w14:paraId="686D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0968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DID×AR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FB8F0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0.100**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47BA3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0.042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3C5F1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-0.038**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D4C53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0.152***</w:t>
            </w:r>
          </w:p>
        </w:tc>
      </w:tr>
      <w:tr w14:paraId="73CF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F63E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87BA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(2.49)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9012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(1.60)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2974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(-2.93)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E785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(5.21)</w:t>
            </w:r>
          </w:p>
        </w:tc>
      </w:tr>
      <w:tr w14:paraId="4D67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6690F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AR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602C0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0.260***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5EC0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-0.057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7678D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-0.026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6AB23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</w:tr>
      <w:tr w14:paraId="5603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02AA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41828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(6.74)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015D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(-1.59)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1233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(-1.01)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ACD4D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(0.03)</w:t>
            </w:r>
          </w:p>
        </w:tc>
      </w:tr>
      <w:tr w14:paraId="2C6F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FB45E0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26F9FE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C58BC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02547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5274B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50A5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3BE70C4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7C6DEDF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7854118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9D4E22D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1D173D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44E5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A2D3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5325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13,649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FE862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1,054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20901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1,054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95A8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1,054</w:t>
            </w:r>
          </w:p>
        </w:tc>
      </w:tr>
      <w:tr w14:paraId="416E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CA878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362A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0.056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4A22E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85693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2517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0.134</w:t>
            </w:r>
          </w:p>
        </w:tc>
      </w:tr>
      <w:tr w14:paraId="4A61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6FE5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3357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9514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11A4D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1A8FB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7620980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53538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固定效应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E78AB1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14F9AB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CC0B42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54183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13097B1E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20C42509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ACC9008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4F1BDFB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FEF35EB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B7167DA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0FE0EFC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9DACFFF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0D37221C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891685E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0A1B00F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表A7  预付账款融资模式分析（分母为负债）</w:t>
      </w:r>
    </w:p>
    <w:tbl>
      <w:tblPr>
        <w:tblStyle w:val="6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2079"/>
        <w:gridCol w:w="2079"/>
        <w:gridCol w:w="2079"/>
      </w:tblGrid>
      <w:tr w14:paraId="495F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DE1F6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B181C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2079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92C08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  <w:tc>
          <w:tcPr>
            <w:tcW w:w="2079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2B56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(3)</w:t>
            </w:r>
          </w:p>
        </w:tc>
      </w:tr>
      <w:tr w14:paraId="7287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CE714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13933D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Loan2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763085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_C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1252B7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_P</w:t>
            </w:r>
          </w:p>
        </w:tc>
      </w:tr>
      <w:tr w14:paraId="2849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279C5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FCD7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0.081***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26DA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0.005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E9B3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0.039***</w:t>
            </w:r>
          </w:p>
        </w:tc>
      </w:tr>
      <w:tr w14:paraId="7EA8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7A64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6F5FC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(3.36)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03B81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(0.86)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2042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(4.29)</w:t>
            </w:r>
          </w:p>
        </w:tc>
      </w:tr>
      <w:tr w14:paraId="7A83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0EB8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DID×PE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9C20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-1.095***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DEA4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-0.013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99B6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0.161</w:t>
            </w:r>
          </w:p>
        </w:tc>
      </w:tr>
      <w:tr w14:paraId="21E9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114B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20F77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(-3.17)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A5D1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(-0.13)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7B606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(0.75)</w:t>
            </w:r>
          </w:p>
        </w:tc>
      </w:tr>
      <w:tr w14:paraId="74C3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3F7C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PE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800ED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0.487**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2F52A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0.049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E0AAA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-0.067</w:t>
            </w:r>
          </w:p>
        </w:tc>
      </w:tr>
      <w:tr w14:paraId="7052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F71E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6D40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(2.25)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344EC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(0.40)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BA9B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(-0.67)</w:t>
            </w:r>
          </w:p>
        </w:tc>
      </w:tr>
      <w:tr w14:paraId="44A8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AD1EA7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228CB8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832D4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5B756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3E63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0E7EF19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D670FB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09699E7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D4AF43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13D1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1EC0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71FC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971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16E24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971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3969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971</w:t>
            </w:r>
          </w:p>
        </w:tc>
      </w:tr>
      <w:tr w14:paraId="1064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18F8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C49F7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0.221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35CA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0.173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E6B46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0.238</w:t>
            </w:r>
          </w:p>
        </w:tc>
      </w:tr>
      <w:tr w14:paraId="24E3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373F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DB31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A43A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80EC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2B02F548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0CC496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</w:rPr>
              <w:t>固定效应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7C714D7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B0F606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806F1D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10EF49D4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2CFEF43F">
      <w:pP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0B00EAB9">
      <w:pP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257AE76A">
      <w:pP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6C37614C">
      <w:pP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347A40F7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表A8  成为上市公司供应链主要成员对中小企业融资的影响（1：2）</w:t>
      </w:r>
    </w:p>
    <w:tbl>
      <w:tblPr>
        <w:tblStyle w:val="6"/>
        <w:tblW w:w="7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656"/>
        <w:gridCol w:w="2657"/>
      </w:tblGrid>
      <w:tr w14:paraId="1B64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4E5E1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87EF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(1)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DF316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(2)</w:t>
            </w:r>
          </w:p>
        </w:tc>
      </w:tr>
      <w:tr w14:paraId="566C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09B18B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1D6F0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2E5F4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Loan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 w14:paraId="59EE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BFC3D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F45C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0.017***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D43F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0.011*</w:t>
            </w:r>
          </w:p>
        </w:tc>
      </w:tr>
      <w:tr w14:paraId="15E8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A57F4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A67D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(3.55)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93D7E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(1.90)</w:t>
            </w:r>
          </w:p>
        </w:tc>
      </w:tr>
      <w:tr w14:paraId="1F76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00017D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47D8E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AA899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4A57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77EC3340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6ABC900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D1C9554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3E4E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B7BF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观测值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A783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24,369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8565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2,800</w:t>
            </w:r>
          </w:p>
        </w:tc>
      </w:tr>
      <w:tr w14:paraId="494D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7652F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R-squared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4C88E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0.115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8C04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0.109</w:t>
            </w:r>
          </w:p>
        </w:tc>
      </w:tr>
      <w:tr w14:paraId="5B87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7373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EE956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1263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260628BA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0C6988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</w:rPr>
              <w:t>固定效应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6EC57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33ABAF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1A5843DB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65F9B876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55D0606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B641F56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0246E82D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B9D0371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2839CC4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C032CB6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9CE7822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C312CED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8641682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E9C8864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981ADBF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5D26C2FF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表A9  供应链金融融资模式分析（1：2）</w:t>
      </w:r>
    </w:p>
    <w:tbl>
      <w:tblPr>
        <w:tblStyle w:val="6"/>
        <w:tblW w:w="9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000"/>
        <w:gridCol w:w="2447"/>
        <w:gridCol w:w="2008"/>
      </w:tblGrid>
      <w:tr w14:paraId="515A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47C2C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4E90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2447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7642D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E6CD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</w:tr>
      <w:tr w14:paraId="3F3F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D5C6C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078831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486D1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F16DCA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Loan2</w:t>
            </w:r>
          </w:p>
        </w:tc>
      </w:tr>
      <w:tr w14:paraId="792C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B1F38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B7FD6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0.012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CCE3F4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08A07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0.041***</w:t>
            </w:r>
          </w:p>
        </w:tc>
      </w:tr>
      <w:tr w14:paraId="0256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9E377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F260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(1.46)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A9CF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1974B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(3.67)</w:t>
            </w:r>
          </w:p>
        </w:tc>
      </w:tr>
      <w:tr w14:paraId="0066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896A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DID×AR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B47DE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0.076***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6072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DID×PE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261C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-0.398***</w:t>
            </w:r>
          </w:p>
        </w:tc>
      </w:tr>
      <w:tr w14:paraId="792F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E9E38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D64E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(3.16)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D160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6A72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(-3.43)</w:t>
            </w:r>
          </w:p>
        </w:tc>
      </w:tr>
      <w:tr w14:paraId="04E6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0962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AR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937D2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0.090***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5E1EC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PE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1A00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0.111</w:t>
            </w:r>
          </w:p>
        </w:tc>
      </w:tr>
      <w:tr w14:paraId="238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ECDD4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64930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(4.40)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C9B9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603DD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(1.54)</w:t>
            </w:r>
          </w:p>
        </w:tc>
      </w:tr>
      <w:tr w14:paraId="0CFE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D0F54A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A39C7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395F4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D61F81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45FC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9F5459C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719582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F3DEE31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34B5DDD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3CDE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2C71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B2AD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19,942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7F33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5CF45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</w:t>
            </w: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</w:tr>
      <w:tr w14:paraId="1A13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6E6E1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665C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0.124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16AD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25031F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</w:t>
            </w: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191</w:t>
            </w:r>
          </w:p>
        </w:tc>
      </w:tr>
      <w:tr w14:paraId="5EC2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E5C9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4D6F1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05FE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302D3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3191EC0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2EB8A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</w:rPr>
              <w:t>固定效应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D4CF54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6D8431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年份×行业固定效应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F8412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473B069E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2F29CA7D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FCF0DCC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10C79B8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075C87B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7FA03B2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F16535F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</w:p>
    <w:p w14:paraId="70910524">
      <w:pPr>
        <w:jc w:val="center"/>
        <w:rPr>
          <w:rFonts w:hint="default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表A10  关于中小企业市场力量的进一步分析（1：2）</w:t>
      </w:r>
    </w:p>
    <w:tbl>
      <w:tblPr>
        <w:tblStyle w:val="6"/>
        <w:tblW w:w="10520" w:type="dxa"/>
        <w:tblInd w:w="-1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392"/>
        <w:gridCol w:w="1392"/>
        <w:gridCol w:w="1392"/>
        <w:gridCol w:w="1392"/>
        <w:gridCol w:w="1392"/>
        <w:gridCol w:w="1392"/>
      </w:tblGrid>
      <w:tr w14:paraId="3A6A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noWrap w:val="0"/>
            <w:vAlign w:val="top"/>
          </w:tcPr>
          <w:p w14:paraId="2B897CD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176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01735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中小企业为主要供应商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09B3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中小企业为主要客户</w:t>
            </w:r>
          </w:p>
        </w:tc>
      </w:tr>
      <w:tr w14:paraId="10C5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Merge w:val="continue"/>
            <w:tcBorders>
              <w:left w:val="nil"/>
              <w:right w:val="nil"/>
              <w:tl2br w:val="nil"/>
              <w:tr2bl w:val="nil"/>
            </w:tcBorders>
            <w:noWrap w:val="0"/>
            <w:vAlign w:val="top"/>
          </w:tcPr>
          <w:p w14:paraId="0FB1714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8295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233B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5ACC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13921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(4)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5185A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(5)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790F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(6)</w:t>
            </w:r>
          </w:p>
        </w:tc>
      </w:tr>
      <w:tr w14:paraId="24A5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Merge w:val="continue"/>
            <w:tcBorders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CC51A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12EEB3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516C9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Credit_S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42F22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Credit_S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1E2DCD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BC9337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Credit_C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0248FB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Credit_C</w:t>
            </w:r>
          </w:p>
        </w:tc>
      </w:tr>
      <w:tr w14:paraId="13CA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D56A4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692B2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0.020**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ED70F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C1FB8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41EE7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33F4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-0.052**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2048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-0.054***</w:t>
            </w:r>
          </w:p>
        </w:tc>
      </w:tr>
      <w:tr w14:paraId="166B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387C4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17FC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(8.09)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34F72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(0.41)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58E26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(-0.54)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3838C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(0.48)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08B8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(-2.75)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6CABE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(-3.60)</w:t>
            </w:r>
          </w:p>
        </w:tc>
      </w:tr>
      <w:tr w14:paraId="4930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B68D48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DID×MP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81CC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0.000**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58929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306FC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0.005**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3460B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03DA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E07D2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</w:tr>
      <w:tr w14:paraId="3A51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14216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1EFE0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(5.31)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3D4E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103D4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(2.24)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052B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(-0.01)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E90D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8528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(0.51)</w:t>
            </w:r>
          </w:p>
        </w:tc>
      </w:tr>
      <w:tr w14:paraId="070D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6A766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MP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F872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05F3B5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BFE0B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C79F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B6E39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29816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-0.002</w:t>
            </w:r>
          </w:p>
        </w:tc>
      </w:tr>
      <w:tr w14:paraId="38C0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F353C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B13E6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(4.79)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CC14B4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3B6A2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(1.14)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45ED5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(0.39)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C717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128B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(-1.02)</w:t>
            </w:r>
          </w:p>
        </w:tc>
      </w:tr>
      <w:tr w14:paraId="55CA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06CAE7">
            <w:pPr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3DA047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F42BF8">
            <w:pPr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AEF1E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68BE1D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E44A7D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977D1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65DB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63C953">
            <w:pPr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7A58BF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D9B6D3">
            <w:pPr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C72AA9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DE9D61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54A154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17F2B9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95E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5A296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3378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19,942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65C604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1,438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94FD6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1,438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3C5D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18,438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FEB9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1,304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9628D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1,304</w:t>
            </w:r>
          </w:p>
        </w:tc>
      </w:tr>
      <w:tr w14:paraId="0ECE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B2275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2B756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847AF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E9885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7BA1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FD7FF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E15C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01B1C3A6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7F234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</w:rPr>
              <w:t>固定效应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B2580C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057B5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51906A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10120E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86639E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13A44A8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132A2D8B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4001EAB9">
      <w:pPr>
        <w:rPr>
          <w:rFonts w:hint="eastAsia" w:ascii="仿宋" w:hAnsi="仿宋" w:eastAsia="仿宋" w:cs="Times New Roman"/>
          <w:b/>
          <w:bCs/>
          <w:szCs w:val="21"/>
        </w:rPr>
      </w:pPr>
      <w:r>
        <w:rPr>
          <w:rFonts w:hint="eastAsia" w:ascii="仿宋" w:hAnsi="仿宋" w:eastAsia="仿宋" w:cs="Times New Roman"/>
          <w:b/>
          <w:bCs/>
          <w:szCs w:val="21"/>
        </w:rPr>
        <w:br w:type="page"/>
      </w:r>
    </w:p>
    <w:p w14:paraId="2CAC9B1A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1A4FA5EF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1AC5D8CB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表A11 中国工业企业数据库2001年至2013年</w:t>
      </w:r>
    </w:p>
    <w:tbl>
      <w:tblPr>
        <w:tblStyle w:val="6"/>
        <w:tblW w:w="8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8"/>
        <w:gridCol w:w="2303"/>
        <w:gridCol w:w="2303"/>
      </w:tblGrid>
      <w:tr w14:paraId="6530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89ECA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D6BAE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230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6F7DA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</w:tr>
      <w:tr w14:paraId="0539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69342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BFAF2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4C27E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</w:tr>
      <w:tr w14:paraId="66E5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D6B2B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CD92E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0.017***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F5D4C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0.011</w:t>
            </w:r>
          </w:p>
        </w:tc>
      </w:tr>
      <w:tr w14:paraId="2B11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FEF9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CC5FF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(3.40)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CE56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(1.30)</w:t>
            </w:r>
          </w:p>
        </w:tc>
      </w:tr>
      <w:tr w14:paraId="7B47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E0395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DID×AR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4F409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05F75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0.076***</w:t>
            </w:r>
          </w:p>
        </w:tc>
      </w:tr>
      <w:tr w14:paraId="682B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E715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0274C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4C6D5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(2.75)</w:t>
            </w:r>
          </w:p>
        </w:tc>
      </w:tr>
      <w:tr w14:paraId="0A15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0E783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AR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0D46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1D205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0.111***</w:t>
            </w:r>
          </w:p>
        </w:tc>
      </w:tr>
      <w:tr w14:paraId="2669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AA0C9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2325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6FF2A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(5.12)</w:t>
            </w:r>
          </w:p>
        </w:tc>
      </w:tr>
      <w:tr w14:paraId="5DE6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93838F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9FA21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9CC920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4C64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C981DE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4FE9E3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8848FEF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1D9A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96DF0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AE4CE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20,990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0DA24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15,824</w:t>
            </w:r>
          </w:p>
        </w:tc>
      </w:tr>
      <w:tr w14:paraId="4D50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427C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3B6F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0.125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82978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0.137</w:t>
            </w:r>
          </w:p>
        </w:tc>
      </w:tr>
      <w:tr w14:paraId="4F1C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DD3A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2C16F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D1774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1606A620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96454F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</w:rPr>
              <w:t>固定效应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3271A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F8A4A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5D346E72">
      <w:pPr>
        <w:spacing w:line="240" w:lineRule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17B6F456">
      <w:pPr>
        <w:jc w:val="center"/>
        <w:rPr>
          <w:rFonts w:hint="eastAsia" w:ascii="仿宋" w:hAnsi="仿宋" w:eastAsia="仿宋" w:cs="Times New Roman"/>
          <w:b/>
          <w:bCs/>
          <w:szCs w:val="21"/>
        </w:rPr>
      </w:pPr>
    </w:p>
    <w:p w14:paraId="0DEBC640">
      <w:pPr>
        <w:rPr>
          <w:rFonts w:hint="eastAsia" w:ascii="仿宋" w:hAnsi="仿宋" w:eastAsia="仿宋" w:cs="Times New Roman"/>
          <w:b/>
          <w:bCs/>
          <w:szCs w:val="21"/>
        </w:rPr>
      </w:pPr>
      <w:r>
        <w:rPr>
          <w:rFonts w:hint="eastAsia" w:ascii="仿宋" w:hAnsi="仿宋" w:eastAsia="仿宋" w:cs="Times New Roman"/>
          <w:b/>
          <w:bCs/>
          <w:szCs w:val="21"/>
        </w:rPr>
        <w:br w:type="page"/>
      </w:r>
    </w:p>
    <w:p w14:paraId="2E206C5B">
      <w:pPr>
        <w:spacing w:line="240" w:lineRule="auto"/>
        <w:ind w:firstLine="420" w:firstLineChars="0"/>
        <w:jc w:val="center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6300B9EB">
      <w:pPr>
        <w:spacing w:line="240" w:lineRule="auto"/>
        <w:ind w:firstLine="420" w:firstLineChars="0"/>
        <w:jc w:val="center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</w:p>
    <w:p w14:paraId="063965BA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表A12  成为上市公司供应链主要成员对中小企业融资的影响（滞后一期）</w:t>
      </w:r>
    </w:p>
    <w:tbl>
      <w:tblPr>
        <w:tblStyle w:val="6"/>
        <w:tblW w:w="104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632"/>
        <w:gridCol w:w="1632"/>
        <w:gridCol w:w="1632"/>
        <w:gridCol w:w="1632"/>
        <w:gridCol w:w="1633"/>
      </w:tblGrid>
      <w:tr w14:paraId="3D63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27F6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1FB1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B7CA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B28A1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(3)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BDAB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(4)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AD07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(5)</w:t>
            </w:r>
          </w:p>
        </w:tc>
      </w:tr>
      <w:tr w14:paraId="34E1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55ABD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95B09D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21AF4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EAD1FA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Loan_C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910737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Loan_P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0DF0F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Loan_F</w:t>
            </w:r>
          </w:p>
        </w:tc>
      </w:tr>
      <w:tr w14:paraId="02AC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25E46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L.DID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FFC0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0.029***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AB977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0.026***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5E023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0.004**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7F4E5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8985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0.009**</w:t>
            </w:r>
          </w:p>
        </w:tc>
      </w:tr>
      <w:tr w14:paraId="0C7E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F7295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054B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(4.40)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3A1D7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(5.12)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806C4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(2.89)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9073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(1.68)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4CEFF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(2.86)</w:t>
            </w:r>
          </w:p>
        </w:tc>
      </w:tr>
      <w:tr w14:paraId="74AB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45EB66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37F3FE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AEBEDD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D9627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2746E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23EAB4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797E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D68B2E0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699BE36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A529E37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3773B15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FC7E61E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6D8BC16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1440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FAFE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5217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10,170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BF06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1,087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C19F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1,087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F2BA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1,087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C7F81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1,087</w:t>
            </w:r>
          </w:p>
        </w:tc>
      </w:tr>
      <w:tr w14:paraId="76D8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F00E0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C12F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0.064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33D5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0.165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5B06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0.191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B7DB6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0.182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A9E2F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0.080</w:t>
            </w:r>
          </w:p>
        </w:tc>
      </w:tr>
      <w:tr w14:paraId="5A56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C4E8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15EB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30E6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3496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7C13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EC796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1D96D941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08719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eastAsia="zh-CN"/>
              </w:rPr>
              <w:t>年份×行业固定效应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9A1F9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679A6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C38B2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741C55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2B375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4BC5D2CF">
      <w:pPr>
        <w:spacing w:line="240" w:lineRule="auto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2275A9BF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F85D681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2FB9DDE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737DCC0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85B5BFD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F625046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表A13  应收账款融资模式分析（滞后一期）</w:t>
      </w:r>
    </w:p>
    <w:tbl>
      <w:tblPr>
        <w:tblStyle w:val="6"/>
        <w:tblW w:w="88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643"/>
        <w:gridCol w:w="1643"/>
        <w:gridCol w:w="1643"/>
        <w:gridCol w:w="1643"/>
      </w:tblGrid>
      <w:tr w14:paraId="5A0C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6BAAB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359CF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164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ADC83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  <w:tc>
          <w:tcPr>
            <w:tcW w:w="164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FB921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(3)</w:t>
            </w:r>
          </w:p>
        </w:tc>
        <w:tc>
          <w:tcPr>
            <w:tcW w:w="164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EF6F8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(4)</w:t>
            </w:r>
          </w:p>
        </w:tc>
      </w:tr>
      <w:tr w14:paraId="7445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6CE895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5F39B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4DFFE7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Loan_C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B6EF4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Loan_P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BE47F8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Loan_F</w:t>
            </w:r>
          </w:p>
        </w:tc>
      </w:tr>
      <w:tr w14:paraId="2BA8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B6EA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L.DID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01D5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0.020*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9BC7B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C1BF5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05894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-0.022</w:t>
            </w:r>
          </w:p>
        </w:tc>
      </w:tr>
      <w:tr w14:paraId="625E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24487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4EFE8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(1.83)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BDDD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(0.51)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CE89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(0.84)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4A67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(-1.77)</w:t>
            </w:r>
          </w:p>
        </w:tc>
      </w:tr>
      <w:tr w14:paraId="0417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EF754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L.DID×AR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F5AE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0.086**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D9255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CEE52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-0.015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57E1A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0.050**</w:t>
            </w:r>
          </w:p>
        </w:tc>
      </w:tr>
      <w:tr w14:paraId="4706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386E1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F4EB5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(2.19)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5AB37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(0.38)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18A1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(-1.02)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8305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(2.86)</w:t>
            </w:r>
          </w:p>
        </w:tc>
      </w:tr>
      <w:tr w14:paraId="44B3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8E874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L.AR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BB51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0.037*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EDD2F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-0.016***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84297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-0.015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8189A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</w:tr>
      <w:tr w14:paraId="6180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7493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818A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(1.81)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3594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(-3.55)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0682F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(-1.05)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04C2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(0.16)</w:t>
            </w:r>
          </w:p>
        </w:tc>
      </w:tr>
      <w:tr w14:paraId="4949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594261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F76714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8D3785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D87707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CFE452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548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F05A951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C3F752F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3DD54954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4D17462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978C4A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26A7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E33B6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A828A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7,725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A83D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827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75C4F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827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CAF36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827</w:t>
            </w:r>
          </w:p>
        </w:tc>
      </w:tr>
      <w:tr w14:paraId="7280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6F913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45DB3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0.072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4E76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0.241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05A1E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0.233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8167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0.132</w:t>
            </w:r>
          </w:p>
        </w:tc>
      </w:tr>
      <w:tr w14:paraId="349B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B2C9C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FD68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3B65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57EEE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D67B4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2D6396C6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77918D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eastAsia="zh-CN"/>
              </w:rPr>
              <w:t>年份×行业固定效应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28861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A3649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342ACB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BD59A8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647FA506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27BA6693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81F11AC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1A39E9B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0F83773B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A3A12D0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5EA0100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5B859D66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F06BCFD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D0B3B87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D7D9E18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表A14  预付账款融资模式分析（滞后一期）</w:t>
      </w:r>
    </w:p>
    <w:tbl>
      <w:tblPr>
        <w:tblStyle w:val="6"/>
        <w:tblW w:w="86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016"/>
        <w:gridCol w:w="2016"/>
        <w:gridCol w:w="2016"/>
      </w:tblGrid>
      <w:tr w14:paraId="6747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01D1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6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B2F18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  <w:tc>
          <w:tcPr>
            <w:tcW w:w="2016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2CE97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(3)</w:t>
            </w:r>
          </w:p>
        </w:tc>
        <w:tc>
          <w:tcPr>
            <w:tcW w:w="2016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FA2B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(4)</w:t>
            </w:r>
          </w:p>
        </w:tc>
      </w:tr>
      <w:tr w14:paraId="4B9F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F8BDF6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60E11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77FD4C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Loan_C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020578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Loan_P</w:t>
            </w:r>
          </w:p>
        </w:tc>
      </w:tr>
      <w:tr w14:paraId="7B0B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643B0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L.DID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DAD5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0.042***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2DDA4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0.003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6A5C8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0.020***</w:t>
            </w:r>
          </w:p>
        </w:tc>
      </w:tr>
      <w:tr w14:paraId="0CB0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9F072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86C76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(3.15)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11BE2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(0.87)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013D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(3.70)</w:t>
            </w:r>
          </w:p>
        </w:tc>
      </w:tr>
      <w:tr w14:paraId="50F3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824A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L.DID×PE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678ED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-0.173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D8AD1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0.021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E2D02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-0.013</w:t>
            </w:r>
          </w:p>
        </w:tc>
      </w:tr>
      <w:tr w14:paraId="28B0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BA3C0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4A61B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(-1.50)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9189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(0.64)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74CB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(-0.18)</w:t>
            </w:r>
          </w:p>
        </w:tc>
      </w:tr>
      <w:tr w14:paraId="21C1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346BA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L.PE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8382B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0.065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5A0EA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-0.005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4321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0.018</w:t>
            </w:r>
          </w:p>
        </w:tc>
      </w:tr>
      <w:tr w14:paraId="5297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84A3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F79F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(0.69)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E5FCD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(-0.35)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3861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(0.39)</w:t>
            </w:r>
          </w:p>
        </w:tc>
      </w:tr>
      <w:tr w14:paraId="00D6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5D65D4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580A9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163DEB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121ABF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BF0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7115047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F652EF0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249680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EC3F82E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7CBF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2100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C20A4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758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D569A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758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224B6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758</w:t>
            </w:r>
          </w:p>
        </w:tc>
      </w:tr>
      <w:tr w14:paraId="6FEB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6BB26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R-squared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5CAAC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0.231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0E086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0.321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5AC6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0.296</w:t>
            </w:r>
          </w:p>
        </w:tc>
      </w:tr>
      <w:tr w14:paraId="2664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3CF59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9A95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7E85F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7D9C2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13BC290E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627E2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eastAsia="zh-CN"/>
              </w:rPr>
              <w:t>年份×行业固定效应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587A4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49CEE0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2EDF0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6915B884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31836B6C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7C684EC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28E9E3F6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58BA9B6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F22C55C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CDF86E7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表A15  关于中小企业市场力量的进一步分析（滞后一期）</w:t>
      </w:r>
    </w:p>
    <w:tbl>
      <w:tblPr>
        <w:tblStyle w:val="6"/>
        <w:tblW w:w="10520" w:type="dxa"/>
        <w:tblInd w:w="-1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392"/>
        <w:gridCol w:w="1392"/>
        <w:gridCol w:w="1392"/>
        <w:gridCol w:w="1392"/>
        <w:gridCol w:w="1392"/>
        <w:gridCol w:w="1392"/>
      </w:tblGrid>
      <w:tr w14:paraId="5F5A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noWrap w:val="0"/>
            <w:vAlign w:val="top"/>
          </w:tcPr>
          <w:p w14:paraId="6F1064E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176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78086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中小企业为主要供应商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2569B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中小企业为主要客户</w:t>
            </w:r>
          </w:p>
        </w:tc>
      </w:tr>
      <w:tr w14:paraId="5F5F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Merge w:val="continue"/>
            <w:tcBorders>
              <w:left w:val="nil"/>
              <w:right w:val="nil"/>
              <w:tl2br w:val="nil"/>
              <w:tr2bl w:val="nil"/>
            </w:tcBorders>
            <w:noWrap w:val="0"/>
            <w:vAlign w:val="top"/>
          </w:tcPr>
          <w:p w14:paraId="1B5F44D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0E5F7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B09F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E44D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(3)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CC9CA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(4)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667B3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(5)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AB265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(6)</w:t>
            </w:r>
          </w:p>
        </w:tc>
      </w:tr>
      <w:tr w14:paraId="740B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Merge w:val="continue"/>
            <w:tcBorders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456751A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0DDA44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5B6279A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Credit_S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5CA60C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Credit_S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CD4A70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CDEC3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Credit_C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0A11ED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Credit_C</w:t>
            </w:r>
          </w:p>
        </w:tc>
      </w:tr>
      <w:tr w14:paraId="1C82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7A863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98D63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940F8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-0.039**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03ACC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-0.045***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A50B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FCAA9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33FA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</w:tr>
      <w:tr w14:paraId="2B3B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7D065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BBCAF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(2.02)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47941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(-2.72)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BA086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(-5.51)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DF7DE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(0.37)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FD0E0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(-0.12)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AAFF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(0.09)</w:t>
            </w:r>
          </w:p>
        </w:tc>
      </w:tr>
      <w:tr w14:paraId="7691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17964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DID×MP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A3F9E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12151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4629E0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0.004***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67D21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4E8E1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8847C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-0.001</w:t>
            </w:r>
          </w:p>
        </w:tc>
      </w:tr>
      <w:tr w14:paraId="3A69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680E5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CDEA6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(2.98)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E1BB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2F59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(5.37)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A492F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(0.84)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933D1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A5CF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(-0.82)</w:t>
            </w:r>
          </w:p>
        </w:tc>
      </w:tr>
      <w:tr w14:paraId="707F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7502BE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MP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371E2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0.002**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7C0766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2E1C32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E854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11F4F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B4DD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-0.002</w:t>
            </w:r>
          </w:p>
        </w:tc>
      </w:tr>
      <w:tr w14:paraId="4914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5DD0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4D204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(4.60)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21F8F9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A7DE3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(0.84)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9684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(0.54)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0BC4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0B9DE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(-0.46)</w:t>
            </w:r>
          </w:p>
        </w:tc>
      </w:tr>
      <w:tr w14:paraId="2CDD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944029">
            <w:pPr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D9C576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F6193A">
            <w:pPr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9F8D7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2CF880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FABEC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860201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1F00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185F24">
            <w:pPr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87FF0F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E20CB0">
            <w:pPr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7C2975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BA95AF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141FDD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3BC01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5078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4F232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E19D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15,824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B19D1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797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6E62DD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797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F7FF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14,261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A506C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758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7E4AA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758</w:t>
            </w:r>
          </w:p>
        </w:tc>
      </w:tr>
      <w:tr w14:paraId="6BEF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D26A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3C525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0.133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FAB4C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0.260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FCE02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F8EF9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0.126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D4898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0.140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B59EF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0.143</w:t>
            </w:r>
          </w:p>
        </w:tc>
      </w:tr>
      <w:tr w14:paraId="5D05139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7F2E82C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</w:t>
            </w:r>
            <w:r>
              <w:rPr>
                <w:rFonts w:hint="eastAsia" w:ascii="Arial" w:hAnsi="Arial" w:eastAsia="仿宋" w:cs="Arial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</w:rPr>
              <w:t>固定效应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06DD27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085CDF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F87D1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84931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0C2E0B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593C688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60E344D9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7EEE4FFF">
      <w:pPr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br w:type="page"/>
      </w:r>
    </w:p>
    <w:p w14:paraId="7DCDD0A6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74D143E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表A16  成为上市公司供应链主要成员对中小企业融资的影响（分数响应模型）</w:t>
      </w:r>
    </w:p>
    <w:tbl>
      <w:tblPr>
        <w:tblStyle w:val="6"/>
        <w:tblW w:w="8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681"/>
        <w:gridCol w:w="2681"/>
      </w:tblGrid>
      <w:tr w14:paraId="3AAF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vMerge w:val="restart"/>
            <w:tcBorders>
              <w:top w:val="single" w:color="auto" w:sz="6" w:space="0"/>
              <w:left w:val="nil"/>
              <w:right w:val="nil"/>
              <w:tl2br w:val="nil"/>
              <w:tr2bl w:val="nil"/>
            </w:tcBorders>
            <w:noWrap w:val="0"/>
            <w:vAlign w:val="top"/>
          </w:tcPr>
          <w:p w14:paraId="7D26CC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81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EDB83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2681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BCAEC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</w:tr>
      <w:tr w14:paraId="2C9E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vMerge w:val="continue"/>
            <w:tcBorders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088F3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72B527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3001603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Loan2</w:t>
            </w:r>
          </w:p>
        </w:tc>
      </w:tr>
      <w:tr w14:paraId="636D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09C95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9788B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0.032***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D8337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0.151***</w:t>
            </w:r>
          </w:p>
        </w:tc>
      </w:tr>
      <w:tr w14:paraId="2FB3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18EF4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FCE0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(2.94)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7814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(3.69)</w:t>
            </w:r>
          </w:p>
        </w:tc>
      </w:tr>
      <w:tr w14:paraId="3C65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0F390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296560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19F40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0DFC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6EB66315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7DF78742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75EA5AF7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</w:tr>
      <w:tr w14:paraId="2C33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55352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C2CA3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17,950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F5393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1,385</w:t>
            </w:r>
          </w:p>
        </w:tc>
      </w:tr>
      <w:tr w14:paraId="7413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DD17F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eastAsia="zh-CN"/>
              </w:rPr>
              <w:t>个体固定效应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9485A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C4AD6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5A4151AF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6DC60BD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eastAsia="zh-CN"/>
              </w:rPr>
              <w:t>年份×行业固定效应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AF21B50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7C094B5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7E945E29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4862BBB9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</w:pPr>
    </w:p>
    <w:p w14:paraId="49C8CEC2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023AC052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A69C41C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7998AA69">
      <w:pPr>
        <w:jc w:val="center"/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20"/>
          <w:lang w:val="en-US" w:eastAsia="zh-CN"/>
        </w:rPr>
        <w:t>表A17  供应链金融融资模式分析（分数响应模型）</w:t>
      </w:r>
    </w:p>
    <w:tbl>
      <w:tblPr>
        <w:tblStyle w:val="6"/>
        <w:tblW w:w="8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867"/>
        <w:gridCol w:w="2453"/>
        <w:gridCol w:w="1633"/>
      </w:tblGrid>
      <w:tr w14:paraId="7C65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314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1C9DC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BE28B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(1)</w:t>
            </w:r>
          </w:p>
        </w:tc>
        <w:tc>
          <w:tcPr>
            <w:tcW w:w="245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0239D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49D69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(2)</w:t>
            </w:r>
          </w:p>
        </w:tc>
      </w:tr>
      <w:tr w14:paraId="1B4C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7F0328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0970796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loan1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AB866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0FC18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Loan2</w:t>
            </w:r>
          </w:p>
        </w:tc>
      </w:tr>
      <w:tr w14:paraId="2416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6403B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8B56B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0.008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E1C1D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46FA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0.296***</w:t>
            </w:r>
          </w:p>
        </w:tc>
      </w:tr>
      <w:tr w14:paraId="5334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F8CEF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A117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(0.42)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94BD0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2BBCB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(3.77)</w:t>
            </w:r>
          </w:p>
        </w:tc>
      </w:tr>
      <w:tr w14:paraId="6B47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9CE64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DID×AR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3683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0.194**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AD4CB3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DID×PE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A3C11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-1.223**</w:t>
            </w:r>
          </w:p>
        </w:tc>
      </w:tr>
      <w:tr w14:paraId="20DB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3EB5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8A367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(2.41)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B565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583F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(-2.15)</w:t>
            </w:r>
          </w:p>
        </w:tc>
      </w:tr>
      <w:tr w14:paraId="5FD5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E92BD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AR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FA46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0.666***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A14E0B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PE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4F791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0.417</w:t>
            </w:r>
          </w:p>
        </w:tc>
      </w:tr>
      <w:tr w14:paraId="7D6A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6EB33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F90B7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(16.92)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7147D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22B0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(0.94)</w:t>
            </w:r>
          </w:p>
        </w:tc>
      </w:tr>
      <w:tr w14:paraId="7C08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E76B8B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E131FA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D4724B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B5BC32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控制变量</w:t>
            </w:r>
          </w:p>
        </w:tc>
      </w:tr>
      <w:tr w14:paraId="756A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2A68EC02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12DF38B7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4E0E33D3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Cs/>
                <w:sz w:val="18"/>
                <w:szCs w:val="18"/>
              </w:rPr>
              <w:t>控制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78C0F1BC">
            <w:pPr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i/>
                <w:iCs/>
                <w:sz w:val="18"/>
                <w:szCs w:val="18"/>
              </w:rPr>
              <w:t>常数项</w:t>
            </w:r>
          </w:p>
        </w:tc>
      </w:tr>
      <w:tr w14:paraId="55D3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8E97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66CC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13,649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EDDF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观测值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CC9771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</w:tr>
      <w:tr w14:paraId="1A5A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75B99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eastAsia="zh-CN"/>
              </w:rPr>
              <w:t>个体固定效应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470A67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55D4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个体固定效应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3556EC"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  <w:tr w14:paraId="0655B0CC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7F23BD6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18"/>
                <w:szCs w:val="18"/>
                <w:highlight w:val="none"/>
                <w:lang w:eastAsia="zh-CN"/>
              </w:rPr>
              <w:t>年份×行业固定效应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7B7BE5C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686003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年份×行业固定效应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39935B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控制</w:t>
            </w:r>
          </w:p>
        </w:tc>
      </w:tr>
    </w:tbl>
    <w:p w14:paraId="4980D4FE">
      <w:pPr>
        <w:spacing w:line="240" w:lineRule="auto"/>
        <w:ind w:firstLine="420" w:firstLineChars="0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注：括号中为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z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统计量，*、**、***分别表示系数在10%、5%、1%显著性水平上显著。</w:t>
      </w:r>
    </w:p>
    <w:p w14:paraId="5ED5AD46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1A66D88D">
      <w:pPr>
        <w:spacing w:line="240" w:lineRule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A265996">
      <w:pPr>
        <w:jc w:val="left"/>
        <w:rPr>
          <w:rFonts w:ascii="华文仿宋" w:hAnsi="华文仿宋" w:eastAsia="华文仿宋"/>
        </w:rPr>
      </w:pPr>
    </w:p>
    <w:p w14:paraId="585CB663">
      <w:pPr>
        <w:widowControl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注：该附录是期刊所发表论文的组成部分，同样视为作者公开发表的内容。如研究中使用该附录中的内容，请务必在研究成果上注明附录下载出处。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5E7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B77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B77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23F08">
    <w:pPr>
      <w:pStyle w:val="3"/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 2024年第4期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NWZhMmRiMTY5YWI4NjAwOTAyNmUyMjJkNDE2NTcifQ=="/>
  </w:docVars>
  <w:rsids>
    <w:rsidRoot w:val="00E31676"/>
    <w:rsid w:val="000F7936"/>
    <w:rsid w:val="007A69A3"/>
    <w:rsid w:val="00B739D2"/>
    <w:rsid w:val="00CC01E5"/>
    <w:rsid w:val="00E31676"/>
    <w:rsid w:val="00FE51A5"/>
    <w:rsid w:val="270B7BF6"/>
    <w:rsid w:val="3D7F7521"/>
    <w:rsid w:val="3D800281"/>
    <w:rsid w:val="4EB03E0F"/>
    <w:rsid w:val="535115CE"/>
    <w:rsid w:val="56993049"/>
    <w:rsid w:val="5E551CC4"/>
    <w:rsid w:val="79D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after="100"/>
    </w:pPr>
    <w:rPr>
      <w:rFonts w:cs="Times New Roman"/>
    </w:rPr>
  </w:style>
  <w:style w:type="paragraph" w:styleId="5">
    <w:name w:val="Title"/>
    <w:basedOn w:val="1"/>
    <w:next w:val="1"/>
    <w:qFormat/>
    <w:uiPriority w:val="10"/>
    <w:pPr>
      <w:spacing w:before="240" w:after="60"/>
      <w:outlineLvl w:val="0"/>
    </w:pPr>
    <w:rPr>
      <w:rFonts w:eastAsia="黑体" w:asciiTheme="majorHAnsi" w:hAnsiTheme="majorHAnsi" w:cstheme="majorBidi"/>
      <w:b/>
      <w:bCs/>
      <w:sz w:val="24"/>
      <w:szCs w:val="32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table" w:customStyle="1" w:styleId="11">
    <w:name w:val="Plain Table 5"/>
    <w:basedOn w:val="6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2">
    <w:name w:val="Plain Table 2"/>
    <w:basedOn w:val="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2778</Words>
  <Characters>5744</Characters>
  <Lines>15</Lines>
  <Paragraphs>4</Paragraphs>
  <TotalTime>5</TotalTime>
  <ScaleCrop>false</ScaleCrop>
  <LinksUpToDate>false</LinksUpToDate>
  <CharactersWithSpaces>5787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2023-06-25T02:18:00Z</dcterms:created>
  <dc:creator>yao ruoqi</dc:creator>
  <cp:lastModifiedBy>刘京</cp:lastModifiedBy>
  <dcterms:modified xsi:type="dcterms:W3CDTF">2024-07-22T10:11:18Z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3758EF01895D4F6BAFE72B65595089ED_12</vt:lpwstr>
  </property>
</Properties>
</file>