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A6572">
      <w:pPr>
        <w:ind w:firstLine="420"/>
        <w:jc w:val="center"/>
        <w:rPr>
          <w:rFonts w:ascii="仿宋" w:hAnsi="仿宋" w:eastAsia="仿宋"/>
          <w:b/>
          <w:bCs/>
          <w:sz w:val="32"/>
          <w:szCs w:val="36"/>
        </w:rPr>
      </w:pPr>
      <w:r>
        <w:rPr>
          <w:rFonts w:hint="eastAsia" w:ascii="仿宋" w:hAnsi="仿宋" w:eastAsia="仿宋"/>
          <w:b/>
          <w:bCs/>
          <w:sz w:val="32"/>
          <w:szCs w:val="36"/>
        </w:rPr>
        <w:t>数据说明</w:t>
      </w:r>
    </w:p>
    <w:p w14:paraId="4B8D5859">
      <w:pPr>
        <w:ind w:firstLine="420"/>
        <w:rPr>
          <w:rFonts w:ascii="仿宋" w:hAnsi="仿宋" w:eastAsia="仿宋"/>
        </w:rPr>
      </w:pPr>
      <w:r>
        <w:rPr>
          <w:rFonts w:hint="eastAsia" w:ascii="仿宋" w:hAnsi="仿宋" w:eastAsia="仿宋"/>
        </w:rPr>
        <w:t>（一）数据来源与收集方式</w:t>
      </w:r>
    </w:p>
    <w:p w14:paraId="79CB4B4C">
      <w:pPr>
        <w:ind w:firstLine="420"/>
        <w:rPr>
          <w:rFonts w:hint="default" w:ascii="Times New Roman" w:hAnsi="Times New Roman" w:eastAsia="仿宋" w:cs="Times New Roman"/>
        </w:rPr>
      </w:pPr>
      <w:r>
        <w:rPr>
          <w:rFonts w:hint="eastAsia" w:ascii="仿宋" w:hAnsi="仿宋" w:eastAsia="仿宋"/>
        </w:rPr>
        <w:t>本文使用的原始数据为全国农村固定观察点数据，该数据是由农业农村部主导的逐年农户层级跟踪调查数据库，具有全国代表性以及权威性，是目前全国样本数量规模最大的家户跟踪式抽样面板数据。全国农村固定观察点是根据中国农村改革的需要,在</w:t>
      </w:r>
      <w:r>
        <w:rPr>
          <w:rFonts w:hint="default" w:ascii="Times New Roman" w:hAnsi="Times New Roman" w:eastAsia="仿宋" w:cs="Times New Roman"/>
        </w:rPr>
        <w:t>1984</w:t>
      </w:r>
      <w:r>
        <w:rPr>
          <w:rFonts w:hint="eastAsia" w:ascii="仿宋" w:hAnsi="仿宋" w:eastAsia="仿宋"/>
        </w:rPr>
        <w:t>年开展的全国社会经济典型调查的基础上,经中共中央书记处同意，由原中共中央农村政策研究室、国务院农村发展研究中心建立起来的。它是一个在全国范围内按类型和抽样相结合选定村庄和农户并进行连续跟踪调查的系统，其建立初衷是为了向中央和各级党政部门提供中国农村微观经济运行的重要信息和基本数据,作为制订农业和农村政策的参考资料。全国农村固定观察</w:t>
      </w:r>
      <w:r>
        <w:rPr>
          <w:rFonts w:hint="default" w:ascii="Times New Roman" w:hAnsi="Times New Roman" w:eastAsia="仿宋" w:cs="Times New Roman"/>
        </w:rPr>
        <w:t>点调查自1986年开始，每年调查村庄350个左右，调查农户2万多户，样本分布在全国除港澳台外的31个省、自治区和直辖市。根据连续跟踪调查的原则，各省</w:t>
      </w:r>
      <w:r>
        <w:rPr>
          <w:rFonts w:hint="eastAsia" w:eastAsia="仿宋" w:cs="Times New Roman"/>
          <w:lang w:eastAsia="zh-CN"/>
        </w:rPr>
        <w:t>（</w:t>
      </w:r>
      <w:r>
        <w:rPr>
          <w:rFonts w:hint="default" w:ascii="Times New Roman" w:hAnsi="Times New Roman" w:eastAsia="仿宋" w:cs="Times New Roman"/>
        </w:rPr>
        <w:t>市、自治区</w:t>
      </w:r>
      <w:r>
        <w:rPr>
          <w:rFonts w:hint="eastAsia" w:eastAsia="仿宋" w:cs="Times New Roman"/>
          <w:lang w:eastAsia="zh-CN"/>
        </w:rPr>
        <w:t>）</w:t>
      </w:r>
      <w:r>
        <w:rPr>
          <w:rFonts w:hint="default" w:ascii="Times New Roman" w:hAnsi="Times New Roman" w:eastAsia="仿宋" w:cs="Times New Roman"/>
        </w:rPr>
        <w:t>选定的观察村和观察户每年均不进行更换,但对个别消亡或迁移的户从同一村庄中选择条件类似的农户予以替代。</w:t>
      </w:r>
    </w:p>
    <w:p w14:paraId="750E613C">
      <w:pPr>
        <w:ind w:firstLine="420"/>
        <w:rPr>
          <w:rFonts w:hint="default" w:ascii="Times New Roman" w:hAnsi="Times New Roman" w:eastAsia="仿宋" w:cs="Times New Roman"/>
        </w:rPr>
      </w:pPr>
      <w:r>
        <w:rPr>
          <w:rFonts w:hint="eastAsia" w:ascii="仿宋" w:hAnsi="仿宋" w:eastAsia="仿宋"/>
        </w:rPr>
        <w:t>全国农村固定观察点调查问卷分为村庄、农户、个人三个层级。其中，在村庄调查问卷中，主要指标内容包括村庄基本情况（地理位置、经济发展水平、人口、企业、村委会）、劳动力情况、土地情况、生产性固定资产情况、农林牧渔业生产及其出售情况、全村经营收入和经营费用、村集体财务收支及年末资金往来余额以及社会情况等。在农户调查问卷中，主要指标内容包括农业生产要素、农业生产以及家庭收支、消费情况等，而且详细记录了农户家庭的粮食作物生产经营情况，包括每一种粮食作物的产量、产值以及劳动、资本、土地、中间投入等支出。在个人调查问卷中，主要指标内容包括个人与户主关系、年龄、户口属性、是否学生、在家时长、文化程度和专业技术能力、健康状况、行业和劳动时长、外</w:t>
      </w:r>
      <w:r>
        <w:rPr>
          <w:rFonts w:hint="default" w:ascii="Times New Roman" w:hAnsi="Times New Roman" w:eastAsia="仿宋" w:cs="Times New Roman"/>
        </w:rPr>
        <w:t>出从业时长、收入、地点、公共服务时长等。由于新一轮土地确权的起始时间为2013年，同时限于数据可获得性，本文将研究区间设定为2013－2021年。在样本期间内，全国农村固定观察点数据样本村的数量不少于350个，样本村指标数量不少于390个，样本户的数量不少于20000户，样本户指标的数量不少于1000个，为本文提供了可靠的数据支撑。</w:t>
      </w:r>
    </w:p>
    <w:p w14:paraId="6366BD86">
      <w:pPr>
        <w:ind w:firstLine="420"/>
        <w:rPr>
          <w:rFonts w:hint="default" w:ascii="Times New Roman" w:hAnsi="Times New Roman" w:eastAsia="仿宋" w:cs="Times New Roman"/>
        </w:rPr>
      </w:pPr>
      <w:r>
        <w:rPr>
          <w:rFonts w:hint="default" w:ascii="Times New Roman" w:hAnsi="Times New Roman" w:eastAsia="仿宋" w:cs="Times New Roman"/>
        </w:rPr>
        <w:t>（二）数据匹配与预处理</w:t>
      </w:r>
    </w:p>
    <w:p w14:paraId="7582C197">
      <w:pPr>
        <w:ind w:firstLine="420"/>
        <w:rPr>
          <w:rFonts w:hint="default" w:ascii="Times New Roman" w:hAnsi="Times New Roman" w:eastAsia="仿宋" w:cs="Times New Roman"/>
        </w:rPr>
      </w:pPr>
      <w:r>
        <w:rPr>
          <w:rFonts w:hint="default" w:ascii="Times New Roman" w:hAnsi="Times New Roman" w:eastAsia="仿宋" w:cs="Times New Roman"/>
        </w:rPr>
        <w:t>1</w:t>
      </w:r>
      <w:r>
        <w:rPr>
          <w:rFonts w:hint="default" w:ascii="Times New Roman" w:hAnsi="Times New Roman" w:eastAsia="仿宋" w:cs="Times New Roman"/>
          <w:lang w:val="en-US" w:eastAsia="zh-CN"/>
        </w:rPr>
        <w:t>.</w:t>
      </w:r>
      <w:r>
        <w:rPr>
          <w:rFonts w:hint="default" w:ascii="Times New Roman" w:hAnsi="Times New Roman" w:eastAsia="仿宋" w:cs="Times New Roman"/>
        </w:rPr>
        <w:t>数据匹配。获得原始数据（作者无权透露原始数据内容）后，作者首先根据农户户码，使用merge命令横向匹配全国农村固定观察点各年份的个体、农户和</w:t>
      </w:r>
      <w:r>
        <w:rPr>
          <w:rFonts w:hint="eastAsia" w:ascii="仿宋" w:hAnsi="仿宋" w:eastAsia="仿宋"/>
        </w:rPr>
        <w:t>村庄信息，构成横截面数据</w:t>
      </w:r>
      <w:r>
        <w:rPr>
          <w:rFonts w:hint="default" w:ascii="Times New Roman" w:hAnsi="Times New Roman" w:eastAsia="仿宋" w:cs="Times New Roman"/>
        </w:rPr>
        <w:t xml:space="preserve">，再使用append命令纵向合并2013－2021年的横截面数据，构成包含个体信息和村庄信息的农户面板数据。 </w:t>
      </w:r>
    </w:p>
    <w:p w14:paraId="3A87EB04">
      <w:pPr>
        <w:ind w:firstLine="420"/>
        <w:rPr>
          <w:rFonts w:ascii="仿宋" w:hAnsi="仿宋" w:eastAsia="仿宋"/>
        </w:rPr>
      </w:pPr>
      <w:r>
        <w:rPr>
          <w:rFonts w:hint="default" w:ascii="Times New Roman" w:hAnsi="Times New Roman" w:eastAsia="仿宋" w:cs="Times New Roman"/>
        </w:rPr>
        <w:t>2</w:t>
      </w:r>
      <w:r>
        <w:rPr>
          <w:rFonts w:hint="default" w:ascii="Times New Roman" w:hAnsi="Times New Roman" w:eastAsia="仿宋" w:cs="Times New Roman"/>
          <w:lang w:val="en-US" w:eastAsia="zh-CN"/>
        </w:rPr>
        <w:t>.</w:t>
      </w:r>
      <w:r>
        <w:rPr>
          <w:rFonts w:hint="default" w:ascii="Times New Roman" w:hAnsi="Times New Roman" w:eastAsia="仿宋" w:cs="Times New Roman"/>
        </w:rPr>
        <w:t>确定农户。由于本文关注的是农户的粮食全要素生产率，因此，参照王璐等（2020）、杨青等（2023）的做法，作者</w:t>
      </w:r>
      <w:r>
        <w:rPr>
          <w:rFonts w:hint="default" w:ascii="Times New Roman" w:hAnsi="Times New Roman" w:eastAsia="仿宋" w:cs="Times New Roman"/>
          <w:b/>
          <w:bCs/>
        </w:rPr>
        <w:t>仅保留真正从事粮食生产（同时具有正的劳动投入、土地投入和粮食总产值）的样本</w:t>
      </w:r>
      <w:r>
        <w:rPr>
          <w:rFonts w:hint="default" w:ascii="Times New Roman" w:hAnsi="Times New Roman" w:eastAsia="仿宋" w:cs="Times New Roman"/>
        </w:rPr>
        <w:t>，最终构成了 2013</w:t>
      </w:r>
      <w:r>
        <w:rPr>
          <w:rFonts w:hint="default" w:ascii="Times New Roman" w:hAnsi="Times New Roman" w:eastAsia="仿宋" w:cs="Times New Roman"/>
        </w:rPr>
        <w:t>－</w:t>
      </w:r>
      <w:bookmarkStart w:id="0" w:name="_GoBack"/>
      <w:bookmarkEnd w:id="0"/>
      <w:r>
        <w:rPr>
          <w:rFonts w:hint="default" w:ascii="Times New Roman" w:hAnsi="Times New Roman" w:eastAsia="仿宋" w:cs="Times New Roman"/>
        </w:rPr>
        <w:t>2021年的88141个</w:t>
      </w:r>
      <w:r>
        <w:rPr>
          <w:rFonts w:hint="eastAsia" w:ascii="仿宋" w:hAnsi="仿宋" w:eastAsia="仿宋"/>
        </w:rPr>
        <w:t>有效农户样本的非平衡面板，其中包含了追踪样本、新加入样本及非连续追踪的样本农户。</w:t>
      </w:r>
    </w:p>
    <w:p w14:paraId="665C636A">
      <w:pPr>
        <w:ind w:firstLine="420"/>
        <w:rPr>
          <w:rFonts w:ascii="仿宋" w:hAnsi="仿宋" w:eastAsia="仿宋"/>
        </w:rPr>
      </w:pPr>
      <w:r>
        <w:rPr>
          <w:rFonts w:ascii="仿宋" w:hAnsi="仿宋" w:eastAsia="仿宋"/>
        </w:rPr>
        <w:t>3</w:t>
      </w:r>
      <w:r>
        <w:rPr>
          <w:rFonts w:hint="eastAsia" w:ascii="仿宋" w:hAnsi="仿宋" w:eastAsia="仿宋"/>
          <w:lang w:val="en-US" w:eastAsia="zh-CN"/>
        </w:rPr>
        <w:t>.</w:t>
      </w:r>
      <w:r>
        <w:rPr>
          <w:rFonts w:hint="eastAsia" w:ascii="仿宋" w:hAnsi="仿宋" w:eastAsia="仿宋"/>
        </w:rPr>
        <w:t>变量处理。在具体变量处理过程中，对于本文的被解释变量粮食全要素生产率和核心解释变量新一轮土地确权，涉及变量包括农户的粮食作物总产值、劳动投入、资本投入、土地投入和中间投入等，已经在</w:t>
      </w:r>
      <w:r>
        <w:rPr>
          <w:rFonts w:hint="eastAsia" w:ascii="仿宋" w:hAnsi="仿宋" w:eastAsia="仿宋"/>
          <w:b/>
          <w:bCs/>
        </w:rPr>
        <w:t>“附录Ⅱ 测算粮食全要素生产率的模型设定”、“附录Ⅲ 土地确权变量的定义方式”</w:t>
      </w:r>
      <w:r>
        <w:rPr>
          <w:rFonts w:hint="eastAsia" w:ascii="仿宋" w:hAnsi="仿宋" w:eastAsia="仿宋"/>
        </w:rPr>
        <w:t>进行了详细介绍，对于其他控制变量，则在正文“</w:t>
      </w:r>
      <w:r>
        <w:rPr>
          <w:rFonts w:hint="default" w:ascii="Times New Roman" w:hAnsi="Times New Roman" w:eastAsia="仿宋" w:cs="Times New Roman"/>
        </w:rPr>
        <w:t>表 1 变量定</w:t>
      </w:r>
      <w:r>
        <w:rPr>
          <w:rFonts w:hint="eastAsia" w:ascii="仿宋" w:hAnsi="仿宋" w:eastAsia="仿宋"/>
        </w:rPr>
        <w:t>义与描述性统计”部分对变量定义进行了阐述。</w:t>
      </w:r>
    </w:p>
    <w:p w14:paraId="5DE227F7">
      <w:pPr>
        <w:ind w:firstLine="420"/>
        <w:rPr>
          <w:rFonts w:hint="default" w:ascii="Times New Roman" w:hAnsi="Times New Roman" w:eastAsia="仿宋" w:cs="Times New Roman"/>
        </w:rPr>
      </w:pPr>
      <w:r>
        <w:rPr>
          <w:rFonts w:hint="default" w:ascii="Times New Roman" w:hAnsi="Times New Roman" w:eastAsia="仿宋" w:cs="Times New Roman"/>
        </w:rPr>
        <w:t>4</w:t>
      </w:r>
      <w:r>
        <w:rPr>
          <w:rFonts w:hint="default" w:ascii="Times New Roman" w:hAnsi="Times New Roman" w:eastAsia="仿宋" w:cs="Times New Roman"/>
          <w:lang w:val="en-US" w:eastAsia="zh-CN"/>
        </w:rPr>
        <w:t>.</w:t>
      </w:r>
      <w:r>
        <w:rPr>
          <w:rFonts w:hint="default" w:ascii="Times New Roman" w:hAnsi="Times New Roman" w:eastAsia="仿宋" w:cs="Times New Roman"/>
        </w:rPr>
        <w:t>异常值与缺失值处理。本文初稿在计算粮食全要素生产率时，对投入、产出变量的异常值与缺失值处理主要借鉴了王璐等（2020）的思路，涉及1%缩尾、高维层面取中位数并补缺、平减等过程，以期在较长时间跨度内熨平数据异常值的影响，但该方法可能会在一定程度上用数据失真换取了数据平滑。为此，作者在第一轮修改稿中已经更正了处理方法，借鉴高鸣和魏佳朔（2022）、盖庆恩等（2023）的方法，除删除少量极端异常值和缺失值外，使用农户自报数值（平减后）衡量投入、产出变量，以最大限度还原根据现实调查得到的数据的真实性。对于这种处理方法造成的测量误差，正文第11页也已进行了相关讨论。</w:t>
      </w:r>
    </w:p>
    <w:p w14:paraId="11BD967F">
      <w:pPr>
        <w:ind w:firstLine="420"/>
        <w:rPr>
          <w:rFonts w:hint="default" w:ascii="Times New Roman" w:hAnsi="Times New Roman" w:eastAsia="仿宋" w:cs="Times New Roman"/>
        </w:rPr>
      </w:pPr>
      <w:r>
        <w:rPr>
          <w:rFonts w:hint="default" w:ascii="Times New Roman" w:hAnsi="Times New Roman" w:eastAsia="仿宋" w:cs="Times New Roman"/>
        </w:rPr>
        <w:t>5</w:t>
      </w:r>
      <w:r>
        <w:rPr>
          <w:rFonts w:hint="default" w:ascii="Times New Roman" w:hAnsi="Times New Roman" w:eastAsia="仿宋" w:cs="Times New Roman"/>
          <w:lang w:val="en-US" w:eastAsia="zh-CN"/>
        </w:rPr>
        <w:t>.</w:t>
      </w:r>
      <w:r>
        <w:rPr>
          <w:rFonts w:hint="default" w:ascii="Times New Roman" w:hAnsi="Times New Roman" w:eastAsia="仿宋" w:cs="Times New Roman"/>
        </w:rPr>
        <w:t>数据文件。在经过数据清理等预处理后，本文共形成了7件.dta格式的数据文件,分别是newpanel.dta（户级面板数据）、oppanel.dta（村级面板数据）、Num_tenured.dta（村确权进度数据）、4.dta（农户生产率数据）、2018-2021.dta（村级确权面板数据）、2019-2021.dta（户级确权面板数据）、blancepanel.dta（平衡面板数据）。各数据文件的使用，详见正文、附录代码。</w:t>
      </w:r>
    </w:p>
    <w:p w14:paraId="29CE0699">
      <w:pPr>
        <w:ind w:firstLine="420"/>
        <w:rPr>
          <w:rFonts w:hint="eastAsia" w:ascii="Times New Roman" w:hAnsi="Times New Roman" w:eastAsia="仿宋" w:cs="Times New Roman"/>
          <w:lang w:eastAsia="zh-CN"/>
        </w:rPr>
      </w:pPr>
      <w:r>
        <w:rPr>
          <w:rFonts w:hint="default" w:ascii="Times New Roman" w:hAnsi="Times New Roman" w:eastAsia="仿宋" w:cs="Times New Roman"/>
        </w:rPr>
        <w:t>特此说明</w:t>
      </w:r>
      <w:r>
        <w:rPr>
          <w:rFonts w:hint="eastAsia" w:eastAsia="仿宋" w:cs="Times New Roman"/>
          <w:lang w:eastAsia="zh-CN"/>
        </w:rPr>
        <w:t>。</w:t>
      </w:r>
    </w:p>
    <w:p w14:paraId="5FDFF5A5">
      <w:pPr>
        <w:ind w:firstLine="420"/>
        <w:jc w:val="right"/>
        <w:rPr>
          <w:rFonts w:hint="default" w:ascii="Times New Roman" w:hAnsi="Times New Roman" w:eastAsia="仿宋" w:cs="Times New Roman"/>
        </w:rPr>
      </w:pPr>
      <w:r>
        <w:rPr>
          <w:rFonts w:hint="default" w:ascii="Times New Roman" w:hAnsi="Times New Roman" w:eastAsia="仿宋" w:cs="Times New Roman"/>
        </w:rPr>
        <w:t>作者：许庆、张霄、刘进、杨青</w:t>
      </w:r>
    </w:p>
    <w:p w14:paraId="2DDFAD05">
      <w:pPr>
        <w:ind w:firstLine="420"/>
        <w:jc w:val="right"/>
        <w:rPr>
          <w:rFonts w:hint="default" w:ascii="Times New Roman" w:hAnsi="Times New Roman" w:eastAsia="仿宋" w:cs="Times New Roman"/>
        </w:rPr>
      </w:pPr>
      <w:r>
        <w:rPr>
          <w:rFonts w:hint="default" w:ascii="Times New Roman" w:hAnsi="Times New Roman" w:eastAsia="仿宋" w:cs="Times New Roman"/>
        </w:rPr>
        <w:t>日期：2025年5月7日</w:t>
      </w:r>
    </w:p>
    <w:p w14:paraId="78FD7487">
      <w:pPr>
        <w:ind w:firstLine="420"/>
        <w:rPr>
          <w:rFonts w:ascii="仿宋" w:hAnsi="仿宋" w:eastAsia="仿宋"/>
        </w:rPr>
      </w:pPr>
    </w:p>
    <w:p w14:paraId="2E6C4579">
      <w:pPr>
        <w:ind w:firstLine="420"/>
        <w:rPr>
          <w:rFonts w:ascii="仿宋" w:hAnsi="仿宋" w:eastAsia="仿宋"/>
        </w:rPr>
      </w:pPr>
    </w:p>
    <w:p w14:paraId="7D6CC55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96DA9"/>
    <w:rsid w:val="000F0442"/>
    <w:rsid w:val="00171C6D"/>
    <w:rsid w:val="001A1B4E"/>
    <w:rsid w:val="003C6EAE"/>
    <w:rsid w:val="004041A2"/>
    <w:rsid w:val="0041444E"/>
    <w:rsid w:val="004D721C"/>
    <w:rsid w:val="005072B7"/>
    <w:rsid w:val="005C56A9"/>
    <w:rsid w:val="00620A5B"/>
    <w:rsid w:val="00626D77"/>
    <w:rsid w:val="00650658"/>
    <w:rsid w:val="006648F1"/>
    <w:rsid w:val="007058AF"/>
    <w:rsid w:val="00732F3B"/>
    <w:rsid w:val="007E447D"/>
    <w:rsid w:val="009B7AE4"/>
    <w:rsid w:val="009C56F6"/>
    <w:rsid w:val="009E395B"/>
    <w:rsid w:val="00B105D6"/>
    <w:rsid w:val="00B14240"/>
    <w:rsid w:val="00B318AB"/>
    <w:rsid w:val="00B32B66"/>
    <w:rsid w:val="00BB6741"/>
    <w:rsid w:val="00C34E4C"/>
    <w:rsid w:val="00D96DA9"/>
    <w:rsid w:val="00E842DA"/>
    <w:rsid w:val="00FD0807"/>
    <w:rsid w:val="00FD7449"/>
    <w:rsid w:val="06733F1E"/>
    <w:rsid w:val="13C835BB"/>
    <w:rsid w:val="344852F2"/>
    <w:rsid w:val="422C0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qFormat="1"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heme="minorBidi"/>
      <w:kern w:val="2"/>
      <w:sz w:val="21"/>
      <w:szCs w:val="22"/>
      <w:lang w:val="en-US" w:eastAsia="zh-CN" w:bidi="ar-SA"/>
      <w14:ligatures w14:val="standardContextual"/>
    </w:rPr>
  </w:style>
  <w:style w:type="paragraph" w:styleId="2">
    <w:name w:val="heading 1"/>
    <w:basedOn w:val="1"/>
    <w:next w:val="1"/>
    <w:link w:val="7"/>
    <w:autoRedefine/>
    <w:qFormat/>
    <w:uiPriority w:val="9"/>
    <w:pPr>
      <w:keepNext/>
      <w:keepLines/>
      <w:jc w:val="center"/>
      <w:outlineLvl w:val="0"/>
    </w:pPr>
    <w:rPr>
      <w:rFonts w:eastAsia="黑体"/>
      <w:bCs/>
      <w:kern w:val="44"/>
      <w:sz w:val="28"/>
      <w:szCs w:val="44"/>
    </w:rPr>
  </w:style>
  <w:style w:type="paragraph" w:styleId="3">
    <w:name w:val="heading 2"/>
    <w:basedOn w:val="1"/>
    <w:next w:val="1"/>
    <w:link w:val="8"/>
    <w:autoRedefine/>
    <w:semiHidden/>
    <w:unhideWhenUsed/>
    <w:qFormat/>
    <w:uiPriority w:val="9"/>
    <w:pPr>
      <w:keepNext/>
      <w:keepLines/>
      <w:outlineLvl w:val="1"/>
    </w:pPr>
    <w:rPr>
      <w:rFonts w:eastAsia="黑体" w:asciiTheme="majorHAnsi" w:hAnsiTheme="majorHAnsi" w:cstheme="majorBidi"/>
      <w:bCs/>
      <w:sz w:val="20"/>
      <w:szCs w:val="32"/>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table" w:styleId="5">
    <w:name w:val="Table Simple 1"/>
    <w:basedOn w:val="4"/>
    <w:semiHidden/>
    <w:unhideWhenUsed/>
    <w:qFormat/>
    <w:uiPriority w:val="99"/>
    <w:pPr>
      <w:widowControl w:val="0"/>
      <w:spacing w:line="360" w:lineRule="auto"/>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character" w:customStyle="1" w:styleId="7">
    <w:name w:val="标题 1 字符"/>
    <w:basedOn w:val="6"/>
    <w:link w:val="2"/>
    <w:uiPriority w:val="9"/>
    <w:rPr>
      <w:rFonts w:eastAsia="黑体"/>
      <w:bCs/>
      <w:kern w:val="44"/>
      <w:sz w:val="28"/>
      <w:szCs w:val="44"/>
    </w:rPr>
  </w:style>
  <w:style w:type="character" w:customStyle="1" w:styleId="8">
    <w:name w:val="标题 2 字符"/>
    <w:basedOn w:val="6"/>
    <w:link w:val="3"/>
    <w:semiHidden/>
    <w:uiPriority w:val="9"/>
    <w:rPr>
      <w:rFonts w:eastAsia="黑体" w:asciiTheme="majorHAnsi" w:hAnsiTheme="majorHAnsi" w:cstheme="majorBidi"/>
      <w:bCs/>
      <w:sz w:val="20"/>
      <w:szCs w:val="32"/>
    </w:rPr>
  </w:style>
  <w:style w:type="table" w:customStyle="1" w:styleId="9">
    <w:name w:val="网格型1"/>
    <w:basedOn w:val="4"/>
    <w:qFormat/>
    <w:uiPriority w:val="39"/>
    <w:rPr>
      <w:kern w:val="0"/>
      <w:sz w:val="18"/>
    </w:rPr>
    <w:tblPr>
      <w:tblBorders>
        <w:top w:val="single" w:color="auto" w:sz="4" w:space="0"/>
        <w:bottom w:val="single" w:color="auto" w:sz="4" w:space="0"/>
        <w:insideH w:val="single" w:color="auto" w:sz="4" w:space="0"/>
        <w:insideV w:val="single" w:color="auto" w:sz="4" w:space="0"/>
      </w:tblBorders>
      <w:tblCellMar>
        <w:left w:w="0" w:type="dxa"/>
        <w:right w:w="0" w:type="dxa"/>
      </w:tblCellMar>
    </w:tblPr>
  </w:style>
  <w:style w:type="table" w:customStyle="1" w:styleId="10">
    <w:name w:val="经济研究"/>
    <w:basedOn w:val="4"/>
    <w:qFormat/>
    <w:uiPriority w:val="39"/>
    <w:rPr>
      <w:kern w:val="0"/>
      <w:sz w:val="18"/>
    </w:rPr>
    <w:tblPr>
      <w:tblBorders>
        <w:top w:val="single" w:color="auto" w:sz="8" w:space="0"/>
        <w:bottom w:val="single" w:color="auto" w:sz="8" w:space="0"/>
        <w:insideH w:val="single" w:color="auto" w:sz="4" w:space="0"/>
        <w:insideV w:val="single" w:color="auto" w:sz="4" w:space="0"/>
      </w:tblBorders>
      <w:tblCellMar>
        <w:left w:w="0" w:type="dxa"/>
        <w:right w:w="0" w:type="dxa"/>
      </w:tblCellMar>
    </w:tblPr>
    <w:tblStylePr w:type="firstRow">
      <w:tcPr>
        <w:tcBorders>
          <w:top w:val="single" w:color="auto" w:sz="8" w:space="0"/>
          <w:bottom w:val="single" w:color="auto" w:sz="8" w:space="0"/>
        </w:tcBorders>
      </w:tcPr>
    </w:tblStylePr>
  </w:style>
  <w:style w:type="table" w:customStyle="1" w:styleId="11">
    <w:name w:val="样式1"/>
    <w:basedOn w:val="5"/>
    <w:qFormat/>
    <w:uiPriority w:val="99"/>
    <w:pPr>
      <w:contextualSpacing/>
    </w:pPr>
    <w:rPr>
      <w:kern w:val="0"/>
      <w:sz w:val="20"/>
      <w:szCs w:val="20"/>
      <w14:ligatures w14:val="none"/>
    </w:rPr>
    <w:tblPr>
      <w:tblBorders>
        <w:top w:val="single" w:color="000000" w:themeColor="text1" w:sz="8" w:space="0"/>
        <w:bottom w:val="single" w:color="000000" w:themeColor="text1" w:sz="8" w:space="0"/>
      </w:tblBorders>
      <w:tblCellMar>
        <w:left w:w="0" w:type="dxa"/>
        <w:right w:w="0" w:type="dxa"/>
      </w:tblCellMar>
    </w:tblPr>
    <w:tcPr>
      <w:shd w:val="clear" w:color="auto" w:fill="FFFFFF" w:themeFill="background1"/>
    </w:tcPr>
    <w:tblStylePr w:type="firstRow">
      <w:tcPr>
        <w:tcBorders>
          <w:bottom w:val="single" w:color="000000" w:themeColor="text1" w:sz="6" w:space="0"/>
          <w:tl2br w:val="nil"/>
          <w:tr2bl w:val="nil"/>
        </w:tcBorders>
        <w:shd w:val="clear" w:color="auto" w:fill="FFFFFF" w:themeFill="background1"/>
      </w:tcPr>
    </w:tblStylePr>
    <w:tblStylePr w:type="lastRow">
      <w:tcPr>
        <w:tcBorders>
          <w:top w:val="single" w:color="008000" w:sz="6" w:space="0"/>
          <w:tl2br w:val="nil"/>
          <w:tr2bl w:val="nil"/>
        </w:tcBorders>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1769</Words>
  <Characters>1923</Characters>
  <Lines>13</Lines>
  <Paragraphs>3</Paragraphs>
  <TotalTime>0</TotalTime>
  <ScaleCrop>false</ScaleCrop>
  <LinksUpToDate>false</LinksUpToDate>
  <CharactersWithSpaces>1929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2025-03-26T02:25:00Z</dcterms:created>
  <dc:creator>作者</dc:creator>
  <cp:lastModifiedBy>yangqing</cp:lastModifiedBy>
  <dcterms:modified xsi:type="dcterms:W3CDTF">2025-09-11T12:47:06Z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eyJoZGlkIjoiYTc2ZGZiNzZiNDVlOGViOWVmM2JhOTY0NGJkNjUyYzgiLCJ1c2VySWQiOiIyNDU5OTQ1MiJ9</vt:lpwstr>
  </property>
  <property fmtid="{D5CDD505-2E9C-101B-9397-08002B2CF9AE}" pid="3" name="KSOProductBuildVer">
    <vt:lpwstr>2052-12.1.0.22529</vt:lpwstr>
  </property>
  <property fmtid="{D5CDD505-2E9C-101B-9397-08002B2CF9AE}" pid="4" name="ICV">
    <vt:lpwstr>6E7BAA4BB0944C9D9C37CF6C83E66D9E_12</vt:lpwstr>
  </property>
</Properties>
</file>