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w:p>
      <w:pPr>
        <w:spacing w:after="0"/>
        <w:jc w:val="center"/>
      </w:pPr>
      <w:r>
        <w:t/>
      </w:r>
      <w:r>
        <w:t xml:space="preserve">表3: 转移支付提前下达与突击花钱</w:t>
      </w:r>
    </w:p>
    <w:tbl>
      <w:tblPr>
        <w:tblStyle w:val="TableGrid"/>
        <w:jc w:val="center"/>
        <w:tblBorders>
          <w:top w:val="single" w:color="000000" w:shadow="false"/>
          <w:left w:val="nil" w:color="000000" w:shadow="false"/>
          <w:bottom w:val="single" w:color="000000" w:shadow="false"/>
          <w:right w:val="nil" w:color="000000" w:shadow="false"/>
          <w:insideH w:val="nil" w:color="000000" w:shadow="false"/>
          <w:insideV w:val="nil" w:color="000000" w:shadow="false"/>
        </w:tblBorders>
        <w:tblLayout w:type="autofit"/>
      </w:tblPr>
      <w:tblGrid>
        <w:gridCol w:w="1289"/>
        <w:gridCol w:w="1289"/>
        <w:gridCol w:w="1289"/>
        <w:gridCol w:w="1289"/>
        <w:gridCol w:w="1289"/>
        <w:gridCol w:w="1289"/>
        <w:gridCol w:w="1289"/>
      </w:tblGrid>
      <w:tr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(1)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(2)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(3)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(4)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(5)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(6)</w:t>
            </w:r>
          </w:p>
        </w:tc>
      </w:tr>
      <w:tr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</w:pPr>
          </w:p>
        </w:tc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12月份支出占比</w:t>
            </w:r>
          </w:p>
        </w:tc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12月份支出占比</w:t>
            </w:r>
          </w:p>
        </w:tc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第4季度支出占比</w:t>
            </w:r>
          </w:p>
        </w:tc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第4季度支出占比</w:t>
            </w:r>
          </w:p>
        </w:tc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第1季度支出占比</w:t>
            </w:r>
          </w:p>
        </w:tc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第1季度支出占比</w:t>
            </w:r>
          </w:p>
        </w:tc>
      </w:tr>
      <w:tr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did</w:t>
            </w:r>
          </w:p>
        </w:tc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-0.0658***</w:t>
            </w:r>
          </w:p>
        </w:tc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-0.0835**</w:t>
            </w:r>
          </w:p>
        </w:tc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-0.1206***</w:t>
            </w:r>
          </w:p>
        </w:tc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-0.1113***</w:t>
            </w:r>
          </w:p>
        </w:tc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0.0467***</w:t>
            </w:r>
          </w:p>
        </w:tc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0.0595***</w:t>
            </w:r>
          </w:p>
        </w:tc>
      </w:tr>
      <w:tr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(0.0255)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(0.0325)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(0.0214)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(0.0254)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(0.0153)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(0.0183)</w:t>
            </w:r>
          </w:p>
        </w:tc>
      </w:tr>
      <w:tr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pgdp</w:t>
            </w:r>
          </w:p>
        </w:tc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-0.0068*</w:t>
            </w:r>
          </w:p>
        </w:tc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-0.0059</w:t>
            </w:r>
          </w:p>
        </w:tc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0.0018</w:t>
            </w:r>
          </w:p>
        </w:tc>
      </w:tr>
      <w:tr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(0.0036)</w:t>
            </w:r>
          </w:p>
        </w:tc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(0.0042)</w:t>
            </w:r>
          </w:p>
        </w:tc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(0.0024)</w:t>
            </w:r>
          </w:p>
        </w:tc>
      </w:tr>
      <w:tr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urban</w:t>
            </w:r>
          </w:p>
        </w:tc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-0.1041</w:t>
            </w:r>
          </w:p>
        </w:tc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-0.3886**</w:t>
            </w:r>
          </w:p>
        </w:tc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-0.0530</w:t>
            </w:r>
          </w:p>
        </w:tc>
      </w:tr>
      <w:tr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(0.1223)</w:t>
            </w:r>
          </w:p>
        </w:tc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(0.1553)</w:t>
            </w:r>
          </w:p>
        </w:tc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(0.1019)</w:t>
            </w:r>
          </w:p>
        </w:tc>
      </w:tr>
      <w:tr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pop</w:t>
            </w:r>
          </w:p>
        </w:tc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0.0920</w:t>
            </w:r>
          </w:p>
        </w:tc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0.0861</w:t>
            </w:r>
          </w:p>
        </w:tc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0.0099</w:t>
            </w:r>
          </w:p>
        </w:tc>
      </w:tr>
      <w:tr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(1.2795)</w:t>
            </w:r>
          </w:p>
        </w:tc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(1.6263)</w:t>
            </w:r>
          </w:p>
        </w:tc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(1.0925)</w:t>
            </w:r>
          </w:p>
        </w:tc>
      </w:tr>
      <w:tr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_cons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0.2557***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0.3113***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0.4194***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0.6048***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0.1534***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0.1744***</w:t>
            </w:r>
          </w:p>
        </w:tc>
      </w:tr>
      <w:tr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</w:pPr>
          </w:p>
        </w:tc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(0.0066)</w:t>
            </w:r>
          </w:p>
        </w:tc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(0.0749)</w:t>
            </w:r>
          </w:p>
        </w:tc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(0.0062)</w:t>
            </w:r>
          </w:p>
        </w:tc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(0.0982)</w:t>
            </w:r>
          </w:p>
        </w:tc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(0.0035)</w:t>
            </w:r>
          </w:p>
        </w:tc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(0.0550)</w:t>
            </w:r>
          </w:p>
        </w:tc>
      </w:tr>
      <w:tr>
        <w:tc>
          <w:tcPr>
            <w:tcW w:w="1289" w:type="dxa"/>
            <w:tcBorders>
              <w:top w:val="single" w:color="000000"/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year</w:t>
            </w:r>
          </w:p>
        </w:tc>
        <w:tc>
          <w:tcPr>
            <w:tcW w:w="1289" w:type="dxa"/>
            <w:tcBorders>
              <w:top w:val="single" w:color="000000"/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Yes</w:t>
            </w:r>
          </w:p>
        </w:tc>
        <w:tc>
          <w:tcPr>
            <w:tcW w:w="1289" w:type="dxa"/>
            <w:tcBorders>
              <w:top w:val="single" w:color="000000"/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Yes</w:t>
            </w:r>
          </w:p>
        </w:tc>
        <w:tc>
          <w:tcPr>
            <w:tcW w:w="1289" w:type="dxa"/>
            <w:tcBorders>
              <w:top w:val="single" w:color="000000"/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Yes</w:t>
            </w:r>
          </w:p>
        </w:tc>
        <w:tc>
          <w:tcPr>
            <w:tcW w:w="1289" w:type="dxa"/>
            <w:tcBorders>
              <w:top w:val="single" w:color="000000"/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Yes</w:t>
            </w:r>
          </w:p>
        </w:tc>
        <w:tc>
          <w:tcPr>
            <w:tcW w:w="1289" w:type="dxa"/>
            <w:tcBorders>
              <w:top w:val="single" w:color="000000"/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Yes</w:t>
            </w:r>
          </w:p>
        </w:tc>
        <w:tc>
          <w:tcPr>
            <w:tcW w:w="1289" w:type="dxa"/>
            <w:tcBorders>
              <w:top w:val="single" w:color="000000"/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Yes</w:t>
            </w:r>
          </w:p>
        </w:tc>
      </w:tr>
      <w:tr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N</w:t>
            </w:r>
          </w:p>
        </w:tc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450</w:t>
            </w:r>
          </w:p>
        </w:tc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450</w:t>
            </w:r>
          </w:p>
        </w:tc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450</w:t>
            </w:r>
          </w:p>
        </w:tc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450</w:t>
            </w:r>
          </w:p>
        </w:tc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450</w:t>
            </w:r>
          </w:p>
        </w:tc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450</w:t>
            </w:r>
          </w:p>
        </w:tc>
      </w:tr>
      <w:tr>
        <w:tc>
          <w:tcPr>
            <w:tcW w:w="1289" w:type="dxa"/>
          </w:tcPr>
          <w:p>
            <w:pPr>
              <w:spacing w:after="0" w:lineRule="auto"/>
              <w:jc w:val="center"/>
            </w:pPr>
            <w:r>
              <w:t xml:space="preserve">Adj. R</w:t>
            </w:r>
            <w:r>
              <w:rPr>
                <w:vertAlign w:val="superscript"/>
              </w:rPr>
              <w:t xml:space="preserve">2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0.8234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0.8271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0.8616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0.8708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0.8223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0.8233</w:t>
            </w:r>
          </w:p>
        </w:tc>
      </w:tr>
    </w:tbl>
    <w:p>
      <w: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rFonts w:ascii="Times New Roman" w:hAnsi="Times New Roman" w:eastAsia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