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w:p>
      <w:pPr>
        <w:spacing w:after="0"/>
        <w:jc w:val="center"/>
      </w:pPr>
      <w:r>
        <w:t/>
      </w:r>
      <w:r>
        <w:t xml:space="preserve">表III1  标准双重差分模型估计</w:t>
      </w:r>
    </w:p>
    <w:tbl>
      <w:tblPr>
        <w:tblStyle w:val="TableGrid"/>
        <w:jc w:val="center"/>
        <w:tblBorders>
          <w:top w:val="single" w:color="000000" w:shadow="false"/>
          <w:left w:val="nil" w:color="000000" w:shadow="false"/>
          <w:bottom w:val="single" w:color="000000" w:shadow="false"/>
          <w:right w:val="nil" w:color="000000" w:shadow="false"/>
          <w:insideH w:val="nil" w:color="000000" w:shadow="false"/>
          <w:insideV w:val="nil" w:color="000000" w:shadow="false"/>
        </w:tblBorders>
        <w:tblLayout w:type="autofit"/>
      </w:tblPr>
      <w:tblGrid>
        <w:gridCol w:w="2256"/>
        <w:gridCol w:w="2256"/>
        <w:gridCol w:w="2256"/>
        <w:gridCol w:w="2256"/>
      </w:tblGrid>
      <w:tr>
        <w:tc>
          <w:tcPr>
            <w:tcW w:w="2256" w:type="dxa"/>
          </w:tcPr>
          <w:p>
            <w:pPr>
              <w:spacing w:after="0"/>
            </w:pPr>
          </w:p>
        </w:tc>
        <w:tc>
          <w:tcPr>
            <w:tcW w:w="2256" w:type="dxa"/>
          </w:tcPr>
          <w:p>
            <w:pPr>
              <w:spacing w:after="0"/>
              <w:jc w:val="center"/>
            </w:pPr>
            <w:r>
              <w:t xml:space="preserve">(1)</w:t>
            </w:r>
          </w:p>
        </w:tc>
        <w:tc>
          <w:tcPr>
            <w:tcW w:w="2256" w:type="dxa"/>
          </w:tcPr>
          <w:p>
            <w:pPr>
              <w:spacing w:after="0"/>
              <w:jc w:val="center"/>
            </w:pPr>
            <w:r>
              <w:t xml:space="preserve">(2)</w:t>
            </w:r>
          </w:p>
        </w:tc>
        <w:tc>
          <w:tcPr>
            <w:tcW w:w="2256" w:type="dxa"/>
          </w:tcPr>
          <w:p>
            <w:pPr>
              <w:spacing w:after="0"/>
              <w:jc w:val="center"/>
            </w:pPr>
            <w:r>
              <w:t xml:space="preserve">(3)</w:t>
            </w:r>
          </w:p>
        </w:tc>
      </w:tr>
      <w:tr>
        <w:tc>
          <w:tcPr>
            <w:tcW w:w="2256" w:type="dxa"/>
            <w:tcBorders>
              <w:bottom w:val="single" w:color="000000"/>
            </w:tcBorders>
          </w:tcPr>
          <w:p>
            <w:pPr>
              <w:spacing w:after="0"/>
            </w:pPr>
          </w:p>
        </w:tc>
        <w:tc>
          <w:tcPr>
            <w:tcW w:w="2256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12月份支出占比</w:t>
            </w:r>
          </w:p>
        </w:tc>
        <w:tc>
          <w:tcPr>
            <w:tcW w:w="2256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第4季度支出占比</w:t>
            </w:r>
          </w:p>
        </w:tc>
        <w:tc>
          <w:tcPr>
            <w:tcW w:w="2256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第1季度支出占比</w:t>
            </w:r>
          </w:p>
        </w:tc>
      </w:tr>
      <w:tr>
        <w:tc>
          <w:tcPr>
            <w:tcW w:w="2256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did1</w:t>
            </w:r>
          </w:p>
        </w:tc>
        <w:tc>
          <w:tcPr>
            <w:tcW w:w="2256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-0.0337***</w:t>
            </w:r>
          </w:p>
        </w:tc>
        <w:tc>
          <w:tcPr>
            <w:tcW w:w="2256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-0.0348***</w:t>
            </w:r>
          </w:p>
        </w:tc>
        <w:tc>
          <w:tcPr>
            <w:tcW w:w="2256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0.0208***</w:t>
            </w:r>
          </w:p>
        </w:tc>
      </w:tr>
      <w:tr>
        <w:tc>
          <w:tcPr>
            <w:tcW w:w="2256" w:type="dxa"/>
          </w:tcPr>
          <w:p>
            <w:pPr>
              <w:spacing w:after="0"/>
            </w:pPr>
          </w:p>
        </w:tc>
        <w:tc>
          <w:tcPr>
            <w:tcW w:w="2256" w:type="dxa"/>
          </w:tcPr>
          <w:p>
            <w:pPr>
              <w:spacing w:after="0"/>
              <w:jc w:val="center"/>
            </w:pPr>
            <w:r>
              <w:t xml:space="preserve">(0.0116)</w:t>
            </w:r>
          </w:p>
        </w:tc>
        <w:tc>
          <w:tcPr>
            <w:tcW w:w="2256" w:type="dxa"/>
          </w:tcPr>
          <w:p>
            <w:pPr>
              <w:spacing w:after="0"/>
              <w:jc w:val="center"/>
            </w:pPr>
            <w:r>
              <w:t xml:space="preserve">(0.0102)</w:t>
            </w:r>
          </w:p>
        </w:tc>
        <w:tc>
          <w:tcPr>
            <w:tcW w:w="2256" w:type="dxa"/>
          </w:tcPr>
          <w:p>
            <w:pPr>
              <w:spacing w:after="0"/>
              <w:jc w:val="center"/>
            </w:pPr>
            <w:r>
              <w:t xml:space="preserve">(0.0079)</w:t>
            </w:r>
          </w:p>
        </w:tc>
      </w:tr>
      <w:tr>
        <w:tc>
          <w:tcPr>
            <w:tcW w:w="2256" w:type="dxa"/>
          </w:tcPr>
          <w:p>
            <w:pPr>
              <w:spacing w:after="0"/>
              <w:jc w:val="center"/>
            </w:pPr>
            <w:r>
              <w:t xml:space="preserve">pgdp</w:t>
            </w:r>
          </w:p>
        </w:tc>
        <w:tc>
          <w:tcPr>
            <w:tcW w:w="2256" w:type="dxa"/>
          </w:tcPr>
          <w:p>
            <w:pPr>
              <w:spacing w:after="0"/>
              <w:jc w:val="center"/>
            </w:pPr>
            <w:r>
              <w:t xml:space="preserve">-0.0069*</w:t>
            </w:r>
          </w:p>
        </w:tc>
        <w:tc>
          <w:tcPr>
            <w:tcW w:w="2256" w:type="dxa"/>
          </w:tcPr>
          <w:p>
            <w:pPr>
              <w:spacing w:after="0"/>
              <w:jc w:val="center"/>
            </w:pPr>
            <w:r>
              <w:t xml:space="preserve">-0.0051</w:t>
            </w:r>
          </w:p>
        </w:tc>
        <w:tc>
          <w:tcPr>
            <w:tcW w:w="2256" w:type="dxa"/>
          </w:tcPr>
          <w:p>
            <w:pPr>
              <w:spacing w:after="0"/>
              <w:jc w:val="center"/>
            </w:pPr>
            <w:r>
              <w:t xml:space="preserve">0.0016</w:t>
            </w:r>
          </w:p>
        </w:tc>
      </w:tr>
      <w:tr>
        <w:tc>
          <w:tcPr>
            <w:tcW w:w="2256" w:type="dxa"/>
          </w:tcPr>
          <w:p>
            <w:pPr>
              <w:spacing w:after="0"/>
            </w:pPr>
          </w:p>
        </w:tc>
        <w:tc>
          <w:tcPr>
            <w:tcW w:w="2256" w:type="dxa"/>
          </w:tcPr>
          <w:p>
            <w:pPr>
              <w:spacing w:after="0"/>
              <w:jc w:val="center"/>
            </w:pPr>
            <w:r>
              <w:t xml:space="preserve">(0.0036)</w:t>
            </w:r>
          </w:p>
        </w:tc>
        <w:tc>
          <w:tcPr>
            <w:tcW w:w="2256" w:type="dxa"/>
          </w:tcPr>
          <w:p>
            <w:pPr>
              <w:spacing w:after="0"/>
              <w:jc w:val="center"/>
            </w:pPr>
            <w:r>
              <w:t xml:space="preserve">(0.0042)</w:t>
            </w:r>
          </w:p>
        </w:tc>
        <w:tc>
          <w:tcPr>
            <w:tcW w:w="2256" w:type="dxa"/>
          </w:tcPr>
          <w:p>
            <w:pPr>
              <w:spacing w:after="0"/>
              <w:jc w:val="center"/>
            </w:pPr>
            <w:r>
              <w:t xml:space="preserve">(0.0025)</w:t>
            </w:r>
          </w:p>
        </w:tc>
      </w:tr>
      <w:tr>
        <w:tc>
          <w:tcPr>
            <w:tcW w:w="2256" w:type="dxa"/>
          </w:tcPr>
          <w:p>
            <w:pPr>
              <w:spacing w:after="0"/>
              <w:jc w:val="center"/>
            </w:pPr>
            <w:r>
              <w:t xml:space="preserve">urban</w:t>
            </w:r>
          </w:p>
        </w:tc>
        <w:tc>
          <w:tcPr>
            <w:tcW w:w="2256" w:type="dxa"/>
          </w:tcPr>
          <w:p>
            <w:pPr>
              <w:spacing w:after="0"/>
              <w:jc w:val="center"/>
            </w:pPr>
            <w:r>
              <w:t xml:space="preserve">-0.1057</w:t>
            </w:r>
          </w:p>
        </w:tc>
        <w:tc>
          <w:tcPr>
            <w:tcW w:w="2256" w:type="dxa"/>
          </w:tcPr>
          <w:p>
            <w:pPr>
              <w:spacing w:after="0"/>
              <w:jc w:val="center"/>
            </w:pPr>
            <w:r>
              <w:t xml:space="preserve">-0.3868**</w:t>
            </w:r>
          </w:p>
        </w:tc>
        <w:tc>
          <w:tcPr>
            <w:tcW w:w="2256" w:type="dxa"/>
          </w:tcPr>
          <w:p>
            <w:pPr>
              <w:spacing w:after="0"/>
              <w:jc w:val="center"/>
            </w:pPr>
            <w:r>
              <w:t xml:space="preserve">-0.0530</w:t>
            </w:r>
          </w:p>
        </w:tc>
      </w:tr>
      <w:tr>
        <w:tc>
          <w:tcPr>
            <w:tcW w:w="2256" w:type="dxa"/>
          </w:tcPr>
          <w:p>
            <w:pPr>
              <w:spacing w:after="0"/>
            </w:pPr>
          </w:p>
        </w:tc>
        <w:tc>
          <w:tcPr>
            <w:tcW w:w="2256" w:type="dxa"/>
          </w:tcPr>
          <w:p>
            <w:pPr>
              <w:spacing w:after="0"/>
              <w:jc w:val="center"/>
            </w:pPr>
            <w:r>
              <w:t xml:space="preserve">(0.1211)</w:t>
            </w:r>
          </w:p>
        </w:tc>
        <w:tc>
          <w:tcPr>
            <w:tcW w:w="2256" w:type="dxa"/>
          </w:tcPr>
          <w:p>
            <w:pPr>
              <w:spacing w:after="0"/>
              <w:jc w:val="center"/>
            </w:pPr>
            <w:r>
              <w:t xml:space="preserve">(0.1583)</w:t>
            </w:r>
          </w:p>
        </w:tc>
        <w:tc>
          <w:tcPr>
            <w:tcW w:w="2256" w:type="dxa"/>
          </w:tcPr>
          <w:p>
            <w:pPr>
              <w:spacing w:after="0"/>
              <w:jc w:val="center"/>
            </w:pPr>
            <w:r>
              <w:t xml:space="preserve">(0.1012)</w:t>
            </w:r>
          </w:p>
        </w:tc>
      </w:tr>
      <w:tr>
        <w:tc>
          <w:tcPr>
            <w:tcW w:w="2256" w:type="dxa"/>
          </w:tcPr>
          <w:p>
            <w:pPr>
              <w:spacing w:after="0"/>
              <w:jc w:val="center"/>
            </w:pPr>
            <w:r>
              <w:t xml:space="preserve">pop</w:t>
            </w:r>
          </w:p>
        </w:tc>
        <w:tc>
          <w:tcPr>
            <w:tcW w:w="2256" w:type="dxa"/>
          </w:tcPr>
          <w:p>
            <w:pPr>
              <w:spacing w:after="0"/>
              <w:jc w:val="center"/>
            </w:pPr>
            <w:r>
              <w:t xml:space="preserve">0.2063</w:t>
            </w:r>
          </w:p>
        </w:tc>
        <w:tc>
          <w:tcPr>
            <w:tcW w:w="2256" w:type="dxa"/>
          </w:tcPr>
          <w:p>
            <w:pPr>
              <w:spacing w:after="0"/>
              <w:jc w:val="center"/>
            </w:pPr>
            <w:r>
              <w:t xml:space="preserve">0.3531</w:t>
            </w:r>
          </w:p>
        </w:tc>
        <w:tc>
          <w:tcPr>
            <w:tcW w:w="2256" w:type="dxa"/>
          </w:tcPr>
          <w:p>
            <w:pPr>
              <w:spacing w:after="0"/>
              <w:jc w:val="center"/>
            </w:pPr>
            <w:r>
              <w:t xml:space="preserve">-0.1076</w:t>
            </w:r>
          </w:p>
        </w:tc>
      </w:tr>
      <w:tr>
        <w:tc>
          <w:tcPr>
            <w:tcW w:w="2256" w:type="dxa"/>
          </w:tcPr>
          <w:p>
            <w:pPr>
              <w:spacing w:after="0"/>
            </w:pPr>
          </w:p>
        </w:tc>
        <w:tc>
          <w:tcPr>
            <w:tcW w:w="2256" w:type="dxa"/>
          </w:tcPr>
          <w:p>
            <w:pPr>
              <w:spacing w:after="0"/>
              <w:jc w:val="center"/>
            </w:pPr>
            <w:r>
              <w:t xml:space="preserve">(1.2423)</w:t>
            </w:r>
          </w:p>
        </w:tc>
        <w:tc>
          <w:tcPr>
            <w:tcW w:w="2256" w:type="dxa"/>
          </w:tcPr>
          <w:p>
            <w:pPr>
              <w:spacing w:after="0"/>
              <w:jc w:val="center"/>
            </w:pPr>
            <w:r>
              <w:t xml:space="preserve">(1.7515)</w:t>
            </w:r>
          </w:p>
        </w:tc>
        <w:tc>
          <w:tcPr>
            <w:tcW w:w="2256" w:type="dxa"/>
          </w:tcPr>
          <w:p>
            <w:pPr>
              <w:spacing w:after="0"/>
              <w:jc w:val="center"/>
            </w:pPr>
            <w:r>
              <w:t xml:space="preserve">(1.0642)</w:t>
            </w:r>
          </w:p>
        </w:tc>
      </w:tr>
      <w:tr>
        <w:tc>
          <w:tcPr>
            <w:tcW w:w="2256" w:type="dxa"/>
          </w:tcPr>
          <w:p>
            <w:pPr>
              <w:spacing w:after="0"/>
              <w:jc w:val="center"/>
            </w:pPr>
            <w:r>
              <w:t xml:space="preserve">_cons</w:t>
            </w:r>
          </w:p>
        </w:tc>
        <w:tc>
          <w:tcPr>
            <w:tcW w:w="2256" w:type="dxa"/>
          </w:tcPr>
          <w:p>
            <w:pPr>
              <w:spacing w:after="0"/>
              <w:jc w:val="center"/>
            </w:pPr>
            <w:r>
              <w:t xml:space="preserve">0.3075***</w:t>
            </w:r>
          </w:p>
        </w:tc>
        <w:tc>
          <w:tcPr>
            <w:tcW w:w="2256" w:type="dxa"/>
          </w:tcPr>
          <w:p>
            <w:pPr>
              <w:spacing w:after="0"/>
              <w:jc w:val="center"/>
            </w:pPr>
            <w:r>
              <w:t xml:space="preserve">0.5921***</w:t>
            </w:r>
          </w:p>
        </w:tc>
        <w:tc>
          <w:tcPr>
            <w:tcW w:w="2256" w:type="dxa"/>
          </w:tcPr>
          <w:p>
            <w:pPr>
              <w:spacing w:after="0"/>
              <w:jc w:val="center"/>
            </w:pPr>
            <w:r>
              <w:t xml:space="preserve">0.1796***</w:t>
            </w:r>
          </w:p>
        </w:tc>
      </w:tr>
      <w:tr>
        <w:tc>
          <w:tcPr>
            <w:tcW w:w="2256" w:type="dxa"/>
            <w:tcBorders>
              <w:bottom w:val="single" w:color="000000"/>
            </w:tcBorders>
          </w:tcPr>
          <w:p>
            <w:pPr>
              <w:spacing w:after="0"/>
            </w:pPr>
          </w:p>
        </w:tc>
        <w:tc>
          <w:tcPr>
            <w:tcW w:w="2256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(0.0726)</w:t>
            </w:r>
          </w:p>
        </w:tc>
        <w:tc>
          <w:tcPr>
            <w:tcW w:w="2256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(0.1000)</w:t>
            </w:r>
          </w:p>
        </w:tc>
        <w:tc>
          <w:tcPr>
            <w:tcW w:w="2256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(0.0547)</w:t>
            </w:r>
          </w:p>
        </w:tc>
      </w:tr>
      <w:tr>
        <w:tc>
          <w:tcPr>
            <w:tcW w:w="2256" w:type="dxa"/>
            <w:tcBorders>
              <w:top w:val="single" w:color="000000"/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year</w:t>
            </w:r>
          </w:p>
        </w:tc>
        <w:tc>
          <w:tcPr>
            <w:tcW w:w="2256" w:type="dxa"/>
            <w:tcBorders>
              <w:top w:val="single" w:color="000000"/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Yes</w:t>
            </w:r>
          </w:p>
        </w:tc>
        <w:tc>
          <w:tcPr>
            <w:tcW w:w="2256" w:type="dxa"/>
            <w:tcBorders>
              <w:top w:val="single" w:color="000000"/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Yes</w:t>
            </w:r>
          </w:p>
        </w:tc>
        <w:tc>
          <w:tcPr>
            <w:tcW w:w="2256" w:type="dxa"/>
            <w:tcBorders>
              <w:top w:val="single" w:color="000000"/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Yes</w:t>
            </w:r>
          </w:p>
        </w:tc>
      </w:tr>
      <w:tr>
        <w:tc>
          <w:tcPr>
            <w:tcW w:w="2256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N</w:t>
            </w:r>
          </w:p>
        </w:tc>
        <w:tc>
          <w:tcPr>
            <w:tcW w:w="2256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450</w:t>
            </w:r>
          </w:p>
        </w:tc>
        <w:tc>
          <w:tcPr>
            <w:tcW w:w="2256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450</w:t>
            </w:r>
          </w:p>
        </w:tc>
        <w:tc>
          <w:tcPr>
            <w:tcW w:w="2256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450</w:t>
            </w:r>
          </w:p>
        </w:tc>
      </w:tr>
      <w:tr>
        <w:tc>
          <w:tcPr>
            <w:tcW w:w="2256" w:type="dxa"/>
          </w:tcPr>
          <w:p>
            <w:pPr>
              <w:spacing w:after="0" w:lineRule="auto"/>
              <w:jc w:val="center"/>
            </w:pPr>
            <w:r>
              <w:t xml:space="preserve">Adj. R</w:t>
            </w:r>
            <w:r>
              <w:rPr>
                <w:vertAlign w:val="superscript"/>
              </w:rPr>
              <w:t xml:space="preserve">2</w:t>
            </w:r>
          </w:p>
        </w:tc>
        <w:tc>
          <w:tcPr>
            <w:tcW w:w="2256" w:type="dxa"/>
          </w:tcPr>
          <w:p>
            <w:pPr>
              <w:spacing w:after="0"/>
              <w:jc w:val="center"/>
            </w:pPr>
            <w:r>
              <w:t xml:space="preserve">0.8292</w:t>
            </w:r>
          </w:p>
        </w:tc>
        <w:tc>
          <w:tcPr>
            <w:tcW w:w="2256" w:type="dxa"/>
          </w:tcPr>
          <w:p>
            <w:pPr>
              <w:spacing w:after="0"/>
              <w:jc w:val="center"/>
            </w:pPr>
            <w:r>
              <w:t xml:space="preserve">0.8685</w:t>
            </w:r>
          </w:p>
        </w:tc>
        <w:tc>
          <w:tcPr>
            <w:tcW w:w="2256" w:type="dxa"/>
          </w:tcPr>
          <w:p>
            <w:pPr>
              <w:spacing w:after="0"/>
              <w:jc w:val="center"/>
            </w:pPr>
            <w:r>
              <w:t xml:space="preserve">0.8228</w:t>
            </w:r>
          </w:p>
        </w:tc>
      </w:tr>
    </w:tbl>
    <w:p>
      <w: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rFonts w:ascii="Times New Roman" w:hAnsi="Times New Roman" w:eastAsia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